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7B92CE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叶城县人民检察院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4DCF00">
      <w:r>
        <w:br w:type="page"/>
      </w:r>
    </w:p>
    <w:p w14:paraId="06FD135F">
      <w:pPr>
        <w:spacing w:line="640" w:lineRule="exact"/>
        <w:jc w:val="center"/>
        <w:outlineLvl w:val="1"/>
      </w:pPr>
      <w:r>
        <w:rPr>
          <w:rFonts w:ascii="黑体" w:hAnsi="黑体" w:eastAsia="黑体"/>
          <w:sz w:val="32"/>
        </w:rPr>
        <w:t>第一部分 部门概况</w:t>
      </w:r>
    </w:p>
    <w:p w14:paraId="48E0A38C">
      <w:pPr>
        <w:spacing w:line="640" w:lineRule="exact"/>
        <w:ind w:firstLine="640"/>
        <w:jc w:val="both"/>
        <w:outlineLvl w:val="2"/>
      </w:pPr>
      <w:r>
        <w:rPr>
          <w:rFonts w:ascii="黑体" w:hAnsi="黑体" w:eastAsia="黑体"/>
          <w:sz w:val="32"/>
        </w:rPr>
        <w:t>一、主要职能</w:t>
      </w:r>
    </w:p>
    <w:p w14:paraId="22D33614">
      <w:pPr>
        <w:spacing w:line="580" w:lineRule="exact"/>
        <w:ind w:firstLine="640"/>
        <w:jc w:val="both"/>
      </w:pPr>
      <w:r>
        <w:rPr>
          <w:rFonts w:ascii="仿宋_GB2312" w:hAnsi="仿宋_GB2312" w:eastAsia="仿宋_GB2312"/>
          <w:sz w:val="32"/>
        </w:rPr>
        <w:t>（1）领导全院检察工作，贯彻执行检察工作方针，安排部署各项检察工作任务。</w:t>
      </w:r>
    </w:p>
    <w:p w14:paraId="1ECAA2E7">
      <w:pPr>
        <w:spacing w:line="580" w:lineRule="exact"/>
        <w:ind w:firstLine="640"/>
        <w:jc w:val="both"/>
      </w:pPr>
      <w:r>
        <w:rPr>
          <w:rFonts w:ascii="仿宋_GB2312" w:hAnsi="仿宋_GB2312" w:eastAsia="仿宋_GB2312"/>
          <w:sz w:val="32"/>
        </w:rPr>
        <w:t>（2）对县人民代表大会及其常委会和喀什地区检察分院负责并报告工作，接受县人民代表大会及其常委会的监督。</w:t>
      </w:r>
    </w:p>
    <w:p w14:paraId="167ABF15">
      <w:pPr>
        <w:spacing w:line="580" w:lineRule="exact"/>
        <w:ind w:firstLine="640"/>
        <w:jc w:val="both"/>
      </w:pPr>
      <w:r>
        <w:rPr>
          <w:rFonts w:ascii="仿宋_GB2312" w:hAnsi="仿宋_GB2312" w:eastAsia="仿宋_GB2312"/>
          <w:sz w:val="32"/>
        </w:rPr>
        <w:t>（3）依法向人民代表大会及其常委会提出方案。</w:t>
      </w:r>
    </w:p>
    <w:p w14:paraId="314F98C3">
      <w:pPr>
        <w:spacing w:line="580" w:lineRule="exact"/>
        <w:ind w:firstLine="640"/>
        <w:jc w:val="both"/>
      </w:pPr>
      <w:r>
        <w:rPr>
          <w:rFonts w:ascii="仿宋_GB2312" w:hAnsi="仿宋_GB2312" w:eastAsia="仿宋_GB2312"/>
          <w:sz w:val="32"/>
        </w:rPr>
        <w:t>（4）对于公安机关等侦查机关侦查的案件，依法审查批准逮捕、决定逮捕、提起公诉。</w:t>
      </w:r>
    </w:p>
    <w:p w14:paraId="2DCFDC90">
      <w:pPr>
        <w:spacing w:line="580" w:lineRule="exact"/>
        <w:ind w:firstLine="640"/>
        <w:jc w:val="both"/>
      </w:pPr>
      <w:r>
        <w:rPr>
          <w:rFonts w:ascii="仿宋_GB2312" w:hAnsi="仿宋_GB2312" w:eastAsia="仿宋_GB2312"/>
          <w:sz w:val="32"/>
        </w:rPr>
        <w:t>（5）依法对侦查机关的侦查活动是否合法实行监督。</w:t>
      </w:r>
    </w:p>
    <w:p w14:paraId="6D545F78">
      <w:pPr>
        <w:spacing w:line="580" w:lineRule="exact"/>
        <w:ind w:firstLine="640"/>
        <w:jc w:val="both"/>
      </w:pPr>
      <w:r>
        <w:rPr>
          <w:rFonts w:ascii="仿宋_GB2312" w:hAnsi="仿宋_GB2312" w:eastAsia="仿宋_GB2312"/>
          <w:sz w:val="32"/>
        </w:rPr>
        <w:t>（6）</w:t>
      </w:r>
      <w:r>
        <w:rPr>
          <w:rFonts w:hint="eastAsia" w:ascii="仿宋_GB2312" w:hAnsi="仿宋_GB2312" w:eastAsia="仿宋_GB2312"/>
          <w:sz w:val="32"/>
          <w:lang w:eastAsia="zh-CN"/>
        </w:rPr>
        <w:t>对</w:t>
      </w:r>
      <w:r>
        <w:rPr>
          <w:rFonts w:ascii="仿宋_GB2312" w:hAnsi="仿宋_GB2312" w:eastAsia="仿宋_GB2312"/>
          <w:sz w:val="32"/>
        </w:rPr>
        <w:t>人民法院的刑事判决、裁定是否正确和审判活动是否合法进行监督。</w:t>
      </w:r>
    </w:p>
    <w:p w14:paraId="0AE663A4">
      <w:pPr>
        <w:spacing w:line="580" w:lineRule="exact"/>
        <w:ind w:firstLine="640"/>
        <w:jc w:val="both"/>
      </w:pPr>
      <w:r>
        <w:rPr>
          <w:rFonts w:ascii="仿宋_GB2312" w:hAnsi="仿宋_GB2312" w:eastAsia="仿宋_GB2312"/>
          <w:sz w:val="32"/>
        </w:rPr>
        <w:t>（7）对于看守所等执行机关执行刑罚活动是否合法实行监督。</w:t>
      </w:r>
    </w:p>
    <w:p w14:paraId="4F089C48">
      <w:pPr>
        <w:spacing w:line="580" w:lineRule="exact"/>
        <w:ind w:firstLine="640"/>
        <w:jc w:val="both"/>
      </w:pPr>
      <w:r>
        <w:rPr>
          <w:rFonts w:ascii="仿宋_GB2312" w:hAnsi="仿宋_GB2312" w:eastAsia="仿宋_GB2312"/>
          <w:sz w:val="32"/>
        </w:rPr>
        <w:t>（8）</w:t>
      </w:r>
      <w:r>
        <w:rPr>
          <w:rFonts w:hint="eastAsia" w:ascii="仿宋_GB2312" w:hAnsi="仿宋_GB2312" w:eastAsia="仿宋_GB2312"/>
          <w:sz w:val="32"/>
          <w:lang w:eastAsia="zh-CN"/>
        </w:rPr>
        <w:t>对</w:t>
      </w:r>
      <w:r>
        <w:rPr>
          <w:rFonts w:ascii="仿宋_GB2312" w:hAnsi="仿宋_GB2312" w:eastAsia="仿宋_GB2312"/>
          <w:sz w:val="32"/>
        </w:rPr>
        <w:t>人民法院的民事审判活动实行法律监督。对人民法院已经发生效力的判决、裁定，发现违反法律、法规、规定的依法提请抗诉。</w:t>
      </w:r>
    </w:p>
    <w:p w14:paraId="7C415B23">
      <w:pPr>
        <w:spacing w:line="580" w:lineRule="exact"/>
        <w:ind w:firstLine="640"/>
        <w:jc w:val="both"/>
      </w:pPr>
      <w:r>
        <w:rPr>
          <w:rFonts w:ascii="仿宋_GB2312" w:hAnsi="仿宋_GB2312" w:eastAsia="仿宋_GB2312"/>
          <w:sz w:val="32"/>
        </w:rPr>
        <w:t>（9）</w:t>
      </w:r>
      <w:r>
        <w:rPr>
          <w:rFonts w:hint="eastAsia" w:ascii="仿宋_GB2312" w:hAnsi="仿宋_GB2312" w:eastAsia="仿宋_GB2312"/>
          <w:sz w:val="32"/>
          <w:lang w:eastAsia="zh-CN"/>
        </w:rPr>
        <w:t>对</w:t>
      </w:r>
      <w:r>
        <w:rPr>
          <w:rFonts w:ascii="仿宋_GB2312" w:hAnsi="仿宋_GB2312" w:eastAsia="仿宋_GB2312"/>
          <w:sz w:val="32"/>
        </w:rPr>
        <w:t>人民法院的行政诉讼活动，实行法律监督。</w:t>
      </w:r>
    </w:p>
    <w:p w14:paraId="44801FE8">
      <w:pPr>
        <w:spacing w:line="580" w:lineRule="exact"/>
        <w:ind w:firstLine="640"/>
        <w:jc w:val="both"/>
      </w:pPr>
      <w:r>
        <w:rPr>
          <w:rFonts w:ascii="仿宋_GB2312" w:hAnsi="仿宋_GB2312" w:eastAsia="仿宋_GB2312"/>
          <w:sz w:val="32"/>
        </w:rPr>
        <w:t>（10）受理单位和个人的报案、控告、申诉、举报嫌疑人自首。</w:t>
      </w:r>
    </w:p>
    <w:p w14:paraId="0DAB3B98">
      <w:pPr>
        <w:spacing w:line="580" w:lineRule="exact"/>
        <w:ind w:firstLine="640"/>
        <w:jc w:val="both"/>
      </w:pPr>
      <w:r>
        <w:rPr>
          <w:rFonts w:ascii="仿宋_GB2312" w:hAnsi="仿宋_GB2312" w:eastAsia="仿宋_GB2312"/>
          <w:sz w:val="32"/>
        </w:rPr>
        <w:t>（11）对检察工作中，具体应用法律问题进行研究。向立法机关和上级检察机关提出立法和司法解释建议。</w:t>
      </w:r>
    </w:p>
    <w:p w14:paraId="57EEF130">
      <w:pPr>
        <w:spacing w:line="580" w:lineRule="exact"/>
        <w:ind w:firstLine="640"/>
        <w:jc w:val="both"/>
      </w:pPr>
      <w:r>
        <w:rPr>
          <w:rFonts w:ascii="仿宋_GB2312" w:hAnsi="仿宋_GB2312" w:eastAsia="仿宋_GB2312"/>
          <w:sz w:val="32"/>
        </w:rPr>
        <w:t>（12）负责全院队伍建设、思想政治工作和党建工作。协同组织部门、人事部门管理和考核干部。</w:t>
      </w:r>
    </w:p>
    <w:p w14:paraId="35C57FA4">
      <w:pPr>
        <w:spacing w:line="580" w:lineRule="exact"/>
        <w:ind w:firstLine="640"/>
        <w:jc w:val="both"/>
      </w:pPr>
      <w:r>
        <w:rPr>
          <w:rFonts w:ascii="仿宋_GB2312" w:hAnsi="仿宋_GB2312" w:eastAsia="仿宋_GB2312"/>
          <w:sz w:val="32"/>
        </w:rPr>
        <w:t>（13）组织指导全院检察干部教育培训工作。</w:t>
      </w:r>
    </w:p>
    <w:p w14:paraId="6BE8B6B7">
      <w:pPr>
        <w:spacing w:line="580" w:lineRule="exact"/>
        <w:ind w:firstLine="640"/>
        <w:jc w:val="both"/>
      </w:pPr>
      <w:r>
        <w:rPr>
          <w:rFonts w:ascii="仿宋_GB2312" w:hAnsi="仿宋_GB2312" w:eastAsia="仿宋_GB2312"/>
          <w:sz w:val="32"/>
        </w:rPr>
        <w:t>（14）负责其他应当由检察院承办的事项。</w:t>
      </w:r>
    </w:p>
    <w:p w14:paraId="4E020B40">
      <w:pPr>
        <w:spacing w:line="640" w:lineRule="exact"/>
        <w:ind w:firstLine="640"/>
        <w:jc w:val="both"/>
        <w:outlineLvl w:val="2"/>
      </w:pPr>
      <w:r>
        <w:rPr>
          <w:rFonts w:ascii="黑体" w:hAnsi="黑体" w:eastAsia="黑体"/>
          <w:sz w:val="32"/>
        </w:rPr>
        <w:t>二、机构设置及人员情况</w:t>
      </w:r>
    </w:p>
    <w:p w14:paraId="14EF5CC6">
      <w:pPr>
        <w:spacing w:line="580" w:lineRule="exact"/>
        <w:ind w:firstLine="640"/>
        <w:jc w:val="both"/>
      </w:pPr>
      <w:r>
        <w:rPr>
          <w:rFonts w:ascii="仿宋_GB2312" w:hAnsi="仿宋_GB2312" w:eastAsia="仿宋_GB2312"/>
          <w:sz w:val="32"/>
        </w:rPr>
        <w:t>叶城县人民检察院2024年度，实有人数69人，其中：在职人员47人，减少2人；离休人员0人，增加0人；退休人员22人,增加2人。</w:t>
      </w:r>
    </w:p>
    <w:p w14:paraId="124C1D3C">
      <w:pPr>
        <w:spacing w:line="580" w:lineRule="exact"/>
        <w:ind w:firstLine="640"/>
        <w:jc w:val="both"/>
      </w:pPr>
      <w:r>
        <w:rPr>
          <w:rFonts w:ascii="仿宋_GB2312" w:hAnsi="仿宋_GB2312" w:eastAsia="仿宋_GB2312"/>
          <w:sz w:val="32"/>
        </w:rPr>
        <w:t>叶城县人民检察院无下属预算单位，下设8个科室，分别是：办公室（司法警察大队）、第一检察部、第二检察部、第三检察部、第四检察部、</w:t>
      </w:r>
      <w:r>
        <w:rPr>
          <w:rFonts w:hint="eastAsia" w:ascii="仿宋_GB2312" w:hAnsi="仿宋_GB2312" w:eastAsia="仿宋_GB2312"/>
          <w:sz w:val="32"/>
          <w:lang w:eastAsia="zh-CN"/>
        </w:rPr>
        <w:t>第五</w:t>
      </w:r>
      <w:r>
        <w:rPr>
          <w:rFonts w:ascii="仿宋_GB2312" w:hAnsi="仿宋_GB2312" w:eastAsia="仿宋_GB2312"/>
          <w:sz w:val="32"/>
        </w:rPr>
        <w:t>检察部、综合检察业务部、政治部。</w:t>
      </w:r>
    </w:p>
    <w:p w14:paraId="421A5985">
      <w:r>
        <w:br w:type="page"/>
      </w:r>
    </w:p>
    <w:p w14:paraId="6CFE4163">
      <w:pPr>
        <w:spacing w:line="240" w:lineRule="auto"/>
        <w:jc w:val="center"/>
        <w:outlineLvl w:val="1"/>
      </w:pPr>
      <w:r>
        <w:rPr>
          <w:rFonts w:ascii="黑体" w:hAnsi="黑体" w:eastAsia="黑体"/>
          <w:sz w:val="32"/>
        </w:rPr>
        <w:t>第二部分 部门决算情况说明</w:t>
      </w:r>
    </w:p>
    <w:p w14:paraId="141EFAFF">
      <w:pPr>
        <w:spacing w:line="640" w:lineRule="exact"/>
        <w:ind w:firstLine="640"/>
        <w:jc w:val="both"/>
        <w:outlineLvl w:val="2"/>
      </w:pPr>
      <w:r>
        <w:rPr>
          <w:rFonts w:ascii="黑体" w:hAnsi="黑体" w:eastAsia="黑体"/>
          <w:sz w:val="32"/>
        </w:rPr>
        <w:t>一、收入支出决算总体情况说明</w:t>
      </w:r>
    </w:p>
    <w:p w14:paraId="2E9BF8FB">
      <w:pPr>
        <w:spacing w:line="580" w:lineRule="exact"/>
        <w:ind w:firstLine="640"/>
        <w:jc w:val="both"/>
      </w:pPr>
      <w:r>
        <w:rPr>
          <w:rFonts w:ascii="仿宋_GB2312" w:hAnsi="仿宋_GB2312" w:eastAsia="仿宋_GB2312"/>
          <w:b/>
          <w:sz w:val="32"/>
        </w:rPr>
        <w:t>2024年度收入总计1,784.27万元，</w:t>
      </w:r>
      <w:r>
        <w:rPr>
          <w:rFonts w:ascii="仿宋_GB2312" w:hAnsi="仿宋_GB2312" w:eastAsia="仿宋_GB2312"/>
          <w:b w:val="0"/>
          <w:sz w:val="32"/>
        </w:rPr>
        <w:t>其中：本年收入合计1,784.27万元，使用非财政拨款结余（含专用结余）0.00万元，年初结转和结余0.00万元。</w:t>
      </w:r>
    </w:p>
    <w:p w14:paraId="74751C6B">
      <w:pPr>
        <w:spacing w:line="580" w:lineRule="exact"/>
        <w:ind w:firstLine="640"/>
        <w:jc w:val="both"/>
      </w:pPr>
      <w:r>
        <w:rPr>
          <w:rFonts w:ascii="仿宋_GB2312" w:hAnsi="仿宋_GB2312" w:eastAsia="仿宋_GB2312"/>
          <w:b/>
          <w:sz w:val="32"/>
        </w:rPr>
        <w:t>2024年度支出总计1,784.27万元，</w:t>
      </w:r>
      <w:r>
        <w:rPr>
          <w:rFonts w:ascii="仿宋_GB2312" w:hAnsi="仿宋_GB2312" w:eastAsia="仿宋_GB2312"/>
          <w:b w:val="0"/>
          <w:sz w:val="32"/>
        </w:rPr>
        <w:t>其中：本年支出合计1,784.27万元，结余分配0.00万元，年末结转和结余0.00万元。</w:t>
      </w:r>
    </w:p>
    <w:p w14:paraId="3B7B4D57">
      <w:pPr>
        <w:spacing w:line="580" w:lineRule="exact"/>
        <w:ind w:firstLine="640"/>
        <w:jc w:val="both"/>
      </w:pPr>
      <w:r>
        <w:rPr>
          <w:rFonts w:ascii="仿宋_GB2312" w:hAnsi="仿宋_GB2312" w:eastAsia="仿宋_GB2312"/>
          <w:b w:val="0"/>
          <w:sz w:val="32"/>
        </w:rPr>
        <w:t>收入支出总体与上年相比，减少346.44万元，下降16.26%，主要原因是：本年在职人员减少，相关人员经费减少，检察专项业务项目资金较上年减少。</w:t>
      </w:r>
    </w:p>
    <w:p w14:paraId="6B80788F">
      <w:pPr>
        <w:spacing w:line="640" w:lineRule="exact"/>
        <w:ind w:firstLine="640"/>
        <w:jc w:val="both"/>
        <w:outlineLvl w:val="2"/>
      </w:pPr>
      <w:r>
        <w:rPr>
          <w:rFonts w:ascii="黑体" w:hAnsi="黑体" w:eastAsia="黑体"/>
          <w:sz w:val="32"/>
        </w:rPr>
        <w:t>二、收入决算情况说明</w:t>
      </w:r>
    </w:p>
    <w:p w14:paraId="151602EB">
      <w:pPr>
        <w:spacing w:line="580" w:lineRule="exact"/>
        <w:ind w:firstLine="640"/>
        <w:jc w:val="both"/>
      </w:pPr>
      <w:r>
        <w:rPr>
          <w:rFonts w:ascii="仿宋_GB2312" w:hAnsi="仿宋_GB2312" w:eastAsia="仿宋_GB2312"/>
          <w:b/>
          <w:sz w:val="32"/>
        </w:rPr>
        <w:t>本年收入1,784.27万元，</w:t>
      </w:r>
      <w:r>
        <w:rPr>
          <w:rFonts w:ascii="仿宋_GB2312" w:hAnsi="仿宋_GB2312" w:eastAsia="仿宋_GB2312"/>
          <w:b w:val="0"/>
          <w:sz w:val="32"/>
        </w:rPr>
        <w:t>其中：财政拨款收入1,784.27万元，占100.00%；上级补助收入0.00万元，占0.00%；事业收入0.00万元，占0.00%；经营收入0.00万元，占0.00%；附属单位上缴收入0.00万元，占0.00%；其他收入0.00万元，占0.00%。</w:t>
      </w:r>
    </w:p>
    <w:p w14:paraId="77565CA6">
      <w:pPr>
        <w:spacing w:line="640" w:lineRule="exact"/>
        <w:ind w:firstLine="640"/>
        <w:jc w:val="both"/>
        <w:outlineLvl w:val="2"/>
      </w:pPr>
      <w:r>
        <w:rPr>
          <w:rFonts w:ascii="黑体" w:hAnsi="黑体" w:eastAsia="黑体"/>
          <w:sz w:val="32"/>
        </w:rPr>
        <w:t>三、支出决算情况说明</w:t>
      </w:r>
    </w:p>
    <w:p w14:paraId="6A1025AC">
      <w:pPr>
        <w:spacing w:line="580" w:lineRule="exact"/>
        <w:ind w:firstLine="640"/>
        <w:jc w:val="both"/>
      </w:pPr>
      <w:r>
        <w:rPr>
          <w:rFonts w:ascii="仿宋_GB2312" w:hAnsi="仿宋_GB2312" w:eastAsia="仿宋_GB2312"/>
          <w:b/>
          <w:sz w:val="32"/>
        </w:rPr>
        <w:t>本年支出1,784.27万元，</w:t>
      </w:r>
      <w:r>
        <w:rPr>
          <w:rFonts w:ascii="仿宋_GB2312" w:hAnsi="仿宋_GB2312" w:eastAsia="仿宋_GB2312"/>
          <w:b w:val="0"/>
          <w:sz w:val="32"/>
        </w:rPr>
        <w:t>其中：基本支出1,390.06万元，占77.91%；项目支出394.21万元，占22.09%；上缴上级支出0.00万元，占0.00%；经营支出0.00万元，占0.00%；对附属单位补助支出0.00万元，占0.00%。</w:t>
      </w:r>
    </w:p>
    <w:p w14:paraId="6F60AC66">
      <w:pPr>
        <w:spacing w:line="640" w:lineRule="exact"/>
        <w:ind w:firstLine="640"/>
        <w:jc w:val="both"/>
        <w:outlineLvl w:val="2"/>
      </w:pPr>
      <w:r>
        <w:rPr>
          <w:rFonts w:ascii="黑体" w:hAnsi="黑体" w:eastAsia="黑体"/>
          <w:sz w:val="32"/>
        </w:rPr>
        <w:t>四、财政拨款收入支出决算总体情况说明</w:t>
      </w:r>
    </w:p>
    <w:p w14:paraId="722AEF6F">
      <w:pPr>
        <w:spacing w:line="580" w:lineRule="exact"/>
        <w:ind w:firstLine="640"/>
        <w:jc w:val="both"/>
      </w:pPr>
      <w:r>
        <w:rPr>
          <w:rFonts w:ascii="仿宋_GB2312" w:hAnsi="仿宋_GB2312" w:eastAsia="仿宋_GB2312"/>
          <w:b/>
          <w:sz w:val="32"/>
        </w:rPr>
        <w:t>2024年度财政拨款收入总计1,784.27万元，</w:t>
      </w:r>
      <w:r>
        <w:rPr>
          <w:rFonts w:ascii="仿宋_GB2312" w:hAnsi="仿宋_GB2312" w:eastAsia="仿宋_GB2312"/>
          <w:b w:val="0"/>
          <w:sz w:val="32"/>
        </w:rPr>
        <w:t>其中：年初财政拨款结转和结余0.00万元，本年财政拨款收入1,784.27万元。</w:t>
      </w:r>
      <w:r>
        <w:rPr>
          <w:rFonts w:ascii="仿宋_GB2312" w:hAnsi="仿宋_GB2312" w:eastAsia="仿宋_GB2312"/>
          <w:b/>
          <w:sz w:val="32"/>
        </w:rPr>
        <w:t>财政拨款支出总计1,784.27万元，</w:t>
      </w:r>
      <w:r>
        <w:rPr>
          <w:rFonts w:ascii="仿宋_GB2312" w:hAnsi="仿宋_GB2312" w:eastAsia="仿宋_GB2312"/>
          <w:b w:val="0"/>
          <w:sz w:val="32"/>
        </w:rPr>
        <w:t>其中：年末财政拨款结转和结余0.00万元，本年财政拨款支出1,784.27万元。</w:t>
      </w:r>
    </w:p>
    <w:p w14:paraId="463953F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减少346.44万元，下降16.26%，主要原因是：本年在职人员减少，相关人员经费减少，检察专项业务项目资金较上年减少。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年初预算数1,810.81万元，决算数1,784.27万元，预决算差异率-1.47%，主要原因是：本年在职人员减少，年中调减人员经费，导致预决算存在差异。</w:t>
      </w:r>
    </w:p>
    <w:p w14:paraId="78629FF0">
      <w:pPr>
        <w:spacing w:line="640" w:lineRule="exact"/>
        <w:ind w:firstLine="640"/>
        <w:jc w:val="both"/>
        <w:outlineLvl w:val="2"/>
      </w:pPr>
      <w:r>
        <w:rPr>
          <w:rFonts w:ascii="黑体" w:hAnsi="黑体" w:eastAsia="黑体"/>
          <w:sz w:val="32"/>
        </w:rPr>
        <w:t>五、一般公共预算财政拨款支出决算情况说明</w:t>
      </w:r>
    </w:p>
    <w:p w14:paraId="4D37D6EC">
      <w:pPr>
        <w:spacing w:line="640" w:lineRule="exact"/>
        <w:ind w:firstLine="640"/>
        <w:jc w:val="both"/>
        <w:outlineLvl w:val="3"/>
      </w:pPr>
      <w:r>
        <w:rPr>
          <w:rFonts w:ascii="楷体_GB2312" w:hAnsi="楷体_GB2312" w:eastAsia="楷体_GB2312"/>
          <w:b/>
          <w:sz w:val="32"/>
        </w:rPr>
        <w:t>（一）一般公共预算财政拨款支出决算总体情况</w:t>
      </w:r>
    </w:p>
    <w:p w14:paraId="7FC7635D">
      <w:pPr>
        <w:spacing w:line="580" w:lineRule="exact"/>
        <w:ind w:firstLine="640"/>
        <w:jc w:val="both"/>
      </w:pPr>
      <w:r>
        <w:rPr>
          <w:rFonts w:ascii="仿宋_GB2312" w:hAnsi="仿宋_GB2312" w:eastAsia="仿宋_GB2312"/>
          <w:b/>
          <w:sz w:val="32"/>
        </w:rPr>
        <w:t>2024年度一般公共预算财政拨款支出1,784.27万元，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减少346.44万元，下降16.26%，主要原因是：本年在职人员减少，相关人员经费减少，检察专项业务项目资金较上年减少。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年初预算数1,810.81万元，决算数1,784.27万元，预决算差异率-1.47%，主要原因是：本年在职人员减少，年中调减人员经费，导致预决算存在差异。</w:t>
      </w:r>
    </w:p>
    <w:p w14:paraId="34763AF7">
      <w:pPr>
        <w:spacing w:line="640" w:lineRule="exact"/>
        <w:ind w:firstLine="640"/>
        <w:jc w:val="both"/>
        <w:outlineLvl w:val="3"/>
      </w:pPr>
      <w:r>
        <w:rPr>
          <w:rFonts w:ascii="楷体_GB2312" w:hAnsi="楷体_GB2312" w:eastAsia="楷体_GB2312"/>
          <w:b/>
          <w:sz w:val="32"/>
        </w:rPr>
        <w:t>（二）一般公共预算财政拨款支出决算结构情况</w:t>
      </w:r>
    </w:p>
    <w:p w14:paraId="4B27A8BF">
      <w:pPr>
        <w:spacing w:line="580" w:lineRule="exact"/>
        <w:ind w:firstLine="640"/>
        <w:jc w:val="both"/>
      </w:pPr>
      <w:r>
        <w:rPr>
          <w:rFonts w:ascii="仿宋_GB2312" w:hAnsi="仿宋_GB2312" w:eastAsia="仿宋_GB2312"/>
          <w:b w:val="0"/>
          <w:sz w:val="32"/>
        </w:rPr>
        <w:t>1.公共安全支出(类)1,473.81万元,占82.60%。</w:t>
      </w:r>
    </w:p>
    <w:p w14:paraId="4B730072">
      <w:pPr>
        <w:spacing w:line="580" w:lineRule="exact"/>
        <w:ind w:firstLine="640"/>
        <w:jc w:val="both"/>
      </w:pPr>
      <w:r>
        <w:rPr>
          <w:rFonts w:ascii="仿宋_GB2312" w:hAnsi="仿宋_GB2312" w:eastAsia="仿宋_GB2312"/>
          <w:b w:val="0"/>
          <w:sz w:val="32"/>
        </w:rPr>
        <w:t>2.社会保障和就业支出(类)153.81万元,占8.62%。</w:t>
      </w:r>
    </w:p>
    <w:p w14:paraId="35E5A90C">
      <w:pPr>
        <w:spacing w:line="580" w:lineRule="exact"/>
        <w:ind w:firstLine="640"/>
        <w:jc w:val="both"/>
      </w:pPr>
      <w:r>
        <w:rPr>
          <w:rFonts w:ascii="仿宋_GB2312" w:hAnsi="仿宋_GB2312" w:eastAsia="仿宋_GB2312"/>
          <w:b w:val="0"/>
          <w:sz w:val="32"/>
        </w:rPr>
        <w:t>3.卫生健康支出(类)63.68万元,占3.57%。</w:t>
      </w:r>
    </w:p>
    <w:p w14:paraId="4E9D9A6B">
      <w:pPr>
        <w:spacing w:line="580" w:lineRule="exact"/>
        <w:ind w:firstLine="640"/>
        <w:jc w:val="both"/>
      </w:pPr>
      <w:r>
        <w:rPr>
          <w:rFonts w:ascii="仿宋_GB2312" w:hAnsi="仿宋_GB2312" w:eastAsia="仿宋_GB2312"/>
          <w:b w:val="0"/>
          <w:sz w:val="32"/>
        </w:rPr>
        <w:t>4.住房保障支出(类)92.97万元,占5.21%。</w:t>
      </w:r>
    </w:p>
    <w:p w14:paraId="3879B559">
      <w:pPr>
        <w:spacing w:line="640" w:lineRule="exact"/>
        <w:ind w:firstLine="640"/>
        <w:jc w:val="both"/>
        <w:outlineLvl w:val="3"/>
      </w:pPr>
      <w:r>
        <w:rPr>
          <w:rFonts w:ascii="楷体_GB2312" w:hAnsi="楷体_GB2312" w:eastAsia="楷体_GB2312"/>
          <w:b/>
          <w:sz w:val="32"/>
        </w:rPr>
        <w:t>（三）一般公共预算财政拨款支出决算具体情况</w:t>
      </w:r>
    </w:p>
    <w:p w14:paraId="3AA4D5A2">
      <w:pPr>
        <w:spacing w:line="580" w:lineRule="exact"/>
        <w:ind w:firstLine="640"/>
        <w:jc w:val="both"/>
      </w:pPr>
      <w:r>
        <w:rPr>
          <w:rFonts w:ascii="仿宋_GB2312" w:hAnsi="仿宋_GB2312" w:eastAsia="仿宋_GB2312"/>
          <w:b w:val="0"/>
          <w:sz w:val="32"/>
        </w:rPr>
        <w:t>1.公共安全支出(类)检察(款)行政运行(项):支出决算数为1,079.60万元，比上年决算减少62.64万元，下降5.48%,主要原因是：本年在职人员减少，相应人员经费较上年减少。</w:t>
      </w:r>
    </w:p>
    <w:p w14:paraId="6C5E5DFC">
      <w:pPr>
        <w:spacing w:line="580" w:lineRule="exact"/>
        <w:ind w:firstLine="640"/>
        <w:jc w:val="both"/>
      </w:pPr>
      <w:r>
        <w:rPr>
          <w:rFonts w:ascii="仿宋_GB2312" w:hAnsi="仿宋_GB2312" w:eastAsia="仿宋_GB2312"/>
          <w:b w:val="0"/>
          <w:sz w:val="32"/>
        </w:rPr>
        <w:t>2.公共安全支出(类)检察(款)一般行政管理事务(项):支出决算数为163.21万元，比上年决算减少13.97万元，下降7.88%,主要原因是：本年司法绩效项目资金减少。</w:t>
      </w:r>
    </w:p>
    <w:p w14:paraId="0140FFAC">
      <w:pPr>
        <w:spacing w:line="580" w:lineRule="exact"/>
        <w:ind w:firstLine="640"/>
        <w:jc w:val="both"/>
      </w:pPr>
      <w:r>
        <w:rPr>
          <w:rFonts w:ascii="仿宋_GB2312" w:hAnsi="仿宋_GB2312" w:eastAsia="仿宋_GB2312"/>
          <w:b w:val="0"/>
          <w:sz w:val="32"/>
        </w:rPr>
        <w:t>3.公共安全支出(类)检察(款)其他检察支出(项):支出决算数为231.00万元，比上年决算减少216.73万元，下降48.41%,主要原因是：本年检察专项业务项目资金较上年减少。</w:t>
      </w:r>
    </w:p>
    <w:p w14:paraId="1D4CC34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4.社会保障和就业支出(类)行政事业单位养老支出(款)行政单位离退休(项):支出决算数为29.15万元，比上年决算增加6.35万元，增长27.85%,主要原因是：本年退休人员增加，退休费支出增加。</w:t>
      </w:r>
    </w:p>
    <w:p w14:paraId="5A7B101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116.78万元，比上年决算增加5.61万元，增长5.05%,主要原因是：本年在职人员工资基数调增，养老缴费基数上涨，相应支出增加。</w:t>
      </w:r>
    </w:p>
    <w:p w14:paraId="5B09FC35">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6.社会保障和就业支出(类)行政事业单位养老支出(款)机关事业单位职业年金缴费支出(项):支出决算数为7.88万元，比上年决算增加1.07万元，增长15.71%,主要原因是：本年新增退休人员，职业年金缴费支出增加。</w:t>
      </w:r>
    </w:p>
    <w:p w14:paraId="319CF849">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7.社会保障和就业支出(类)抚恤(款)死亡抚恤(项):支出决算数为0.00万元，比上年决算减少75.24万元，下降100.00%,主要原因是：本年无新增死亡人员，死亡抚恤支出较上年减少。</w:t>
      </w:r>
    </w:p>
    <w:p w14:paraId="65B975B0">
      <w:pPr>
        <w:spacing w:line="580" w:lineRule="exact"/>
        <w:ind w:firstLine="640"/>
        <w:jc w:val="both"/>
      </w:pPr>
      <w:r>
        <w:rPr>
          <w:rFonts w:ascii="仿宋_GB2312" w:hAnsi="仿宋_GB2312" w:eastAsia="仿宋_GB2312"/>
          <w:b w:val="0"/>
          <w:sz w:val="32"/>
        </w:rPr>
        <w:t>8.卫生健康支出(类)行政事业单位医疗(款)行政单位医疗(项):支出决算数为49.63万元，比上年决算增加2.38万元，增长5.04%,主要原因是：本年在职人员工资基数调增，医疗缴费基数上涨，相应支出增加。</w:t>
      </w:r>
    </w:p>
    <w:p w14:paraId="0290B9D5">
      <w:pPr>
        <w:spacing w:line="580" w:lineRule="exact"/>
        <w:ind w:firstLine="640"/>
        <w:jc w:val="both"/>
      </w:pPr>
      <w:r>
        <w:rPr>
          <w:rFonts w:ascii="仿宋_GB2312" w:hAnsi="仿宋_GB2312" w:eastAsia="仿宋_GB2312"/>
          <w:b w:val="0"/>
          <w:sz w:val="32"/>
        </w:rPr>
        <w:t>9.卫生健康支出(类)行政事业单位医疗(款)公务员医疗补助(项):支出决算数为14.04万元，比上年决算增加0.85万元，增长6.44%,主要原因是：本年在职人员工资基数调增，医疗缴费基数上涨，相应支出增加。</w:t>
      </w:r>
    </w:p>
    <w:p w14:paraId="3349F802">
      <w:pPr>
        <w:spacing w:line="580" w:lineRule="exact"/>
        <w:ind w:firstLine="640"/>
        <w:jc w:val="both"/>
      </w:pPr>
      <w:r>
        <w:rPr>
          <w:rFonts w:ascii="仿宋_GB2312" w:hAnsi="仿宋_GB2312" w:eastAsia="仿宋_GB2312"/>
          <w:b w:val="0"/>
          <w:sz w:val="32"/>
        </w:rPr>
        <w:t>10.住房保障支出(类)住房改革支出(款)住房公积金(项):支出决算数为92.97万元，比上年决算增加5.87万元，增长6.74%,主要原因是：本年在职人员工资基数调增，公积金缴费基数上涨，相应支出增加。</w:t>
      </w:r>
    </w:p>
    <w:p w14:paraId="44EBD023">
      <w:pPr>
        <w:spacing w:line="640" w:lineRule="exact"/>
        <w:ind w:firstLine="640"/>
        <w:jc w:val="both"/>
        <w:outlineLvl w:val="2"/>
      </w:pPr>
      <w:r>
        <w:rPr>
          <w:rFonts w:ascii="黑体" w:hAnsi="黑体" w:eastAsia="黑体"/>
          <w:sz w:val="32"/>
        </w:rPr>
        <w:t>六、一般公共预算财政拨款基本支出决算情况说明</w:t>
      </w:r>
    </w:p>
    <w:p w14:paraId="58B34A6A">
      <w:pPr>
        <w:spacing w:line="580" w:lineRule="exact"/>
        <w:ind w:firstLine="640"/>
        <w:jc w:val="both"/>
      </w:pPr>
      <w:r>
        <w:rPr>
          <w:rFonts w:ascii="仿宋_GB2312" w:hAnsi="仿宋_GB2312" w:eastAsia="仿宋_GB2312"/>
          <w:b w:val="0"/>
          <w:sz w:val="32"/>
        </w:rPr>
        <w:t>2024年度一般公共预算财政拨款基本支出1,390.06万元，其中：</w:t>
      </w:r>
      <w:r>
        <w:rPr>
          <w:rFonts w:ascii="仿宋_GB2312" w:hAnsi="仿宋_GB2312" w:eastAsia="仿宋_GB2312"/>
          <w:b/>
          <w:sz w:val="32"/>
        </w:rPr>
        <w:t>人员经费1,311.96万元，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0B6ACC08">
      <w:pPr>
        <w:spacing w:line="580" w:lineRule="exact"/>
        <w:ind w:firstLine="640"/>
        <w:jc w:val="both"/>
      </w:pPr>
      <w:r>
        <w:rPr>
          <w:rFonts w:ascii="仿宋_GB2312" w:hAnsi="仿宋_GB2312" w:eastAsia="仿宋_GB2312"/>
          <w:b/>
          <w:sz w:val="32"/>
        </w:rPr>
        <w:t>公用经费78.10万元，</w:t>
      </w:r>
      <w:r>
        <w:rPr>
          <w:rFonts w:ascii="仿宋_GB2312" w:hAnsi="仿宋_GB2312" w:eastAsia="仿宋_GB2312"/>
          <w:b w:val="0"/>
          <w:sz w:val="32"/>
        </w:rPr>
        <w:t>包括：办公费、水费、电费、邮电费、取暖费、物业管理费、差旅费、工会经费、公务用车运行维护费、其他商品和服务支出。</w:t>
      </w:r>
    </w:p>
    <w:p w14:paraId="004ECFAF">
      <w:pPr>
        <w:spacing w:line="640" w:lineRule="exact"/>
        <w:ind w:firstLine="640"/>
        <w:jc w:val="both"/>
        <w:outlineLvl w:val="2"/>
      </w:pPr>
      <w:r>
        <w:rPr>
          <w:rFonts w:ascii="黑体" w:hAnsi="黑体" w:eastAsia="黑体"/>
          <w:sz w:val="32"/>
        </w:rPr>
        <w:t>七、政府性基金预算财政拨款收入支出决算情况说明</w:t>
      </w:r>
    </w:p>
    <w:p w14:paraId="04545BF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1CE643C">
      <w:pPr>
        <w:spacing w:line="640" w:lineRule="exact"/>
        <w:ind w:firstLine="640"/>
        <w:jc w:val="both"/>
        <w:outlineLvl w:val="2"/>
      </w:pPr>
      <w:r>
        <w:rPr>
          <w:rFonts w:ascii="黑体" w:hAnsi="黑体" w:eastAsia="黑体"/>
          <w:sz w:val="32"/>
        </w:rPr>
        <w:t>八、国有资本经营预算财政拨款收入支出决算情况说明</w:t>
      </w:r>
    </w:p>
    <w:p w14:paraId="17596FB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63A7B52">
      <w:pPr>
        <w:spacing w:line="640" w:lineRule="exact"/>
        <w:ind w:firstLine="640"/>
        <w:jc w:val="both"/>
        <w:outlineLvl w:val="2"/>
      </w:pPr>
      <w:r>
        <w:rPr>
          <w:rFonts w:ascii="黑体" w:hAnsi="黑体" w:eastAsia="黑体"/>
          <w:sz w:val="32"/>
        </w:rPr>
        <w:t>九、财政拨款“三公”经费支出决算情况说明</w:t>
      </w:r>
    </w:p>
    <w:p w14:paraId="74BE6621">
      <w:pPr>
        <w:spacing w:line="580" w:lineRule="exact"/>
        <w:ind w:firstLine="640"/>
        <w:jc w:val="both"/>
      </w:pPr>
      <w:r>
        <w:rPr>
          <w:rFonts w:ascii="仿宋_GB2312" w:hAnsi="仿宋_GB2312" w:eastAsia="仿宋_GB2312"/>
          <w:b/>
          <w:sz w:val="32"/>
        </w:rPr>
        <w:t>2024年度财政拨款“三公”经费支出29.90万元，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29.90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DE75AB8">
      <w:pPr>
        <w:spacing w:line="580" w:lineRule="exact"/>
        <w:ind w:firstLine="640"/>
        <w:jc w:val="both"/>
      </w:pPr>
      <w:r>
        <w:rPr>
          <w:rFonts w:ascii="仿宋_GB2312" w:hAnsi="仿宋_GB2312" w:eastAsia="仿宋_GB2312"/>
          <w:b/>
          <w:sz w:val="32"/>
        </w:rPr>
        <w:t>具体情况如下：</w:t>
      </w:r>
    </w:p>
    <w:p w14:paraId="6D99EF2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239036E">
      <w:pPr>
        <w:spacing w:line="580" w:lineRule="exact"/>
        <w:ind w:firstLine="640"/>
        <w:jc w:val="both"/>
      </w:pPr>
      <w:r>
        <w:rPr>
          <w:rFonts w:ascii="仿宋_GB2312" w:hAnsi="仿宋_GB2312" w:eastAsia="仿宋_GB2312"/>
          <w:b w:val="0"/>
          <w:sz w:val="32"/>
        </w:rPr>
        <w:t>公务用车购置及运行维护费29.90万元，其中：公务用车购置费0.00万元，公务用车运行维护费29.90万元。公务用车运行维护费开支内容包括车辆加油费、维修费、保险费、审车费、过路费等。公务用车购置数0辆，公务用车保有量11辆。国有资产占用情况中固定资产车辆11辆，与公务用车保有量差异原因是：本部门固定资产车辆与公务用车保有量一致无差异。</w:t>
      </w:r>
    </w:p>
    <w:p w14:paraId="0B35B71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A8B820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29.90万元，决算数29.90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29.90万元，决算数29.90万元，预决算差异率0.00%，主要原因是：严格按照预算执行，预决算无差异。公务接待费全年预算数0.00万元，决算数0.00万元，预决算差异率0.00%，主要原因是：本部门无公务接待费。</w:t>
      </w:r>
    </w:p>
    <w:p w14:paraId="0A46020E">
      <w:pPr>
        <w:spacing w:line="640" w:lineRule="exact"/>
        <w:ind w:firstLine="640"/>
        <w:jc w:val="both"/>
        <w:outlineLvl w:val="2"/>
      </w:pPr>
      <w:r>
        <w:rPr>
          <w:rFonts w:ascii="黑体" w:hAnsi="黑体" w:eastAsia="黑体"/>
          <w:sz w:val="32"/>
        </w:rPr>
        <w:t>十、其他重要事项的情况说明</w:t>
      </w:r>
    </w:p>
    <w:p w14:paraId="185D3A62">
      <w:pPr>
        <w:spacing w:line="640" w:lineRule="exact"/>
        <w:ind w:firstLine="640"/>
        <w:jc w:val="both"/>
        <w:outlineLvl w:val="3"/>
      </w:pPr>
      <w:r>
        <w:rPr>
          <w:rFonts w:ascii="楷体_GB2312" w:hAnsi="楷体_GB2312" w:eastAsia="楷体_GB2312"/>
          <w:b/>
          <w:sz w:val="32"/>
        </w:rPr>
        <w:t>（一）机关运行经费及公用经费支出情况</w:t>
      </w:r>
    </w:p>
    <w:p w14:paraId="039000D2">
      <w:pPr>
        <w:spacing w:line="580" w:lineRule="exact"/>
        <w:ind w:firstLine="640"/>
        <w:jc w:val="both"/>
      </w:pPr>
      <w:r>
        <w:rPr>
          <w:rFonts w:ascii="仿宋_GB2312" w:hAnsi="仿宋_GB2312" w:eastAsia="仿宋_GB2312"/>
          <w:b w:val="0"/>
          <w:sz w:val="32"/>
        </w:rPr>
        <w:t>2024年度叶城县人民检察院（行政单位和参照公务员法管理事业单位）机关运行经费支出78.10万元，比上年减少1.14万元，下降1.44%，主要原因是：严控经费支出，厉行节约，减少经费支出。</w:t>
      </w:r>
    </w:p>
    <w:p w14:paraId="00A8FD0B">
      <w:pPr>
        <w:spacing w:line="640" w:lineRule="exact"/>
        <w:ind w:firstLine="640"/>
        <w:jc w:val="both"/>
        <w:outlineLvl w:val="3"/>
      </w:pPr>
      <w:r>
        <w:rPr>
          <w:rFonts w:ascii="楷体_GB2312" w:hAnsi="楷体_GB2312" w:eastAsia="楷体_GB2312"/>
          <w:b/>
          <w:sz w:val="32"/>
        </w:rPr>
        <w:t>（二）政府采购情况</w:t>
      </w:r>
    </w:p>
    <w:p w14:paraId="05988B16">
      <w:pPr>
        <w:spacing w:line="580" w:lineRule="exact"/>
        <w:ind w:firstLine="640"/>
        <w:jc w:val="both"/>
      </w:pPr>
      <w:r>
        <w:rPr>
          <w:rFonts w:ascii="仿宋_GB2312" w:hAnsi="仿宋_GB2312" w:eastAsia="仿宋_GB2312"/>
          <w:b w:val="0"/>
          <w:sz w:val="32"/>
        </w:rPr>
        <w:t>2024年度政府采购支出总额77.98万元，其中：政府采购货物支出38.33万元、政府采购工程支出0.00万元、政府采购服务支出39.66万元。</w:t>
      </w:r>
    </w:p>
    <w:p w14:paraId="5364FD49">
      <w:pPr>
        <w:spacing w:line="580" w:lineRule="exact"/>
        <w:ind w:firstLine="640"/>
        <w:jc w:val="both"/>
      </w:pPr>
      <w:r>
        <w:rPr>
          <w:rFonts w:ascii="仿宋_GB2312" w:hAnsi="仿宋_GB2312" w:eastAsia="仿宋_GB2312"/>
          <w:b w:val="0"/>
          <w:sz w:val="32"/>
        </w:rPr>
        <w:t>授予中小企业合同金额77.72万元，占政府采购支出总额的99.67%，其中：授予小微企业合同金额74.87万元，占政府采购支出总额的96.01%。</w:t>
      </w:r>
    </w:p>
    <w:p w14:paraId="670199E1">
      <w:pPr>
        <w:spacing w:line="640" w:lineRule="exact"/>
        <w:ind w:firstLine="640"/>
        <w:jc w:val="both"/>
        <w:outlineLvl w:val="3"/>
      </w:pPr>
      <w:r>
        <w:rPr>
          <w:rFonts w:ascii="楷体_GB2312" w:hAnsi="楷体_GB2312" w:eastAsia="楷体_GB2312"/>
          <w:b/>
          <w:sz w:val="32"/>
        </w:rPr>
        <w:t>（三）国有资产占用情况说明</w:t>
      </w:r>
    </w:p>
    <w:p w14:paraId="12AB081C">
      <w:pPr>
        <w:spacing w:line="580" w:lineRule="exact"/>
        <w:ind w:firstLine="640"/>
        <w:jc w:val="both"/>
      </w:pPr>
      <w:r>
        <w:rPr>
          <w:rFonts w:ascii="仿宋_GB2312" w:hAnsi="仿宋_GB2312" w:eastAsia="仿宋_GB2312"/>
          <w:b w:val="0"/>
          <w:sz w:val="32"/>
        </w:rPr>
        <w:t>截至2024年12月31日，房屋4,021.34平方米，价值634.92万元。车辆11辆，价值259.90万元，其中：副部（省）级及以上领导用车0辆、主要负责人用车0辆、机要通信用车0辆、应急保障用车0辆、执法执勤用车9辆、特种专业技术用车1辆、离退休干部服务用车0辆、其他用车1辆，其他用车主要是：一般公务用车。单价100万元（含）以上设备（不含车辆）0台（套）。</w:t>
      </w:r>
    </w:p>
    <w:p w14:paraId="7B36FED1">
      <w:pPr>
        <w:spacing w:line="640" w:lineRule="exact"/>
        <w:ind w:firstLine="640"/>
        <w:jc w:val="both"/>
        <w:outlineLvl w:val="2"/>
      </w:pPr>
      <w:r>
        <w:rPr>
          <w:rFonts w:ascii="黑体" w:hAnsi="黑体" w:eastAsia="黑体"/>
          <w:sz w:val="32"/>
        </w:rPr>
        <w:t>十一、预算绩效的情况说明</w:t>
      </w:r>
    </w:p>
    <w:p w14:paraId="2DECDA8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根据预算绩效管理要求，本部门2024年度预算绩效管理形成整体支出绩效自评表1个，全年预算总额1,784.27万元，实际执行总额1,784.27万元；预算绩效评价项目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394.21</w:t>
      </w:r>
      <w:r>
        <w:rPr>
          <w:rFonts w:ascii="仿宋_GB2312" w:hAnsi="仿宋_GB2312" w:eastAsia="仿宋_GB2312"/>
          <w:b w:val="0"/>
          <w:sz w:val="32"/>
        </w:rPr>
        <w:t>万元，全年执行数</w:t>
      </w:r>
      <w:r>
        <w:rPr>
          <w:rFonts w:hint="eastAsia" w:ascii="仿宋_GB2312" w:hAnsi="仿宋_GB2312" w:eastAsia="仿宋_GB2312"/>
          <w:b w:val="0"/>
          <w:sz w:val="32"/>
        </w:rPr>
        <w:t>394.21</w:t>
      </w:r>
      <w:r>
        <w:rPr>
          <w:rFonts w:ascii="仿宋_GB2312" w:hAnsi="仿宋_GB2312" w:eastAsia="仿宋_GB2312"/>
          <w:b w:val="0"/>
          <w:sz w:val="32"/>
        </w:rPr>
        <w:t>万元。预算绩效管理取得的成效：一是强化项目管理流程，从项目立项之初，便制定详细的项目计划书，明确各个阶段的任务、时间节点与责任人。在实施过程中，严格按照计划推进，定期开展项目进度检查，一旦发现偏差，及时分析原因并采取纠正措施。二是注重多部门协同合作，涉及多个部门的项目，建立跨部门协调机制。共享信息资源，打破部门壁垒，形成工作合力，共同推动项目目标的实现，提高了案件办理效率和质量。发现的问题及原因：一是项目预算执行偏差，有时项目实际支出超出预算，如一些信息化建设项目，因设备价格波动、变更需求等原因，导致预算超支。也有部分项目预算执行进度缓慢，资金闲置，影响项目实施进度和资金使用效益。二是在年初设置项目绩效目标值时预期值偏低，主要是对项目的认识不够，设置目标值时过于小心，导致完成值大于目标值。三是单位内部绩效职责不清，工作力量安排不到位，很多工作都是财务科室独自完成项目的绩效申报、自评。下一步改进措施：一是加强前期准备，加强项目管理力度。项目前期做好可行性研究报告，更加细化实施方案，严格执行资金管理办法和财政资金管理制度，严格按照项目实施方案稳步推进工作；项目启动时同步做好档案的归档与整理，及时整理、收集、汇总，健全档案资料；通过绩效管理，发现项目实施中存在漏洞，及时掌握与之相关的各类信息，减少成本，使资金效益最大化。二是健全项目管理机制，加强管理意识。按照预算支出内容，以结果为导向，设置合理的绩效目标，加强项目实施效果的管理；完善资金管理制度，树立监督管理责任意识，加强资金监管力度，完善资金监管制度，建立“预算编制有目标，预算完成有评价，评价结果有反馈，反馈结果有应用”的预算绩效管理机制。具体附部门整体支出绩效自评表，项目支出绩效自评表。</w:t>
      </w:r>
    </w:p>
    <w:p w14:paraId="1DAF94C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BDF9BE">
        <w:tblPrEx>
          <w:tblCellMar>
            <w:top w:w="0" w:type="dxa"/>
            <w:left w:w="108" w:type="dxa"/>
            <w:bottom w:w="0" w:type="dxa"/>
            <w:right w:w="108" w:type="dxa"/>
          </w:tblCellMar>
        </w:tblPrEx>
        <w:tc>
          <w:tcPr>
            <w:tcW w:w="8847" w:type="dxa"/>
            <w:gridSpan w:val="9"/>
            <w:vAlign w:val="center"/>
          </w:tcPr>
          <w:p w14:paraId="12812BFD">
            <w:pPr>
              <w:jc w:val="center"/>
            </w:pPr>
            <w:r>
              <w:rPr>
                <w:rFonts w:ascii="宋体" w:hAnsi="宋体" w:eastAsia="宋体"/>
                <w:sz w:val="24"/>
              </w:rPr>
              <w:t>部门整体支出绩效自评表</w:t>
            </w:r>
          </w:p>
        </w:tc>
      </w:tr>
      <w:tr w14:paraId="4C3D9E26">
        <w:tblPrEx>
          <w:tblCellMar>
            <w:top w:w="0" w:type="dxa"/>
            <w:left w:w="108" w:type="dxa"/>
            <w:bottom w:w="0" w:type="dxa"/>
            <w:right w:w="108" w:type="dxa"/>
          </w:tblCellMar>
        </w:tblPrEx>
        <w:tc>
          <w:tcPr>
            <w:tcW w:w="8847" w:type="dxa"/>
            <w:gridSpan w:val="9"/>
            <w:vAlign w:val="center"/>
          </w:tcPr>
          <w:p w14:paraId="6204D12B">
            <w:pPr>
              <w:jc w:val="center"/>
            </w:pPr>
            <w:r>
              <w:rPr>
                <w:rFonts w:ascii="宋体" w:hAnsi="宋体" w:eastAsia="宋体"/>
                <w:sz w:val="24"/>
              </w:rPr>
              <w:t>（2024年度）</w:t>
            </w:r>
          </w:p>
        </w:tc>
      </w:tr>
      <w:tr w14:paraId="4FB526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DBFE4">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4AC04E">
            <w:pPr>
              <w:jc w:val="center"/>
            </w:pPr>
            <w:r>
              <w:rPr>
                <w:rFonts w:ascii="宋体" w:hAnsi="宋体" w:eastAsia="宋体"/>
                <w:sz w:val="16"/>
              </w:rPr>
              <w:t>叶城县人民检察院</w:t>
            </w:r>
          </w:p>
        </w:tc>
      </w:tr>
      <w:tr w14:paraId="6D66AE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E6BD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40BA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138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DD3D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1F86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6C94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1AC9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9203">
            <w:pPr>
              <w:jc w:val="center"/>
            </w:pPr>
            <w:r>
              <w:rPr>
                <w:rFonts w:ascii="宋体" w:hAnsi="宋体" w:eastAsia="宋体"/>
                <w:sz w:val="16"/>
              </w:rPr>
              <w:t>得分</w:t>
            </w:r>
          </w:p>
        </w:tc>
      </w:tr>
      <w:tr w14:paraId="11BE8C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451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7ABD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8D500">
            <w:pPr>
              <w:jc w:val="center"/>
            </w:pPr>
            <w:r>
              <w:rPr>
                <w:rFonts w:ascii="宋体" w:hAnsi="宋体" w:eastAsia="宋体"/>
                <w:sz w:val="16"/>
              </w:rPr>
              <w:t>1,810.81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8711F">
            <w:pPr>
              <w:jc w:val="center"/>
            </w:pPr>
            <w:r>
              <w:rPr>
                <w:rFonts w:ascii="宋体" w:hAnsi="宋体" w:eastAsia="宋体"/>
                <w:sz w:val="16"/>
              </w:rPr>
              <w:t>1,784.27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CB4F9">
            <w:pPr>
              <w:jc w:val="center"/>
            </w:pPr>
            <w:r>
              <w:rPr>
                <w:rFonts w:ascii="宋体" w:hAnsi="宋体" w:eastAsia="宋体"/>
                <w:sz w:val="16"/>
              </w:rPr>
              <w:t>1,784.27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2A8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01B2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23232">
            <w:pPr>
              <w:jc w:val="center"/>
            </w:pPr>
            <w:r>
              <w:rPr>
                <w:rFonts w:ascii="宋体" w:hAnsi="宋体" w:eastAsia="宋体"/>
                <w:sz w:val="16"/>
              </w:rPr>
              <w:t>10</w:t>
            </w:r>
          </w:p>
        </w:tc>
      </w:tr>
      <w:tr w14:paraId="01C438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F91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ECE9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6CD81">
            <w:pPr>
              <w:jc w:val="center"/>
            </w:pPr>
            <w:r>
              <w:rPr>
                <w:rFonts w:ascii="宋体" w:hAnsi="宋体" w:eastAsia="宋体"/>
                <w:sz w:val="16"/>
              </w:rPr>
              <w:t>356.55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0D18A">
            <w:pPr>
              <w:jc w:val="center"/>
            </w:pPr>
            <w:r>
              <w:rPr>
                <w:rFonts w:ascii="宋体" w:hAnsi="宋体" w:eastAsia="宋体"/>
                <w:sz w:val="16"/>
              </w:rPr>
              <w:t>373.46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EFBD8">
            <w:pPr>
              <w:jc w:val="center"/>
            </w:pPr>
            <w:r>
              <w:rPr>
                <w:rFonts w:ascii="宋体" w:hAnsi="宋体" w:eastAsia="宋体"/>
                <w:sz w:val="16"/>
              </w:rPr>
              <w:t>373.46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B89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B05E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A100D">
            <w:pPr>
              <w:jc w:val="center"/>
            </w:pPr>
            <w:r>
              <w:rPr>
                <w:rFonts w:ascii="宋体" w:hAnsi="宋体" w:eastAsia="宋体"/>
                <w:sz w:val="16"/>
              </w:rPr>
              <w:t>—</w:t>
            </w:r>
          </w:p>
        </w:tc>
      </w:tr>
      <w:tr w14:paraId="3C4EA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4AB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D514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A240C">
            <w:pPr>
              <w:jc w:val="center"/>
            </w:pPr>
            <w:r>
              <w:rPr>
                <w:rFonts w:ascii="宋体" w:hAnsi="宋体" w:eastAsia="宋体"/>
                <w:sz w:val="16"/>
              </w:rPr>
              <w:t>1,454.26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8E337">
            <w:pPr>
              <w:jc w:val="center"/>
            </w:pPr>
            <w:r>
              <w:rPr>
                <w:rFonts w:ascii="宋体" w:hAnsi="宋体" w:eastAsia="宋体"/>
                <w:sz w:val="16"/>
              </w:rPr>
              <w:t>1,410.81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9B5B8">
            <w:pPr>
              <w:jc w:val="center"/>
            </w:pPr>
            <w:r>
              <w:rPr>
                <w:rFonts w:ascii="宋体" w:hAnsi="宋体" w:eastAsia="宋体"/>
                <w:sz w:val="16"/>
              </w:rPr>
              <w:t>1,410.81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2B5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00A5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CC315">
            <w:pPr>
              <w:jc w:val="center"/>
            </w:pPr>
            <w:r>
              <w:rPr>
                <w:rFonts w:ascii="宋体" w:hAnsi="宋体" w:eastAsia="宋体"/>
                <w:sz w:val="16"/>
              </w:rPr>
              <w:t>—</w:t>
            </w:r>
          </w:p>
        </w:tc>
      </w:tr>
      <w:tr w14:paraId="4CDE6B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431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DCAC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5DE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D82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4BC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93B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7FAE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A819E">
            <w:pPr>
              <w:jc w:val="center"/>
            </w:pPr>
            <w:r>
              <w:rPr>
                <w:rFonts w:ascii="宋体" w:hAnsi="宋体" w:eastAsia="宋体"/>
                <w:sz w:val="16"/>
              </w:rPr>
              <w:t>—</w:t>
            </w:r>
          </w:p>
        </w:tc>
      </w:tr>
      <w:tr w14:paraId="7DECCD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55A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8A8A9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D91B95">
            <w:pPr>
              <w:jc w:val="center"/>
            </w:pPr>
            <w:r>
              <w:rPr>
                <w:rFonts w:ascii="宋体" w:hAnsi="宋体" w:eastAsia="宋体"/>
                <w:sz w:val="16"/>
              </w:rPr>
              <w:t>实际完成情况</w:t>
            </w:r>
          </w:p>
        </w:tc>
      </w:tr>
      <w:tr w14:paraId="4D7126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36923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10CCDF">
            <w:pPr>
              <w:jc w:val="both"/>
            </w:pPr>
            <w:r>
              <w:rPr>
                <w:rFonts w:ascii="宋体" w:hAnsi="宋体" w:eastAsia="宋体"/>
                <w:sz w:val="16"/>
              </w:rPr>
              <w:t>2024年我院持续加强民事行政检察监督；大力推进公益诉讼检察监督，全院全年预计受理案件数为360件以上，检察建议采纳率达到95%以上，办理公益诉讼监督案件数85件以上，提升依法履职能力，推动“四大检察的”协调发展，打造忠诚干净担当的过硬检察队伍，切实加强检察建议采纳质量；不断深化信访工作,努力提升信访工作水平，预计办理信访案件数50件以上，信访案件结果100%答复率；提升依法履职能力，打造忠诚干净担当的过硬检察队伍，保障检察业务工作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B74A89">
            <w:pPr>
              <w:jc w:val="both"/>
            </w:pPr>
            <w:r>
              <w:rPr>
                <w:rFonts w:ascii="宋体" w:hAnsi="宋体" w:eastAsia="宋体"/>
                <w:sz w:val="16"/>
              </w:rPr>
              <w:t>2024年，叶城县人民检察院在县委和上级检察机关的领导下，在县人大及其常委会的监督、县政府的支持和县政协的民主监督下，以服务县域经济发展为第一要务，以保障民生建设为第一目标，进一步强化法律监督职责、不断完善内部监督制约，狠抓队伍专业化建设和科技强检规范化建设，力促各项检察工作再上新台阶</w:t>
            </w:r>
            <w:r>
              <w:rPr>
                <w:rFonts w:hint="eastAsia" w:ascii="宋体" w:hAnsi="宋体"/>
                <w:sz w:val="16"/>
                <w:lang w:eastAsia="zh-CN"/>
              </w:rPr>
              <w:t>，</w:t>
            </w:r>
            <w:r>
              <w:rPr>
                <w:rFonts w:ascii="宋体" w:hAnsi="宋体" w:eastAsia="宋体"/>
                <w:sz w:val="16"/>
              </w:rPr>
              <w:t>忠实履行宪法和法律赋予的职责。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坚持宪法定位，依法履行刑事、民事、行政、公益诉讼检察职能，促进严格执法、公正司法，努力让人民群众可感受、能感受、感受到公平正义就在身边。一是刑事检察注重行稳致远，二是民事、行政检察注重提质增量，三是公益诉讼检察注重精准规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在全面推进“四大检察”的同时，更加注重人民司法，在积极解决群众急难愁盼中践行检察使命，促进社会安定和谐。一是做实检察为民，二是护航未成年人健康成长，三是引领社会法治风尚。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办理民事行政监督案件数188件，办理信访案件数72件，办理公益诉讼监督案件数76件，信访案件结果答复率、检察建议采纳率均为100%。各项检察工作取得新进展。</w:t>
            </w:r>
          </w:p>
        </w:tc>
      </w:tr>
      <w:tr w14:paraId="4321CD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50E4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791A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A9EC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D4AC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B22F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AC77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FF8B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8EED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0CAB">
            <w:pPr>
              <w:jc w:val="center"/>
            </w:pPr>
            <w:r>
              <w:rPr>
                <w:rFonts w:ascii="宋体" w:hAnsi="宋体" w:eastAsia="宋体"/>
                <w:sz w:val="16"/>
              </w:rPr>
              <w:t>得分</w:t>
            </w:r>
          </w:p>
        </w:tc>
      </w:tr>
      <w:tr w14:paraId="41A2C6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A4F2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C03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2DD06">
            <w:pPr>
              <w:jc w:val="center"/>
            </w:pPr>
            <w:r>
              <w:rPr>
                <w:rFonts w:ascii="宋体" w:hAnsi="宋体" w:eastAsia="宋体"/>
                <w:sz w:val="16"/>
              </w:rPr>
              <w:t>办理民事行政监督案件数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EA988">
            <w:pPr>
              <w:jc w:val="center"/>
            </w:pPr>
            <w:r>
              <w:rPr>
                <w:rFonts w:ascii="宋体" w:hAnsi="宋体" w:eastAsia="宋体"/>
                <w:sz w:val="16"/>
              </w:rPr>
              <w:t>&gt;=130件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90732">
            <w:pPr>
              <w:jc w:val="center"/>
            </w:pPr>
            <w:r>
              <w:rPr>
                <w:rFonts w:ascii="宋体" w:hAnsi="宋体" w:eastAsia="宋体"/>
                <w:sz w:val="16"/>
              </w:rPr>
              <w:t>《叶城县人民检察院2023年工作报告》《叶城县人民检察院2024年工作计划》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849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4E858">
            <w:pPr>
              <w:jc w:val="center"/>
            </w:pPr>
            <w:r>
              <w:rPr>
                <w:rFonts w:ascii="宋体" w:hAnsi="宋体" w:eastAsia="宋体"/>
                <w:sz w:val="16"/>
              </w:rPr>
              <w:t>188件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6EAE5">
            <w:pPr>
              <w:jc w:val="center"/>
            </w:pPr>
            <w:r>
              <w:rPr>
                <w:rFonts w:ascii="宋体" w:hAnsi="宋体" w:eastAsia="宋体"/>
                <w:sz w:val="16"/>
              </w:rPr>
              <w:t>144.61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C80D5">
            <w:pPr>
              <w:jc w:val="center"/>
            </w:pPr>
            <w:r>
              <w:rPr>
                <w:rFonts w:ascii="宋体" w:hAnsi="宋体" w:eastAsia="宋体"/>
                <w:sz w:val="16"/>
              </w:rPr>
              <w:t>20</w:t>
            </w:r>
          </w:p>
        </w:tc>
      </w:tr>
      <w:tr w14:paraId="119C36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5AC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D81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B7F1B">
            <w:pPr>
              <w:jc w:val="center"/>
            </w:pPr>
            <w:r>
              <w:rPr>
                <w:rFonts w:ascii="宋体" w:hAnsi="宋体" w:eastAsia="宋体"/>
                <w:sz w:val="16"/>
              </w:rPr>
              <w:t>办理信访案件数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E1F7F">
            <w:pPr>
              <w:jc w:val="center"/>
            </w:pPr>
            <w:r>
              <w:rPr>
                <w:rFonts w:ascii="宋体" w:hAnsi="宋体" w:eastAsia="宋体"/>
                <w:sz w:val="16"/>
              </w:rPr>
              <w:t>&gt;=50件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44E01">
            <w:pPr>
              <w:jc w:val="center"/>
            </w:pPr>
            <w:r>
              <w:rPr>
                <w:rFonts w:ascii="宋体" w:hAnsi="宋体" w:eastAsia="宋体"/>
                <w:sz w:val="16"/>
              </w:rPr>
              <w:t>《叶城县人民检察院2023年工作报告》《叶城县人民检察院2024年工作计划》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ED1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66F42">
            <w:pPr>
              <w:jc w:val="center"/>
            </w:pPr>
            <w:r>
              <w:rPr>
                <w:rFonts w:ascii="宋体" w:hAnsi="宋体" w:eastAsia="宋体"/>
                <w:sz w:val="16"/>
              </w:rPr>
              <w:t>72件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9349C">
            <w:pPr>
              <w:jc w:val="center"/>
            </w:pPr>
            <w:r>
              <w:rPr>
                <w:rFonts w:ascii="宋体" w:hAnsi="宋体" w:eastAsia="宋体"/>
                <w:sz w:val="16"/>
              </w:rPr>
              <w:t>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A2C8D">
            <w:pPr>
              <w:jc w:val="center"/>
            </w:pPr>
            <w:r>
              <w:rPr>
                <w:rFonts w:ascii="宋体" w:hAnsi="宋体" w:eastAsia="宋体"/>
                <w:sz w:val="16"/>
              </w:rPr>
              <w:t>20</w:t>
            </w:r>
          </w:p>
        </w:tc>
      </w:tr>
      <w:tr w14:paraId="676179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C48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332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0D542">
            <w:pPr>
              <w:jc w:val="center"/>
            </w:pPr>
            <w:r>
              <w:rPr>
                <w:rFonts w:ascii="宋体" w:hAnsi="宋体" w:eastAsia="宋体"/>
                <w:sz w:val="16"/>
              </w:rPr>
              <w:t>办理公益诉讼监督案件数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F1CCC">
            <w:pPr>
              <w:jc w:val="center"/>
            </w:pPr>
            <w:r>
              <w:rPr>
                <w:rFonts w:ascii="宋体" w:hAnsi="宋体" w:eastAsia="宋体"/>
                <w:sz w:val="16"/>
              </w:rPr>
              <w:t>&gt;=85件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3907B">
            <w:pPr>
              <w:jc w:val="center"/>
            </w:pPr>
            <w:r>
              <w:rPr>
                <w:rFonts w:ascii="宋体" w:hAnsi="宋体" w:eastAsia="宋体"/>
                <w:sz w:val="16"/>
              </w:rPr>
              <w:t>《叶城县人民检察院2023年工作报告》《叶城县人民检察院2024年工作计划》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E1F2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4B9FD">
            <w:pPr>
              <w:jc w:val="center"/>
            </w:pPr>
            <w:r>
              <w:rPr>
                <w:rFonts w:ascii="宋体" w:hAnsi="宋体" w:eastAsia="宋体"/>
                <w:sz w:val="16"/>
              </w:rPr>
              <w:t>76件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1892F">
            <w:pPr>
              <w:jc w:val="center"/>
            </w:pPr>
            <w:r>
              <w:rPr>
                <w:rFonts w:ascii="宋体" w:hAnsi="宋体" w:eastAsia="宋体"/>
                <w:sz w:val="16"/>
              </w:rPr>
              <w:t>89.41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BEC19">
            <w:pPr>
              <w:jc w:val="center"/>
            </w:pPr>
            <w:r>
              <w:rPr>
                <w:rFonts w:ascii="宋体" w:hAnsi="宋体" w:eastAsia="宋体"/>
                <w:sz w:val="16"/>
              </w:rPr>
              <w:t>17.88</w:t>
            </w:r>
          </w:p>
        </w:tc>
      </w:tr>
      <w:tr w14:paraId="734E87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1D2F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898F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353BD">
            <w:pPr>
              <w:jc w:val="center"/>
            </w:pPr>
            <w:r>
              <w:rPr>
                <w:rFonts w:ascii="宋体" w:hAnsi="宋体" w:eastAsia="宋体"/>
                <w:sz w:val="16"/>
              </w:rPr>
              <w:t>信访案件结果答复率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E7C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73CBB">
            <w:pPr>
              <w:jc w:val="center"/>
            </w:pPr>
            <w:r>
              <w:rPr>
                <w:rFonts w:ascii="宋体" w:hAnsi="宋体" w:eastAsia="宋体"/>
                <w:sz w:val="16"/>
              </w:rPr>
              <w:t>《叶城县人民检察院2023年工作报告》《叶城县人民检察院2024年工作计划》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DC8A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2D2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D7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900F1">
            <w:pPr>
              <w:jc w:val="center"/>
            </w:pPr>
            <w:r>
              <w:rPr>
                <w:rFonts w:ascii="宋体" w:hAnsi="宋体" w:eastAsia="宋体"/>
                <w:sz w:val="16"/>
              </w:rPr>
              <w:t>15</w:t>
            </w:r>
          </w:p>
        </w:tc>
      </w:tr>
      <w:tr w14:paraId="6B12F2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C04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AD0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0D33">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0516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23004">
            <w:pPr>
              <w:jc w:val="center"/>
            </w:pPr>
            <w:r>
              <w:rPr>
                <w:rFonts w:ascii="宋体" w:hAnsi="宋体" w:eastAsia="宋体"/>
                <w:sz w:val="16"/>
              </w:rPr>
              <w:t>《叶城县人民检察院2023年工作报告》《叶城县人民检察院2024年工作计划》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7DED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6DA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4C650">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C3B09">
            <w:pPr>
              <w:jc w:val="center"/>
            </w:pPr>
            <w:r>
              <w:rPr>
                <w:rFonts w:ascii="宋体" w:hAnsi="宋体" w:eastAsia="宋体"/>
                <w:sz w:val="16"/>
              </w:rPr>
              <w:t>15</w:t>
            </w:r>
          </w:p>
        </w:tc>
      </w:tr>
    </w:tbl>
    <w:p w14:paraId="4F3524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C063B0E">
        <w:tblPrEx>
          <w:tblCellMar>
            <w:top w:w="0" w:type="dxa"/>
            <w:left w:w="108" w:type="dxa"/>
            <w:bottom w:w="0" w:type="dxa"/>
            <w:right w:w="108" w:type="dxa"/>
          </w:tblCellMar>
        </w:tblPrEx>
        <w:tc>
          <w:tcPr>
            <w:tcW w:w="8848" w:type="dxa"/>
            <w:gridSpan w:val="14"/>
            <w:vAlign w:val="center"/>
          </w:tcPr>
          <w:p w14:paraId="56DD3A78">
            <w:pPr>
              <w:jc w:val="center"/>
            </w:pPr>
            <w:r>
              <w:rPr>
                <w:rFonts w:ascii="宋体" w:hAnsi="宋体" w:eastAsia="宋体"/>
                <w:sz w:val="24"/>
              </w:rPr>
              <w:t>项目支出绩效自评表</w:t>
            </w:r>
          </w:p>
        </w:tc>
      </w:tr>
      <w:tr w14:paraId="3B028244">
        <w:tblPrEx>
          <w:tblCellMar>
            <w:top w:w="0" w:type="dxa"/>
            <w:left w:w="108" w:type="dxa"/>
            <w:bottom w:w="0" w:type="dxa"/>
            <w:right w:w="108" w:type="dxa"/>
          </w:tblCellMar>
        </w:tblPrEx>
        <w:tc>
          <w:tcPr>
            <w:tcW w:w="8848" w:type="dxa"/>
            <w:gridSpan w:val="14"/>
            <w:vAlign w:val="center"/>
          </w:tcPr>
          <w:p w14:paraId="73363DB3">
            <w:pPr>
              <w:jc w:val="center"/>
            </w:pPr>
            <w:r>
              <w:rPr>
                <w:rFonts w:ascii="宋体" w:hAnsi="宋体" w:eastAsia="宋体"/>
                <w:sz w:val="24"/>
              </w:rPr>
              <w:t>(2024年度)</w:t>
            </w:r>
          </w:p>
        </w:tc>
      </w:tr>
      <w:tr w14:paraId="4703D6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9D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E9FBFC">
            <w:pPr>
              <w:jc w:val="center"/>
            </w:pPr>
            <w:r>
              <w:rPr>
                <w:rFonts w:ascii="宋体" w:hAnsi="宋体" w:eastAsia="宋体"/>
                <w:sz w:val="16"/>
              </w:rPr>
              <w:t>综合业务保障项目</w:t>
            </w:r>
          </w:p>
        </w:tc>
      </w:tr>
      <w:tr w14:paraId="4FB6D3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6A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A6DDF">
            <w:pPr>
              <w:jc w:val="center"/>
            </w:pPr>
            <w:r>
              <w:rPr>
                <w:rFonts w:ascii="宋体" w:hAnsi="宋体" w:eastAsia="宋体"/>
                <w:sz w:val="16"/>
              </w:rPr>
              <w:t>叶城县人民检察院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DF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02FDF7">
            <w:pPr>
              <w:jc w:val="center"/>
            </w:pPr>
            <w:r>
              <w:rPr>
                <w:rFonts w:ascii="宋体" w:hAnsi="宋体" w:eastAsia="宋体"/>
                <w:sz w:val="16"/>
              </w:rPr>
              <w:t>叶城县人民检察院</w:t>
            </w:r>
          </w:p>
        </w:tc>
      </w:tr>
      <w:tr w14:paraId="5D677D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882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571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E0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1FE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5BB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4C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3BB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4FEE">
            <w:pPr>
              <w:jc w:val="center"/>
            </w:pPr>
            <w:r>
              <w:rPr>
                <w:rFonts w:ascii="宋体" w:hAnsi="宋体" w:eastAsia="宋体"/>
                <w:sz w:val="16"/>
              </w:rPr>
              <w:t>得分</w:t>
            </w:r>
          </w:p>
        </w:tc>
      </w:tr>
      <w:tr w14:paraId="63932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7E5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F68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5943A">
            <w:pPr>
              <w:jc w:val="center"/>
            </w:pPr>
            <w:r>
              <w:rPr>
                <w:rFonts w:ascii="宋体" w:hAnsi="宋体" w:eastAsia="宋体"/>
                <w:sz w:val="16"/>
              </w:rPr>
              <w:t>27.97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A3FB">
            <w:pPr>
              <w:jc w:val="center"/>
            </w:pPr>
            <w:r>
              <w:rPr>
                <w:rFonts w:ascii="宋体" w:hAnsi="宋体" w:eastAsia="宋体"/>
                <w:sz w:val="16"/>
              </w:rPr>
              <w:t>27.97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04EA2">
            <w:pPr>
              <w:jc w:val="center"/>
            </w:pPr>
            <w:r>
              <w:rPr>
                <w:rFonts w:ascii="宋体" w:hAnsi="宋体" w:eastAsia="宋体"/>
                <w:sz w:val="16"/>
              </w:rPr>
              <w:t>27.97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833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56A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8698">
            <w:pPr>
              <w:jc w:val="center"/>
            </w:pPr>
            <w:r>
              <w:rPr>
                <w:rFonts w:ascii="宋体" w:hAnsi="宋体" w:eastAsia="宋体"/>
                <w:sz w:val="16"/>
              </w:rPr>
              <w:t>10.00分</w:t>
            </w:r>
          </w:p>
        </w:tc>
      </w:tr>
      <w:tr w14:paraId="2EB77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B7E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3F4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D642">
            <w:pPr>
              <w:jc w:val="center"/>
            </w:pPr>
            <w:r>
              <w:rPr>
                <w:rFonts w:ascii="宋体" w:hAnsi="宋体" w:eastAsia="宋体"/>
                <w:sz w:val="16"/>
              </w:rPr>
              <w:t>27.97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B9312">
            <w:pPr>
              <w:jc w:val="center"/>
            </w:pPr>
            <w:r>
              <w:rPr>
                <w:rFonts w:ascii="宋体" w:hAnsi="宋体" w:eastAsia="宋体"/>
                <w:sz w:val="16"/>
              </w:rPr>
              <w:t>27.97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0ACE">
            <w:pPr>
              <w:jc w:val="center"/>
            </w:pPr>
            <w:r>
              <w:rPr>
                <w:rFonts w:ascii="宋体" w:hAnsi="宋体" w:eastAsia="宋体"/>
                <w:sz w:val="16"/>
              </w:rPr>
              <w:t>27.97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B3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F3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5300">
            <w:pPr>
              <w:jc w:val="center"/>
            </w:pPr>
            <w:r>
              <w:rPr>
                <w:rFonts w:ascii="宋体" w:hAnsi="宋体" w:eastAsia="宋体"/>
                <w:sz w:val="16"/>
              </w:rPr>
              <w:t>—</w:t>
            </w:r>
          </w:p>
        </w:tc>
      </w:tr>
      <w:tr w14:paraId="29133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FEB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A5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712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77D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8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DB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B58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CE4D">
            <w:pPr>
              <w:jc w:val="center"/>
            </w:pPr>
            <w:r>
              <w:rPr>
                <w:rFonts w:ascii="宋体" w:hAnsi="宋体" w:eastAsia="宋体"/>
                <w:sz w:val="16"/>
              </w:rPr>
              <w:t>—</w:t>
            </w:r>
          </w:p>
        </w:tc>
      </w:tr>
      <w:tr w14:paraId="21E64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3E1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F00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F1DA0">
            <w:pPr>
              <w:jc w:val="center"/>
            </w:pPr>
            <w:r>
              <w:rPr>
                <w:rFonts w:ascii="宋体" w:hAnsi="宋体" w:eastAsia="宋体"/>
                <w:sz w:val="16"/>
              </w:rPr>
              <w:t>实际完成情况</w:t>
            </w:r>
          </w:p>
        </w:tc>
      </w:tr>
      <w:tr w14:paraId="29949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2C3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9CF6E">
            <w:pPr>
              <w:jc w:val="both"/>
            </w:pPr>
            <w:r>
              <w:rPr>
                <w:rFonts w:ascii="宋体" w:hAnsi="宋体" w:eastAsia="宋体"/>
                <w:sz w:val="16"/>
              </w:rPr>
              <w:t>该项目依据年初预算批复下达本级项目资金27.97万元,其中维修（护）费项目27.97万元，用于单位日常办公设备的维修和其他维修等；保障基层检察院办公设备等正常运行，提高工作效率，全面推进各项检察工作业务，充分发挥基层检察职能作用，有效促进司法为民，努力让人民群众在每一件司法案件中感受到公平正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21ED04">
            <w:pPr>
              <w:jc w:val="both"/>
            </w:pPr>
            <w:r>
              <w:rPr>
                <w:rFonts w:ascii="宋体" w:hAnsi="宋体" w:eastAsia="宋体"/>
                <w:sz w:val="16"/>
              </w:rPr>
              <w:t>该项目资金共支付27.97万元，主要用于单位业务用房的维修，该项目的实施，维修了损坏的办公设备和单位其他日常维修，保障了设备的正常运行，提高了工作效率。</w:t>
            </w:r>
          </w:p>
        </w:tc>
      </w:tr>
      <w:tr w14:paraId="0E4773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D312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0D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10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1B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AF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81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1A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A0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2F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D1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67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BA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6103C">
            <w:pPr>
              <w:jc w:val="center"/>
            </w:pPr>
            <w:r>
              <w:rPr>
                <w:rFonts w:ascii="宋体" w:hAnsi="宋体" w:eastAsia="宋体"/>
                <w:sz w:val="16"/>
              </w:rPr>
              <w:t>偏差原因分析及改进措施</w:t>
            </w:r>
          </w:p>
        </w:tc>
      </w:tr>
      <w:tr w14:paraId="29F88A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469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8DC8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F9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6DA5">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4C2F">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7BF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813E">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E2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42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72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8B4A">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08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48DC2">
            <w:pPr>
              <w:jc w:val="center"/>
            </w:pPr>
          </w:p>
        </w:tc>
      </w:tr>
      <w:tr w14:paraId="02F93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A6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71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ED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91A6">
            <w:pPr>
              <w:jc w:val="center"/>
            </w:pPr>
            <w:r>
              <w:rPr>
                <w:rFonts w:ascii="宋体" w:hAnsi="宋体" w:eastAsia="宋体"/>
                <w:sz w:val="16"/>
              </w:rPr>
              <w:t>财务支出程序合规率（%）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C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0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E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3A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22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1E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7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09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7F23">
            <w:pPr>
              <w:jc w:val="center"/>
            </w:pPr>
          </w:p>
        </w:tc>
      </w:tr>
      <w:tr w14:paraId="18EEC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96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1C5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943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466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2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C8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F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0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15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7D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E9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A9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88B37">
            <w:pPr>
              <w:jc w:val="center"/>
            </w:pPr>
          </w:p>
        </w:tc>
      </w:tr>
      <w:tr w14:paraId="56C7F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92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0E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A2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CC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216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79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B9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65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C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3D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7952">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C5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D971">
            <w:pPr>
              <w:jc w:val="center"/>
            </w:pPr>
          </w:p>
        </w:tc>
      </w:tr>
      <w:tr w14:paraId="55D89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90A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64D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A4E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0649">
            <w:pPr>
              <w:jc w:val="center"/>
            </w:pPr>
            <w:r>
              <w:rPr>
                <w:rFonts w:ascii="宋体" w:hAnsi="宋体" w:eastAsia="宋体"/>
                <w:sz w:val="16"/>
              </w:rPr>
              <w:t>办公设备维修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4807">
            <w:pPr>
              <w:jc w:val="center"/>
            </w:pPr>
            <w:r>
              <w:rPr>
                <w:rFonts w:ascii="宋体" w:hAnsi="宋体" w:eastAsia="宋体"/>
                <w:sz w:val="16"/>
              </w:rPr>
              <w:t>&lt;=7.97万元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BB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50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5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CC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9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980F">
            <w:pPr>
              <w:jc w:val="center"/>
            </w:pPr>
            <w:r>
              <w:rPr>
                <w:rFonts w:ascii="宋体" w:hAnsi="宋体" w:eastAsia="宋体"/>
                <w:sz w:val="16"/>
              </w:rPr>
              <w:t>=7.97万元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8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90943">
            <w:pPr>
              <w:jc w:val="center"/>
            </w:pPr>
          </w:p>
        </w:tc>
      </w:tr>
      <w:tr w14:paraId="03105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B1C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20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D2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EB37">
            <w:pPr>
              <w:jc w:val="center"/>
            </w:pPr>
            <w:r>
              <w:rPr>
                <w:rFonts w:ascii="宋体" w:hAnsi="宋体" w:eastAsia="宋体"/>
                <w:sz w:val="16"/>
              </w:rPr>
              <w:t>其他维修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8562">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B3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56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C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7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EC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AC6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B3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9E037">
            <w:pPr>
              <w:jc w:val="center"/>
            </w:pPr>
          </w:p>
        </w:tc>
      </w:tr>
      <w:tr w14:paraId="394F7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16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96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9A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B790">
            <w:pPr>
              <w:jc w:val="center"/>
            </w:pPr>
            <w:r>
              <w:rPr>
                <w:rFonts w:ascii="宋体" w:hAnsi="宋体" w:eastAsia="宋体"/>
                <w:sz w:val="16"/>
              </w:rPr>
              <w:t>保障检察工作需要情况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5BF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1F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025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EC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10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7A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902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54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C938B">
            <w:pPr>
              <w:jc w:val="center"/>
            </w:pPr>
          </w:p>
        </w:tc>
      </w:tr>
      <w:tr w14:paraId="22CE4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4A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94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35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9C51">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09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2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7A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7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55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23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F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CA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D9036">
            <w:pPr>
              <w:jc w:val="center"/>
            </w:pPr>
          </w:p>
        </w:tc>
      </w:tr>
      <w:tr w14:paraId="246CF9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974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FD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803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76BB72">
            <w:pPr>
              <w:jc w:val="center"/>
            </w:pPr>
            <w:r>
              <w:rPr>
                <w:rFonts w:ascii="宋体" w:hAnsi="宋体" w:eastAsia="宋体"/>
                <w:sz w:val="16"/>
              </w:rPr>
              <w:t>100分</w:t>
            </w:r>
          </w:p>
        </w:tc>
      </w:tr>
    </w:tbl>
    <w:p w14:paraId="329A2D04">
      <w:r>
        <w:br w:type="page"/>
      </w:r>
    </w:p>
    <w:p w14:paraId="2F8812E7">
      <w:pPr>
        <w:spacing w:line="640" w:lineRule="exact"/>
        <w:ind w:firstLine="640"/>
        <w:jc w:val="both"/>
        <w:outlineLvl w:val="2"/>
      </w:pPr>
      <w:r>
        <w:rPr>
          <w:rFonts w:ascii="黑体" w:hAnsi="黑体" w:eastAsia="黑体"/>
          <w:sz w:val="32"/>
        </w:rPr>
        <w:t>十二、其他需说明的事项</w:t>
      </w:r>
    </w:p>
    <w:p w14:paraId="44EFE554">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项目4个，全年预算数366.24万元，全年执行数366.24万元。</w:t>
      </w:r>
      <w:bookmarkStart w:id="0" w:name="_GoBack"/>
      <w:bookmarkEnd w:id="0"/>
    </w:p>
    <w:p w14:paraId="0FEEBD77">
      <w:r>
        <w:br w:type="page"/>
      </w:r>
    </w:p>
    <w:p w14:paraId="1A797F30">
      <w:pPr>
        <w:spacing w:line="240" w:lineRule="auto"/>
        <w:jc w:val="center"/>
        <w:outlineLvl w:val="1"/>
      </w:pPr>
      <w:r>
        <w:rPr>
          <w:rFonts w:ascii="黑体" w:hAnsi="黑体" w:eastAsia="黑体"/>
          <w:sz w:val="32"/>
        </w:rPr>
        <w:t>第三部分 专业名词解释</w:t>
      </w:r>
    </w:p>
    <w:p w14:paraId="0F41C77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A312E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8C30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05E18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E17EE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F9216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03A7A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5E0FA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0C47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6F4E4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BEDA4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1F85B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20D96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0264A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826959">
      <w:r>
        <w:br w:type="page"/>
      </w:r>
    </w:p>
    <w:p w14:paraId="1D76863B">
      <w:pPr>
        <w:spacing w:line="240" w:lineRule="auto"/>
        <w:jc w:val="center"/>
        <w:outlineLvl w:val="1"/>
      </w:pPr>
      <w:r>
        <w:rPr>
          <w:rFonts w:ascii="黑体" w:hAnsi="黑体" w:eastAsia="黑体"/>
          <w:sz w:val="32"/>
        </w:rPr>
        <w:t>第四部分 部门决算报表（见附表）</w:t>
      </w:r>
    </w:p>
    <w:p w14:paraId="1212D14D">
      <w:pPr>
        <w:spacing w:line="240" w:lineRule="auto"/>
        <w:ind w:firstLine="640"/>
        <w:jc w:val="both"/>
      </w:pPr>
      <w:r>
        <w:rPr>
          <w:rFonts w:ascii="仿宋_GB2312" w:hAnsi="仿宋_GB2312" w:eastAsia="仿宋_GB2312"/>
          <w:b w:val="0"/>
          <w:sz w:val="32"/>
        </w:rPr>
        <w:t>一、《收入支出决算总表》</w:t>
      </w:r>
    </w:p>
    <w:p w14:paraId="6B336566">
      <w:pPr>
        <w:spacing w:line="240" w:lineRule="auto"/>
        <w:ind w:firstLine="640"/>
        <w:jc w:val="both"/>
      </w:pPr>
      <w:r>
        <w:rPr>
          <w:rFonts w:ascii="仿宋_GB2312" w:hAnsi="仿宋_GB2312" w:eastAsia="仿宋_GB2312"/>
          <w:b w:val="0"/>
          <w:sz w:val="32"/>
        </w:rPr>
        <w:t>二、《收入决算表》</w:t>
      </w:r>
    </w:p>
    <w:p w14:paraId="2E6A839C">
      <w:pPr>
        <w:spacing w:line="240" w:lineRule="auto"/>
        <w:ind w:firstLine="640"/>
        <w:jc w:val="both"/>
      </w:pPr>
      <w:r>
        <w:rPr>
          <w:rFonts w:ascii="仿宋_GB2312" w:hAnsi="仿宋_GB2312" w:eastAsia="仿宋_GB2312"/>
          <w:b w:val="0"/>
          <w:sz w:val="32"/>
        </w:rPr>
        <w:t>三、《支出决算表》</w:t>
      </w:r>
    </w:p>
    <w:p w14:paraId="3692D6FD">
      <w:pPr>
        <w:spacing w:line="240" w:lineRule="auto"/>
        <w:ind w:firstLine="640"/>
        <w:jc w:val="both"/>
      </w:pPr>
      <w:r>
        <w:rPr>
          <w:rFonts w:ascii="仿宋_GB2312" w:hAnsi="仿宋_GB2312" w:eastAsia="仿宋_GB2312"/>
          <w:b w:val="0"/>
          <w:sz w:val="32"/>
        </w:rPr>
        <w:t>四、《财政拨款收入支出决算总表》</w:t>
      </w:r>
    </w:p>
    <w:p w14:paraId="166F270D">
      <w:pPr>
        <w:spacing w:line="240" w:lineRule="auto"/>
        <w:ind w:firstLine="640"/>
        <w:jc w:val="both"/>
      </w:pPr>
      <w:r>
        <w:rPr>
          <w:rFonts w:ascii="仿宋_GB2312" w:hAnsi="仿宋_GB2312" w:eastAsia="仿宋_GB2312"/>
          <w:b w:val="0"/>
          <w:sz w:val="32"/>
        </w:rPr>
        <w:t>五、《一般公共预算财政拨款支出决算表》</w:t>
      </w:r>
    </w:p>
    <w:p w14:paraId="1A2CDC70">
      <w:pPr>
        <w:spacing w:line="240" w:lineRule="auto"/>
        <w:ind w:firstLine="640"/>
        <w:jc w:val="both"/>
      </w:pPr>
      <w:r>
        <w:rPr>
          <w:rFonts w:ascii="仿宋_GB2312" w:hAnsi="仿宋_GB2312" w:eastAsia="仿宋_GB2312"/>
          <w:b w:val="0"/>
          <w:sz w:val="32"/>
        </w:rPr>
        <w:t>六、《一般公共预算财政拨款基本支出决算表》</w:t>
      </w:r>
    </w:p>
    <w:p w14:paraId="581CA2A9">
      <w:pPr>
        <w:spacing w:line="240" w:lineRule="auto"/>
        <w:ind w:firstLine="640"/>
        <w:jc w:val="both"/>
      </w:pPr>
      <w:r>
        <w:rPr>
          <w:rFonts w:ascii="仿宋_GB2312" w:hAnsi="仿宋_GB2312" w:eastAsia="仿宋_GB2312"/>
          <w:b w:val="0"/>
          <w:sz w:val="32"/>
        </w:rPr>
        <w:t>七、《政府性基金预算财政拨款收入支出决算表》</w:t>
      </w:r>
    </w:p>
    <w:p w14:paraId="7C0CAF87">
      <w:pPr>
        <w:spacing w:line="240" w:lineRule="auto"/>
        <w:ind w:firstLine="640"/>
        <w:jc w:val="both"/>
      </w:pPr>
      <w:r>
        <w:rPr>
          <w:rFonts w:ascii="仿宋_GB2312" w:hAnsi="仿宋_GB2312" w:eastAsia="仿宋_GB2312"/>
          <w:b w:val="0"/>
          <w:sz w:val="32"/>
        </w:rPr>
        <w:t>八、《国有资本经营预算财政拨款收入支出决算表》</w:t>
      </w:r>
    </w:p>
    <w:p w14:paraId="0EDE2F74">
      <w:pPr>
        <w:spacing w:line="240" w:lineRule="auto"/>
        <w:ind w:firstLine="640"/>
        <w:jc w:val="both"/>
      </w:pPr>
      <w:r>
        <w:rPr>
          <w:rFonts w:ascii="仿宋_GB2312" w:hAnsi="仿宋_GB2312" w:eastAsia="仿宋_GB2312"/>
          <w:b w:val="0"/>
          <w:sz w:val="32"/>
        </w:rPr>
        <w:t>九、《财政拨款“三公”经费支出决算表》</w:t>
      </w:r>
    </w:p>
    <w:p w14:paraId="503E1A48">
      <w:pPr>
        <w:spacing w:line="240" w:lineRule="auto"/>
        <w:ind w:firstLine="640"/>
        <w:jc w:val="both"/>
      </w:pPr>
    </w:p>
    <w:p w14:paraId="622760CA">
      <w:pPr>
        <w:spacing w:line="240" w:lineRule="auto"/>
        <w:ind w:firstLine="640"/>
        <w:jc w:val="both"/>
      </w:pPr>
    </w:p>
    <w:p w14:paraId="31C40D31">
      <w:pPr>
        <w:spacing w:line="240" w:lineRule="auto"/>
        <w:ind w:firstLine="640"/>
        <w:jc w:val="both"/>
      </w:pPr>
    </w:p>
    <w:p w14:paraId="53C808C4">
      <w:pPr>
        <w:spacing w:line="240" w:lineRule="auto"/>
        <w:ind w:firstLine="640"/>
        <w:jc w:val="both"/>
      </w:pPr>
    </w:p>
    <w:p w14:paraId="21AE5D3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C0094D-B367-487A-B1BE-F27CD6A658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7BBB77B-775F-4635-AC7F-EE3EF9952EC4}"/>
  </w:font>
  <w:font w:name="方正小标宋_GBK">
    <w:panose1 w:val="02000000000000000000"/>
    <w:charset w:val="86"/>
    <w:family w:val="script"/>
    <w:pitch w:val="default"/>
    <w:sig w:usb0="A00002BF" w:usb1="38CF7CFA" w:usb2="00082016" w:usb3="00000000" w:csb0="00040001" w:csb1="00000000"/>
    <w:embedRegular r:id="rId3" w:fontKey="{86BB2F35-0FB2-445E-AD4D-3EFB0E5D292D}"/>
  </w:font>
  <w:font w:name="楷体_GB2312">
    <w:panose1 w:val="02010609030101010101"/>
    <w:charset w:val="86"/>
    <w:family w:val="auto"/>
    <w:pitch w:val="default"/>
    <w:sig w:usb0="00000001" w:usb1="080E0000" w:usb2="00000000" w:usb3="00000000" w:csb0="00040000" w:csb1="00000000"/>
    <w:embedRegular r:id="rId4" w:fontKey="{0A7342CF-42EA-4082-94BC-45F4D21474F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38267F"/>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196DB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E05C72"/>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FD204F"/>
    <w:rsid w:val="73423603"/>
    <w:rsid w:val="737A5923"/>
    <w:rsid w:val="73DE4104"/>
    <w:rsid w:val="73FB6630"/>
    <w:rsid w:val="74CE04EC"/>
    <w:rsid w:val="74E76DCD"/>
    <w:rsid w:val="76660D7C"/>
    <w:rsid w:val="77ED6F44"/>
    <w:rsid w:val="78757A9E"/>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6345</Words>
  <Characters>7291</Characters>
  <Lines>0</Lines>
  <Paragraphs>0</Paragraphs>
  <TotalTime>7</TotalTime>
  <ScaleCrop>false</ScaleCrop>
  <LinksUpToDate>false</LinksUpToDate>
  <CharactersWithSpaces>7299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