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A52DAF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叶城县人民法院</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1C8938E7">
      <w:r>
        <w:br w:type="page"/>
      </w:r>
    </w:p>
    <w:p w14:paraId="0FDC34F5">
      <w:pPr>
        <w:spacing w:line="640" w:lineRule="exact"/>
        <w:jc w:val="center"/>
        <w:outlineLvl w:val="1"/>
      </w:pPr>
      <w:r>
        <w:rPr>
          <w:rFonts w:ascii="黑体" w:hAnsi="黑体" w:eastAsia="黑体"/>
          <w:sz w:val="32"/>
        </w:rPr>
        <w:t>第一部分 部门概况</w:t>
      </w:r>
    </w:p>
    <w:p w14:paraId="08F21D86">
      <w:pPr>
        <w:spacing w:line="640" w:lineRule="exact"/>
        <w:ind w:firstLine="640"/>
        <w:jc w:val="both"/>
        <w:outlineLvl w:val="2"/>
      </w:pPr>
      <w:r>
        <w:rPr>
          <w:rFonts w:ascii="黑体" w:hAnsi="黑体" w:eastAsia="黑体"/>
          <w:sz w:val="32"/>
        </w:rPr>
        <w:t>一、主要职能</w:t>
      </w:r>
    </w:p>
    <w:p w14:paraId="19BA02BF">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依据宪法独立行使审判权，依法履行审判职能。</w:t>
      </w:r>
    </w:p>
    <w:p w14:paraId="52101CBA">
      <w:pPr>
        <w:spacing w:line="580" w:lineRule="exact"/>
        <w:ind w:firstLine="640"/>
        <w:jc w:val="both"/>
      </w:pPr>
      <w:r>
        <w:rPr>
          <w:rFonts w:hint="eastAsia" w:ascii="仿宋_GB2312" w:hAnsi="仿宋_GB2312" w:eastAsia="仿宋_GB2312"/>
          <w:sz w:val="32"/>
          <w:lang w:val="en-US" w:eastAsia="zh-CN"/>
        </w:rPr>
        <w:t>2</w:t>
      </w:r>
      <w:r>
        <w:rPr>
          <w:rFonts w:hint="eastAsia" w:ascii="仿宋_GB2312" w:hAnsi="仿宋_GB2312" w:eastAsia="仿宋_GB2312"/>
          <w:sz w:val="32"/>
          <w:lang w:eastAsia="zh-CN"/>
        </w:rPr>
        <w:t>.</w:t>
      </w:r>
      <w:r>
        <w:rPr>
          <w:rFonts w:ascii="仿宋_GB2312" w:hAnsi="仿宋_GB2312" w:eastAsia="仿宋_GB2312"/>
          <w:sz w:val="32"/>
        </w:rPr>
        <w:t>依法审理各类一审民事案件，解决民事纠纷，保护公民法人的合法权益。</w:t>
      </w:r>
    </w:p>
    <w:p w14:paraId="08DF4D02">
      <w:pPr>
        <w:spacing w:line="580" w:lineRule="exact"/>
        <w:ind w:firstLine="640"/>
        <w:jc w:val="both"/>
      </w:pPr>
      <w:r>
        <w:rPr>
          <w:rFonts w:hint="eastAsia" w:ascii="仿宋_GB2312" w:hAnsi="仿宋_GB2312" w:eastAsia="仿宋_GB2312"/>
          <w:sz w:val="32"/>
          <w:lang w:val="en-US" w:eastAsia="zh-CN"/>
        </w:rPr>
        <w:t>3</w:t>
      </w:r>
      <w:r>
        <w:rPr>
          <w:rFonts w:hint="eastAsia" w:ascii="仿宋_GB2312" w:hAnsi="仿宋_GB2312" w:eastAsia="仿宋_GB2312"/>
          <w:sz w:val="32"/>
          <w:lang w:eastAsia="zh-CN"/>
        </w:rPr>
        <w:t>.</w:t>
      </w:r>
      <w:r>
        <w:rPr>
          <w:rFonts w:ascii="仿宋_GB2312" w:hAnsi="仿宋_GB2312" w:eastAsia="仿宋_GB2312"/>
          <w:sz w:val="32"/>
        </w:rPr>
        <w:t>依法审理各类一审经济纠纷案件，调节经济关系，维护社会经济秩序，保障我县经济健康发展。</w:t>
      </w:r>
    </w:p>
    <w:p w14:paraId="5098C58B">
      <w:pPr>
        <w:spacing w:line="580" w:lineRule="exact"/>
        <w:ind w:firstLine="640"/>
        <w:jc w:val="both"/>
      </w:pPr>
      <w:r>
        <w:rPr>
          <w:rFonts w:hint="eastAsia" w:ascii="仿宋_GB2312" w:hAnsi="仿宋_GB2312" w:eastAsia="仿宋_GB2312"/>
          <w:sz w:val="32"/>
          <w:lang w:val="en-US" w:eastAsia="zh-CN"/>
        </w:rPr>
        <w:t>4</w:t>
      </w:r>
      <w:r>
        <w:rPr>
          <w:rFonts w:hint="eastAsia" w:ascii="仿宋_GB2312" w:hAnsi="仿宋_GB2312" w:eastAsia="仿宋_GB2312"/>
          <w:sz w:val="32"/>
          <w:lang w:eastAsia="zh-CN"/>
        </w:rPr>
        <w:t>.</w:t>
      </w:r>
      <w:r>
        <w:rPr>
          <w:rFonts w:ascii="仿宋_GB2312" w:hAnsi="仿宋_GB2312" w:eastAsia="仿宋_GB2312"/>
          <w:sz w:val="32"/>
        </w:rPr>
        <w:t>依法审理各类一审诉讼案件，保护公民、法人和其他组织的合法权益、监督和支持行政机关依法行使职权。</w:t>
      </w:r>
    </w:p>
    <w:p w14:paraId="22C5094B">
      <w:pPr>
        <w:spacing w:line="580" w:lineRule="exact"/>
        <w:ind w:firstLine="640"/>
        <w:jc w:val="both"/>
      </w:pPr>
      <w:r>
        <w:rPr>
          <w:rFonts w:hint="eastAsia" w:ascii="仿宋_GB2312" w:hAnsi="仿宋_GB2312" w:eastAsia="仿宋_GB2312"/>
          <w:sz w:val="32"/>
          <w:lang w:val="en-US" w:eastAsia="zh-CN"/>
        </w:rPr>
        <w:t>5</w:t>
      </w:r>
      <w:r>
        <w:rPr>
          <w:rFonts w:hint="eastAsia" w:ascii="仿宋_GB2312" w:hAnsi="仿宋_GB2312" w:eastAsia="仿宋_GB2312"/>
          <w:sz w:val="32"/>
          <w:lang w:eastAsia="zh-CN"/>
        </w:rPr>
        <w:t>.</w:t>
      </w:r>
      <w:r>
        <w:rPr>
          <w:rFonts w:ascii="仿宋_GB2312" w:hAnsi="仿宋_GB2312" w:eastAsia="仿宋_GB2312"/>
          <w:sz w:val="32"/>
        </w:rPr>
        <w:t>审理各类依照法律应当由基层人民法院按照再审程序审理的案件。</w:t>
      </w:r>
    </w:p>
    <w:p w14:paraId="096AE5A7">
      <w:pPr>
        <w:spacing w:line="580" w:lineRule="exact"/>
        <w:ind w:firstLine="640"/>
        <w:jc w:val="both"/>
      </w:pPr>
      <w:r>
        <w:rPr>
          <w:rFonts w:hint="eastAsia" w:ascii="仿宋_GB2312" w:hAnsi="仿宋_GB2312" w:eastAsia="仿宋_GB2312"/>
          <w:sz w:val="32"/>
          <w:lang w:val="en-US" w:eastAsia="zh-CN"/>
        </w:rPr>
        <w:t>6</w:t>
      </w:r>
      <w:r>
        <w:rPr>
          <w:rFonts w:hint="eastAsia" w:ascii="仿宋_GB2312" w:hAnsi="仿宋_GB2312" w:eastAsia="仿宋_GB2312"/>
          <w:sz w:val="32"/>
          <w:lang w:eastAsia="zh-CN"/>
        </w:rPr>
        <w:t>.</w:t>
      </w:r>
      <w:r>
        <w:rPr>
          <w:rFonts w:ascii="仿宋_GB2312" w:hAnsi="仿宋_GB2312" w:eastAsia="仿宋_GB2312"/>
          <w:sz w:val="32"/>
        </w:rPr>
        <w:t>依法审理中级人民法院批准或指定的由我院审判的刑事、民事、经济、行政等案件。</w:t>
      </w:r>
    </w:p>
    <w:p w14:paraId="2392DE43">
      <w:pPr>
        <w:spacing w:line="580" w:lineRule="exact"/>
        <w:ind w:firstLine="640"/>
        <w:jc w:val="both"/>
      </w:pPr>
      <w:r>
        <w:rPr>
          <w:rFonts w:hint="eastAsia" w:ascii="仿宋_GB2312" w:hAnsi="仿宋_GB2312" w:eastAsia="仿宋_GB2312"/>
          <w:sz w:val="32"/>
          <w:lang w:val="en-US" w:eastAsia="zh-CN"/>
        </w:rPr>
        <w:t>7</w:t>
      </w:r>
      <w:r>
        <w:rPr>
          <w:rFonts w:hint="eastAsia" w:ascii="仿宋_GB2312" w:hAnsi="仿宋_GB2312" w:eastAsia="仿宋_GB2312"/>
          <w:sz w:val="32"/>
          <w:lang w:eastAsia="zh-CN"/>
        </w:rPr>
        <w:t>.</w:t>
      </w:r>
      <w:r>
        <w:rPr>
          <w:rFonts w:ascii="仿宋_GB2312" w:hAnsi="仿宋_GB2312" w:eastAsia="仿宋_GB2312"/>
          <w:sz w:val="32"/>
        </w:rPr>
        <w:t>负责指导农村人民调解委员会的工作。</w:t>
      </w:r>
    </w:p>
    <w:p w14:paraId="7CB7C116">
      <w:pPr>
        <w:spacing w:line="580" w:lineRule="exact"/>
        <w:ind w:firstLine="640"/>
        <w:jc w:val="both"/>
      </w:pPr>
      <w:r>
        <w:rPr>
          <w:rFonts w:hint="eastAsia" w:ascii="仿宋_GB2312" w:hAnsi="仿宋_GB2312" w:eastAsia="仿宋_GB2312"/>
          <w:sz w:val="32"/>
          <w:lang w:val="en-US" w:eastAsia="zh-CN"/>
        </w:rPr>
        <w:t>8</w:t>
      </w:r>
      <w:r>
        <w:rPr>
          <w:rFonts w:hint="eastAsia" w:ascii="仿宋_GB2312" w:hAnsi="仿宋_GB2312" w:eastAsia="仿宋_GB2312"/>
          <w:sz w:val="32"/>
          <w:lang w:eastAsia="zh-CN"/>
        </w:rPr>
        <w:t>.</w:t>
      </w:r>
      <w:r>
        <w:rPr>
          <w:rFonts w:ascii="仿宋_GB2312" w:hAnsi="仿宋_GB2312" w:eastAsia="仿宋_GB2312"/>
          <w:sz w:val="32"/>
        </w:rPr>
        <w:t>主动接受上级人民法院的领导，在上级人民法院的统一领导下，开展审判业务工作。</w:t>
      </w:r>
    </w:p>
    <w:p w14:paraId="0BDD1AC1">
      <w:pPr>
        <w:spacing w:line="580" w:lineRule="exact"/>
        <w:ind w:firstLine="640"/>
        <w:jc w:val="both"/>
      </w:pPr>
      <w:r>
        <w:rPr>
          <w:rFonts w:hint="eastAsia" w:ascii="仿宋_GB2312" w:hAnsi="仿宋_GB2312" w:eastAsia="仿宋_GB2312"/>
          <w:sz w:val="32"/>
          <w:lang w:val="en-US" w:eastAsia="zh-CN"/>
        </w:rPr>
        <w:t>9</w:t>
      </w:r>
      <w:r>
        <w:rPr>
          <w:rFonts w:hint="eastAsia" w:ascii="仿宋_GB2312" w:hAnsi="仿宋_GB2312" w:eastAsia="仿宋_GB2312"/>
          <w:sz w:val="32"/>
          <w:lang w:eastAsia="zh-CN"/>
        </w:rPr>
        <w:t>.</w:t>
      </w:r>
      <w:r>
        <w:rPr>
          <w:rFonts w:ascii="仿宋_GB2312" w:hAnsi="仿宋_GB2312" w:eastAsia="仿宋_GB2312"/>
          <w:sz w:val="32"/>
        </w:rPr>
        <w:t>主动接受党委的领导，依法接受叶城县人民代表大会及其常务委员会的监督，向叶城县人民代表大会及其常务委员会负责并报告工作；依法向叶城县人民代表大会及其常务委员会提出方案，接受同级人大常委会的质询。</w:t>
      </w:r>
    </w:p>
    <w:p w14:paraId="6300BA67">
      <w:pPr>
        <w:spacing w:line="580" w:lineRule="exact"/>
        <w:ind w:firstLine="640"/>
        <w:jc w:val="both"/>
      </w:pPr>
      <w:r>
        <w:rPr>
          <w:rFonts w:hint="eastAsia" w:ascii="仿宋_GB2312" w:hAnsi="仿宋_GB2312" w:eastAsia="仿宋_GB2312"/>
          <w:sz w:val="32"/>
          <w:lang w:val="en-US" w:eastAsia="zh-CN"/>
        </w:rPr>
        <w:t>10</w:t>
      </w:r>
      <w:r>
        <w:rPr>
          <w:rFonts w:hint="eastAsia" w:ascii="仿宋_GB2312" w:hAnsi="仿宋_GB2312" w:eastAsia="仿宋_GB2312"/>
          <w:sz w:val="32"/>
          <w:lang w:eastAsia="zh-CN"/>
        </w:rPr>
        <w:t>.</w:t>
      </w:r>
      <w:r>
        <w:rPr>
          <w:rFonts w:ascii="仿宋_GB2312" w:hAnsi="仿宋_GB2312" w:eastAsia="仿宋_GB2312"/>
          <w:sz w:val="32"/>
        </w:rPr>
        <w:t>指导各基层人民法庭的审判业务、思想政治、教育培训工作，按照权限管理法官、书记员、司法警察及司法行政人员。</w:t>
      </w:r>
    </w:p>
    <w:p w14:paraId="1C6B17C7">
      <w:pPr>
        <w:spacing w:line="580" w:lineRule="exact"/>
        <w:ind w:firstLine="640"/>
        <w:jc w:val="both"/>
      </w:pPr>
      <w:r>
        <w:rPr>
          <w:rFonts w:hint="eastAsia" w:ascii="仿宋_GB2312" w:hAnsi="仿宋_GB2312" w:eastAsia="仿宋_GB2312"/>
          <w:sz w:val="32"/>
          <w:lang w:eastAsia="zh-CN"/>
        </w:rPr>
        <w:t>1</w:t>
      </w:r>
      <w:r>
        <w:rPr>
          <w:rFonts w:hint="eastAsia" w:ascii="仿宋_GB2312" w:hAnsi="仿宋_GB2312" w:eastAsia="仿宋_GB2312"/>
          <w:sz w:val="32"/>
          <w:lang w:val="en-US" w:eastAsia="zh-CN"/>
        </w:rPr>
        <w:t>1</w:t>
      </w:r>
      <w:r>
        <w:rPr>
          <w:rFonts w:hint="eastAsia" w:ascii="仿宋_GB2312" w:hAnsi="仿宋_GB2312" w:eastAsia="仿宋_GB2312"/>
          <w:sz w:val="32"/>
          <w:lang w:eastAsia="zh-CN"/>
        </w:rPr>
        <w:t>.</w:t>
      </w:r>
      <w:r>
        <w:rPr>
          <w:rFonts w:ascii="仿宋_GB2312" w:hAnsi="仿宋_GB2312" w:eastAsia="仿宋_GB2312"/>
          <w:sz w:val="32"/>
        </w:rPr>
        <w:t>利用审判活动，积极开展法治宣传教育，提高公民法律意识和守法观念。</w:t>
      </w:r>
    </w:p>
    <w:p w14:paraId="00E6CFB9">
      <w:pPr>
        <w:spacing w:line="580" w:lineRule="exact"/>
        <w:ind w:firstLine="640"/>
        <w:jc w:val="both"/>
      </w:pPr>
      <w:r>
        <w:rPr>
          <w:rFonts w:hint="eastAsia" w:ascii="仿宋_GB2312" w:hAnsi="仿宋_GB2312" w:eastAsia="仿宋_GB2312"/>
          <w:sz w:val="32"/>
          <w:lang w:eastAsia="zh-CN"/>
        </w:rPr>
        <w:t>1</w:t>
      </w:r>
      <w:r>
        <w:rPr>
          <w:rFonts w:hint="eastAsia" w:ascii="仿宋_GB2312" w:hAnsi="仿宋_GB2312" w:eastAsia="仿宋_GB2312"/>
          <w:sz w:val="32"/>
          <w:lang w:val="en-US" w:eastAsia="zh-CN"/>
        </w:rPr>
        <w:t>2</w:t>
      </w:r>
      <w:r>
        <w:rPr>
          <w:rFonts w:hint="eastAsia" w:ascii="仿宋_GB2312" w:hAnsi="仿宋_GB2312" w:eastAsia="仿宋_GB2312"/>
          <w:sz w:val="32"/>
          <w:lang w:eastAsia="zh-CN"/>
        </w:rPr>
        <w:t>.</w:t>
      </w:r>
      <w:r>
        <w:rPr>
          <w:rFonts w:ascii="仿宋_GB2312" w:hAnsi="仿宋_GB2312" w:eastAsia="仿宋_GB2312"/>
          <w:sz w:val="32"/>
        </w:rPr>
        <w:t>开展审判工作研究，积极总结和探索基层人民法院审判工作以及改革、建设的经验。</w:t>
      </w:r>
    </w:p>
    <w:p w14:paraId="2F8E9461">
      <w:pPr>
        <w:spacing w:line="580" w:lineRule="exact"/>
        <w:ind w:firstLine="640"/>
        <w:jc w:val="both"/>
      </w:pPr>
      <w:r>
        <w:rPr>
          <w:rFonts w:hint="eastAsia" w:ascii="仿宋_GB2312" w:hAnsi="仿宋_GB2312" w:eastAsia="仿宋_GB2312"/>
          <w:sz w:val="32"/>
          <w:lang w:eastAsia="zh-CN"/>
        </w:rPr>
        <w:t>1</w:t>
      </w:r>
      <w:r>
        <w:rPr>
          <w:rFonts w:hint="eastAsia" w:ascii="仿宋_GB2312" w:hAnsi="仿宋_GB2312" w:eastAsia="仿宋_GB2312"/>
          <w:sz w:val="32"/>
          <w:lang w:val="en-US" w:eastAsia="zh-CN"/>
        </w:rPr>
        <w:t>3</w:t>
      </w:r>
      <w:r>
        <w:rPr>
          <w:rFonts w:hint="eastAsia" w:ascii="仿宋_GB2312" w:hAnsi="仿宋_GB2312" w:eastAsia="仿宋_GB2312"/>
          <w:sz w:val="32"/>
          <w:lang w:eastAsia="zh-CN"/>
        </w:rPr>
        <w:t>.</w:t>
      </w:r>
      <w:r>
        <w:rPr>
          <w:rFonts w:ascii="仿宋_GB2312" w:hAnsi="仿宋_GB2312" w:eastAsia="仿宋_GB2312"/>
          <w:sz w:val="32"/>
        </w:rPr>
        <w:t>在县党委领导下开展党风廉政建设、社会治安综合治理、精神文明创建等各项工作。</w:t>
      </w:r>
    </w:p>
    <w:p w14:paraId="7C284F99">
      <w:pPr>
        <w:spacing w:line="580" w:lineRule="exact"/>
        <w:ind w:firstLine="640"/>
        <w:jc w:val="both"/>
      </w:pPr>
      <w:r>
        <w:rPr>
          <w:rFonts w:hint="eastAsia" w:ascii="仿宋_GB2312" w:hAnsi="仿宋_GB2312" w:eastAsia="仿宋_GB2312"/>
          <w:sz w:val="32"/>
          <w:lang w:eastAsia="zh-CN"/>
        </w:rPr>
        <w:t>1</w:t>
      </w:r>
      <w:r>
        <w:rPr>
          <w:rFonts w:hint="eastAsia" w:ascii="仿宋_GB2312" w:hAnsi="仿宋_GB2312" w:eastAsia="仿宋_GB2312"/>
          <w:sz w:val="32"/>
          <w:lang w:val="en-US" w:eastAsia="zh-CN"/>
        </w:rPr>
        <w:t>4.</w:t>
      </w:r>
      <w:r>
        <w:rPr>
          <w:rFonts w:ascii="仿宋_GB2312" w:hAnsi="仿宋_GB2312" w:eastAsia="仿宋_GB2312"/>
          <w:sz w:val="32"/>
        </w:rPr>
        <w:t>依照规定，向叶城县人民代表大会常务委员会提请任免本院的副院长、审判委员会委员、审判员，协同县委主管部门和人大考核本院的院长、副院长、审判委员会委员、审判员。</w:t>
      </w:r>
    </w:p>
    <w:p w14:paraId="545D82FA">
      <w:pPr>
        <w:spacing w:line="640" w:lineRule="exact"/>
        <w:ind w:firstLine="640"/>
        <w:jc w:val="both"/>
        <w:outlineLvl w:val="2"/>
      </w:pPr>
      <w:r>
        <w:rPr>
          <w:rFonts w:ascii="黑体" w:hAnsi="黑体" w:eastAsia="黑体"/>
          <w:sz w:val="32"/>
        </w:rPr>
        <w:t>二、机构设置及人员情况</w:t>
      </w:r>
    </w:p>
    <w:p w14:paraId="75CFFE09">
      <w:pPr>
        <w:spacing w:line="580" w:lineRule="exact"/>
        <w:ind w:firstLine="640"/>
        <w:jc w:val="both"/>
      </w:pPr>
      <w:r>
        <w:rPr>
          <w:rFonts w:ascii="仿宋_GB2312" w:hAnsi="仿宋_GB2312" w:eastAsia="仿宋_GB2312"/>
          <w:sz w:val="32"/>
        </w:rPr>
        <w:t>叶城县人民法院2024年度，实有人数122人，其中：在职人员85人，减少3人；离休人员0人，增加0人；退休人员37人,增加8人。</w:t>
      </w:r>
    </w:p>
    <w:p w14:paraId="685D05E8">
      <w:pPr>
        <w:spacing w:line="580" w:lineRule="exact"/>
        <w:ind w:firstLine="640"/>
        <w:jc w:val="both"/>
      </w:pPr>
      <w:r>
        <w:rPr>
          <w:rFonts w:ascii="仿宋_GB2312" w:hAnsi="仿宋_GB2312" w:eastAsia="仿宋_GB2312"/>
          <w:sz w:val="32"/>
        </w:rPr>
        <w:t>叶城县人民法院无下属预算单位，下设8个科室，分别是：立案庭（诉讼服务中心）、执行局、民事审判庭、刑事审判庭、行政审判庭、政治部、综合办公室（司法警察大队）、审判管理办公室。</w:t>
      </w:r>
    </w:p>
    <w:p w14:paraId="512BC854">
      <w:r>
        <w:br w:type="page"/>
      </w:r>
    </w:p>
    <w:p w14:paraId="340BE34F">
      <w:pPr>
        <w:spacing w:line="240" w:lineRule="auto"/>
        <w:jc w:val="center"/>
        <w:outlineLvl w:val="1"/>
      </w:pPr>
      <w:r>
        <w:rPr>
          <w:rFonts w:ascii="黑体" w:hAnsi="黑体" w:eastAsia="黑体"/>
          <w:sz w:val="32"/>
        </w:rPr>
        <w:t>第二部分 部门决算情况说明</w:t>
      </w:r>
    </w:p>
    <w:p w14:paraId="048B7B5A">
      <w:pPr>
        <w:spacing w:line="640" w:lineRule="exact"/>
        <w:ind w:firstLine="640"/>
        <w:jc w:val="both"/>
        <w:outlineLvl w:val="2"/>
      </w:pPr>
      <w:r>
        <w:rPr>
          <w:rFonts w:ascii="黑体" w:hAnsi="黑体" w:eastAsia="黑体"/>
          <w:sz w:val="32"/>
        </w:rPr>
        <w:t>一、收入支出决算总体情况说明</w:t>
      </w:r>
    </w:p>
    <w:p w14:paraId="1B359F7D">
      <w:pPr>
        <w:spacing w:line="580" w:lineRule="exact"/>
        <w:ind w:firstLine="640"/>
        <w:jc w:val="both"/>
      </w:pPr>
      <w:r>
        <w:rPr>
          <w:rFonts w:ascii="仿宋_GB2312" w:hAnsi="仿宋_GB2312" w:eastAsia="仿宋_GB2312"/>
          <w:b/>
          <w:sz w:val="32"/>
        </w:rPr>
        <w:t>2024年度收入总计3,217.46万元，</w:t>
      </w:r>
      <w:r>
        <w:rPr>
          <w:rFonts w:ascii="仿宋_GB2312" w:hAnsi="仿宋_GB2312" w:eastAsia="仿宋_GB2312"/>
          <w:b w:val="0"/>
          <w:sz w:val="32"/>
        </w:rPr>
        <w:t>其中：本年收入合计3,217.46万元，使用非财政拨款结余（含专用结余）0.00万元，年初结转和结余0.00万元。</w:t>
      </w:r>
    </w:p>
    <w:p w14:paraId="61B91277">
      <w:pPr>
        <w:spacing w:line="580" w:lineRule="exact"/>
        <w:ind w:firstLine="640"/>
        <w:jc w:val="both"/>
      </w:pPr>
      <w:r>
        <w:rPr>
          <w:rFonts w:ascii="仿宋_GB2312" w:hAnsi="仿宋_GB2312" w:eastAsia="仿宋_GB2312"/>
          <w:b/>
          <w:sz w:val="32"/>
        </w:rPr>
        <w:t>2024年度支出总计3,217.46万元，</w:t>
      </w:r>
      <w:r>
        <w:rPr>
          <w:rFonts w:ascii="仿宋_GB2312" w:hAnsi="仿宋_GB2312" w:eastAsia="仿宋_GB2312"/>
          <w:b w:val="0"/>
          <w:sz w:val="32"/>
        </w:rPr>
        <w:t>其中：本年支出合计3,217.46万元，结余分配0.00万元，年末结转和结余0.00万元。</w:t>
      </w:r>
    </w:p>
    <w:p w14:paraId="0A326622">
      <w:pPr>
        <w:spacing w:line="580" w:lineRule="exact"/>
        <w:ind w:firstLine="640"/>
        <w:jc w:val="both"/>
      </w:pPr>
      <w:r>
        <w:rPr>
          <w:rFonts w:ascii="仿宋_GB2312" w:hAnsi="仿宋_GB2312" w:eastAsia="仿宋_GB2312"/>
          <w:b w:val="0"/>
          <w:sz w:val="32"/>
        </w:rPr>
        <w:t>收入支出总体与上年相比，减少140.98万元，下降4.20%，主要原因是：本年在职人员减少，相应人员经费较上年减少，减少自治区高级人民法院提前下达南疆三地州及阿克苏三县司改绩效考核等项目经费，导致相关经费减少。</w:t>
      </w:r>
    </w:p>
    <w:p w14:paraId="595657C1">
      <w:pPr>
        <w:spacing w:line="640" w:lineRule="exact"/>
        <w:ind w:firstLine="640"/>
        <w:jc w:val="both"/>
        <w:outlineLvl w:val="2"/>
      </w:pPr>
      <w:r>
        <w:rPr>
          <w:rFonts w:ascii="黑体" w:hAnsi="黑体" w:eastAsia="黑体"/>
          <w:sz w:val="32"/>
        </w:rPr>
        <w:t>二、收入决算情况说明</w:t>
      </w:r>
    </w:p>
    <w:p w14:paraId="71A4361D">
      <w:pPr>
        <w:spacing w:line="580" w:lineRule="exact"/>
        <w:ind w:firstLine="640"/>
        <w:jc w:val="both"/>
      </w:pPr>
      <w:r>
        <w:rPr>
          <w:rFonts w:ascii="仿宋_GB2312" w:hAnsi="仿宋_GB2312" w:eastAsia="仿宋_GB2312"/>
          <w:b/>
          <w:sz w:val="32"/>
        </w:rPr>
        <w:t>本年收入3,217.46万元，</w:t>
      </w:r>
      <w:r>
        <w:rPr>
          <w:rFonts w:ascii="仿宋_GB2312" w:hAnsi="仿宋_GB2312" w:eastAsia="仿宋_GB2312"/>
          <w:b w:val="0"/>
          <w:sz w:val="32"/>
        </w:rPr>
        <w:t>其中：财政拨款收入3,217.46万元，占100.00%；上级补助收入0.00万元，占0.00%；事业收入0.00万元，占0.00%；经营收入0.00万元，占0.00%；附属单位上缴收入0.00万元，占0.00%；其他收入0.00万元，占0.00%。</w:t>
      </w:r>
    </w:p>
    <w:p w14:paraId="2F6DE2CB">
      <w:pPr>
        <w:spacing w:line="640" w:lineRule="exact"/>
        <w:ind w:firstLine="640"/>
        <w:jc w:val="both"/>
        <w:outlineLvl w:val="2"/>
      </w:pPr>
      <w:r>
        <w:rPr>
          <w:rFonts w:ascii="黑体" w:hAnsi="黑体" w:eastAsia="黑体"/>
          <w:sz w:val="32"/>
        </w:rPr>
        <w:t>三、支出决算情况说明</w:t>
      </w:r>
    </w:p>
    <w:p w14:paraId="7BCDBB1F">
      <w:pPr>
        <w:spacing w:line="580" w:lineRule="exact"/>
        <w:ind w:firstLine="640"/>
        <w:jc w:val="both"/>
      </w:pPr>
      <w:r>
        <w:rPr>
          <w:rFonts w:ascii="仿宋_GB2312" w:hAnsi="仿宋_GB2312" w:eastAsia="仿宋_GB2312"/>
          <w:b/>
          <w:sz w:val="32"/>
        </w:rPr>
        <w:t>本年支出3,217.46万元，</w:t>
      </w:r>
      <w:r>
        <w:rPr>
          <w:rFonts w:ascii="仿宋_GB2312" w:hAnsi="仿宋_GB2312" w:eastAsia="仿宋_GB2312"/>
          <w:b w:val="0"/>
          <w:sz w:val="32"/>
        </w:rPr>
        <w:t>其中：基本支出2,395.13万元，占74.44%；项目支出822.32万元，占25.56%；上缴上级支出0.00万元，占0.00%；经营支出0.00万元，占0.00%；对附属单位补助支出0.00万元，占0.00%。</w:t>
      </w:r>
    </w:p>
    <w:p w14:paraId="6C4424AA">
      <w:pPr>
        <w:spacing w:line="640" w:lineRule="exact"/>
        <w:ind w:firstLine="640"/>
        <w:jc w:val="both"/>
        <w:outlineLvl w:val="2"/>
      </w:pPr>
      <w:r>
        <w:rPr>
          <w:rFonts w:ascii="黑体" w:hAnsi="黑体" w:eastAsia="黑体"/>
          <w:sz w:val="32"/>
        </w:rPr>
        <w:t>四、财政拨款收入支出决算总体情况说明</w:t>
      </w:r>
    </w:p>
    <w:p w14:paraId="0FB868D8">
      <w:pPr>
        <w:spacing w:line="580" w:lineRule="exact"/>
        <w:ind w:firstLine="640"/>
        <w:jc w:val="both"/>
      </w:pPr>
      <w:r>
        <w:rPr>
          <w:rFonts w:ascii="仿宋_GB2312" w:hAnsi="仿宋_GB2312" w:eastAsia="仿宋_GB2312"/>
          <w:b/>
          <w:sz w:val="32"/>
        </w:rPr>
        <w:t>2024年度财政拨款收入总计3,217.46万元，</w:t>
      </w:r>
      <w:r>
        <w:rPr>
          <w:rFonts w:ascii="仿宋_GB2312" w:hAnsi="仿宋_GB2312" w:eastAsia="仿宋_GB2312"/>
          <w:b w:val="0"/>
          <w:sz w:val="32"/>
        </w:rPr>
        <w:t>其中：年初财政拨款结转和结余0.00万元，本年财政拨款收入3,217.46万元。</w:t>
      </w:r>
      <w:r>
        <w:rPr>
          <w:rFonts w:ascii="仿宋_GB2312" w:hAnsi="仿宋_GB2312" w:eastAsia="仿宋_GB2312"/>
          <w:b/>
          <w:sz w:val="32"/>
        </w:rPr>
        <w:t>财政拨款支出总计3,217.46万元，</w:t>
      </w:r>
      <w:r>
        <w:rPr>
          <w:rFonts w:ascii="仿宋_GB2312" w:hAnsi="仿宋_GB2312" w:eastAsia="仿宋_GB2312"/>
          <w:b w:val="0"/>
          <w:sz w:val="32"/>
        </w:rPr>
        <w:t>其中：年末财政拨款结转和结余0.00万元，本年财政拨款支出3,217.46万元。</w:t>
      </w:r>
    </w:p>
    <w:p w14:paraId="4424913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减少140.98万元，下降4.20%，主要原因是：本年在职人员减少，相应人员经费较上年减少，减少自治区高级人民法院提前下达南疆三地州及阿克苏三县司改绩效考核等项目经费，导致相关经费减少。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年初预算数3,333.34万元，决算数3,217.46万元，预决算差异率-3.48%，主要原因是：本年在职人员减少，年中调减人员经费，导致预决算存在差异。</w:t>
      </w:r>
    </w:p>
    <w:p w14:paraId="0ED129C1">
      <w:pPr>
        <w:spacing w:line="640" w:lineRule="exact"/>
        <w:ind w:firstLine="640"/>
        <w:jc w:val="both"/>
        <w:outlineLvl w:val="2"/>
      </w:pPr>
      <w:r>
        <w:rPr>
          <w:rFonts w:ascii="黑体" w:hAnsi="黑体" w:eastAsia="黑体"/>
          <w:sz w:val="32"/>
        </w:rPr>
        <w:t>五、一般公共预算财政拨款支出决算情况说明</w:t>
      </w:r>
    </w:p>
    <w:p w14:paraId="7A71EAE5">
      <w:pPr>
        <w:spacing w:line="640" w:lineRule="exact"/>
        <w:ind w:firstLine="640"/>
        <w:jc w:val="both"/>
        <w:outlineLvl w:val="3"/>
      </w:pPr>
      <w:r>
        <w:rPr>
          <w:rFonts w:ascii="楷体_GB2312" w:hAnsi="楷体_GB2312" w:eastAsia="楷体_GB2312"/>
          <w:b/>
          <w:sz w:val="32"/>
        </w:rPr>
        <w:t>（一）一般公共预算财政拨款支出决算总体情况</w:t>
      </w:r>
    </w:p>
    <w:p w14:paraId="04DA2040">
      <w:pPr>
        <w:spacing w:line="580" w:lineRule="exact"/>
        <w:ind w:firstLine="640"/>
        <w:jc w:val="both"/>
      </w:pPr>
      <w:r>
        <w:rPr>
          <w:rFonts w:ascii="仿宋_GB2312" w:hAnsi="仿宋_GB2312" w:eastAsia="仿宋_GB2312"/>
          <w:b/>
          <w:sz w:val="32"/>
        </w:rPr>
        <w:t>2024年度一般公共预算财政拨款支出3,217.46万元，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减少140.98万元，下降4.20%，主要原因是：本年在职人员减少，相应人员经费较上年减少，减少自治区高级人民法院提前下达南疆三地州及阿克苏三县司改绩效考核等项目经费，导致相关经费减少。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年初预算数3,333.34万元，决算数3,217.46万元，预决算差异率-3.48%，主要原因是：本年在职人员减少，年中调减人员经费，导致预决算存在差异。</w:t>
      </w:r>
    </w:p>
    <w:p w14:paraId="5001A765">
      <w:pPr>
        <w:spacing w:line="640" w:lineRule="exact"/>
        <w:ind w:firstLine="640"/>
        <w:jc w:val="both"/>
        <w:outlineLvl w:val="3"/>
      </w:pPr>
      <w:r>
        <w:rPr>
          <w:rFonts w:ascii="楷体_GB2312" w:hAnsi="楷体_GB2312" w:eastAsia="楷体_GB2312"/>
          <w:b/>
          <w:sz w:val="32"/>
        </w:rPr>
        <w:t>（二）一般公共预算财政拨款支出决算结构情况</w:t>
      </w:r>
    </w:p>
    <w:p w14:paraId="3F318F20">
      <w:pPr>
        <w:spacing w:line="580" w:lineRule="exact"/>
        <w:ind w:firstLine="640"/>
        <w:jc w:val="both"/>
      </w:pPr>
      <w:r>
        <w:rPr>
          <w:rFonts w:ascii="仿宋_GB2312" w:hAnsi="仿宋_GB2312" w:eastAsia="仿宋_GB2312"/>
          <w:b w:val="0"/>
          <w:sz w:val="32"/>
        </w:rPr>
        <w:t>1.公共安全支出(类)2,598.53万元,占80.76%。</w:t>
      </w:r>
    </w:p>
    <w:p w14:paraId="7E8A690D">
      <w:pPr>
        <w:spacing w:line="580" w:lineRule="exact"/>
        <w:ind w:firstLine="640"/>
        <w:jc w:val="both"/>
      </w:pPr>
      <w:r>
        <w:rPr>
          <w:rFonts w:ascii="仿宋_GB2312" w:hAnsi="仿宋_GB2312" w:eastAsia="仿宋_GB2312"/>
          <w:b w:val="0"/>
          <w:sz w:val="32"/>
        </w:rPr>
        <w:t>2.社会保障和就业支出(类)344.58万元,占10.71%。</w:t>
      </w:r>
    </w:p>
    <w:p w14:paraId="48BBFC97">
      <w:pPr>
        <w:spacing w:line="580" w:lineRule="exact"/>
        <w:ind w:firstLine="640"/>
        <w:jc w:val="both"/>
      </w:pPr>
      <w:r>
        <w:rPr>
          <w:rFonts w:ascii="仿宋_GB2312" w:hAnsi="仿宋_GB2312" w:eastAsia="仿宋_GB2312"/>
          <w:b w:val="0"/>
          <w:sz w:val="32"/>
        </w:rPr>
        <w:t>3.卫生健康支出(类)116.51万元,占3.62%。</w:t>
      </w:r>
    </w:p>
    <w:p w14:paraId="16861C6C">
      <w:pPr>
        <w:spacing w:line="580" w:lineRule="exact"/>
        <w:ind w:firstLine="640"/>
        <w:jc w:val="both"/>
      </w:pPr>
      <w:r>
        <w:rPr>
          <w:rFonts w:ascii="仿宋_GB2312" w:hAnsi="仿宋_GB2312" w:eastAsia="仿宋_GB2312"/>
          <w:b w:val="0"/>
          <w:sz w:val="32"/>
        </w:rPr>
        <w:t>4.住房保障支出(类)157.84万元,占4.91%。</w:t>
      </w:r>
    </w:p>
    <w:p w14:paraId="4632B8B9">
      <w:pPr>
        <w:spacing w:line="640" w:lineRule="exact"/>
        <w:ind w:firstLine="640"/>
        <w:jc w:val="both"/>
        <w:outlineLvl w:val="3"/>
      </w:pPr>
      <w:r>
        <w:rPr>
          <w:rFonts w:ascii="楷体_GB2312" w:hAnsi="楷体_GB2312" w:eastAsia="楷体_GB2312"/>
          <w:b/>
          <w:sz w:val="32"/>
        </w:rPr>
        <w:t>（三）一般公共预算财政拨款支出决算具体情况</w:t>
      </w:r>
    </w:p>
    <w:p w14:paraId="5F2FFE77">
      <w:pPr>
        <w:spacing w:line="580" w:lineRule="exact"/>
        <w:ind w:firstLine="640"/>
        <w:jc w:val="both"/>
      </w:pPr>
      <w:r>
        <w:rPr>
          <w:rFonts w:ascii="仿宋_GB2312" w:hAnsi="仿宋_GB2312" w:eastAsia="仿宋_GB2312"/>
          <w:b w:val="0"/>
          <w:sz w:val="32"/>
        </w:rPr>
        <w:t>1.公共安全支出(类)法院(款)行政运行(项):支出决算数为1,776.21万元，比上年决算减少182.44万元，下降9.31%,主要原因是：本年在职人员减少，相应人员经费较上年减少。</w:t>
      </w:r>
    </w:p>
    <w:p w14:paraId="7352FCAA">
      <w:pPr>
        <w:spacing w:line="580" w:lineRule="exact"/>
        <w:ind w:firstLine="640"/>
        <w:jc w:val="both"/>
      </w:pPr>
      <w:r>
        <w:rPr>
          <w:rFonts w:ascii="仿宋_GB2312" w:hAnsi="仿宋_GB2312" w:eastAsia="仿宋_GB2312"/>
          <w:b w:val="0"/>
          <w:sz w:val="32"/>
        </w:rPr>
        <w:t>2.公共安全支出(类)法院(款)一般行政管理事务(项):支出决算数为267.32万元，比上年决算减少103.93万元，下降27.99%,主要原因是：本年减少自治区高级人民法院提前下达南疆三地州及阿克苏三县司改绩效考核等项目经费，导致相关经费减少。</w:t>
      </w:r>
    </w:p>
    <w:p w14:paraId="5DBE882E">
      <w:pPr>
        <w:spacing w:line="580" w:lineRule="exact"/>
        <w:ind w:firstLine="640"/>
        <w:jc w:val="both"/>
      </w:pPr>
      <w:r>
        <w:rPr>
          <w:rFonts w:ascii="仿宋_GB2312" w:hAnsi="仿宋_GB2312" w:eastAsia="仿宋_GB2312"/>
          <w:b w:val="0"/>
          <w:sz w:val="32"/>
        </w:rPr>
        <w:t>3.公共安全支出(类)法院(款)其他法院支出(项):支出决算数为555.00万元，比上年决算增加35.00万元，增长6.73%,主要原因是：本年增加专项项目经费，导致相关经费增加。</w:t>
      </w:r>
    </w:p>
    <w:p w14:paraId="37D5F140">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4.社会保障和就业支出(类)行政事业单位养老支出(款)行政单位离退休(项):支出决算数为46.86万元，比上年决算增加13.63万元，增长41.02%,主要原因是：本年退休人员增加，退休费支出增加。</w:t>
      </w:r>
    </w:p>
    <w:p w14:paraId="784AE822">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211.84万元，比上年决算增加4.41万元，增长2.13%,主要原因是：本年在职人员工资基数调增，养老缴费基数上涨，相应支出增加。</w:t>
      </w:r>
    </w:p>
    <w:p w14:paraId="589F707E">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25.72万元，比上年决算增加21.97万元，增长585.87%,主要原因是：本年新增退休人员较上年增加，职业年金缴费支出增加。</w:t>
      </w:r>
    </w:p>
    <w:p w14:paraId="0008424F">
      <w:pPr>
        <w:spacing w:line="580" w:lineRule="exact"/>
        <w:ind w:firstLine="640"/>
        <w:jc w:val="both"/>
      </w:pPr>
      <w:r>
        <w:rPr>
          <w:rFonts w:ascii="仿宋_GB2312" w:hAnsi="仿宋_GB2312" w:eastAsia="仿宋_GB2312"/>
          <w:b w:val="0"/>
          <w:sz w:val="32"/>
        </w:rPr>
        <w:t>7.社会保障和就业支出(类)抚恤(款)死亡抚恤(项):支出决算数为60.16万元，比上年决算增加60.16万元，增长100.00%,主要原因是：本年新增死亡人员，死亡抚恤支出增加。</w:t>
      </w:r>
    </w:p>
    <w:p w14:paraId="2E04A1D0">
      <w:pPr>
        <w:spacing w:line="580" w:lineRule="exact"/>
        <w:ind w:firstLine="640"/>
        <w:jc w:val="both"/>
      </w:pPr>
      <w:r>
        <w:rPr>
          <w:rFonts w:ascii="仿宋_GB2312" w:hAnsi="仿宋_GB2312" w:eastAsia="仿宋_GB2312"/>
          <w:b w:val="0"/>
          <w:sz w:val="32"/>
        </w:rPr>
        <w:t>8.卫生健康支出(类)行政事业单位医疗(款)行政单位医疗(项):支出决算数为90.03万元，比上年决算增加1.90万元，增长2.16%,主要原因是：本年在职人员工资基数调增，医疗缴费基数上涨，相应支出增加。</w:t>
      </w:r>
    </w:p>
    <w:p w14:paraId="320A99C9">
      <w:pPr>
        <w:spacing w:line="580" w:lineRule="exact"/>
        <w:ind w:firstLine="640"/>
        <w:jc w:val="both"/>
      </w:pPr>
      <w:r>
        <w:rPr>
          <w:rFonts w:ascii="仿宋_GB2312" w:hAnsi="仿宋_GB2312" w:eastAsia="仿宋_GB2312"/>
          <w:b w:val="0"/>
          <w:sz w:val="32"/>
        </w:rPr>
        <w:t>9.卫生健康支出(类)行政事业单位医疗(款)公务员医疗补助(项):支出决算数为26.48万元，比上年决算增加0.56万元，增长2.16%,主要原因是：本年在职人员工资基数调增，医疗缴费基数上涨，相应支出增加。</w:t>
      </w:r>
    </w:p>
    <w:p w14:paraId="794C9D59">
      <w:pPr>
        <w:spacing w:line="580" w:lineRule="exact"/>
        <w:ind w:firstLine="640"/>
        <w:jc w:val="both"/>
      </w:pPr>
      <w:r>
        <w:rPr>
          <w:rFonts w:ascii="仿宋_GB2312" w:hAnsi="仿宋_GB2312" w:eastAsia="仿宋_GB2312"/>
          <w:b w:val="0"/>
          <w:sz w:val="32"/>
        </w:rPr>
        <w:t>10.住房保障支出(类)住房改革支出(款)住房公积金(项):支出决算数为157.84万元，比上年决算增加7.76万元，增长5.17%,主要原因是：本年在职人员工资基数调增，公积金缴费基数上涨，相应支出增加。</w:t>
      </w:r>
    </w:p>
    <w:p w14:paraId="65CB6EE6">
      <w:pPr>
        <w:spacing w:line="640" w:lineRule="exact"/>
        <w:ind w:firstLine="640"/>
        <w:jc w:val="both"/>
        <w:outlineLvl w:val="2"/>
      </w:pPr>
      <w:r>
        <w:rPr>
          <w:rFonts w:ascii="黑体" w:hAnsi="黑体" w:eastAsia="黑体"/>
          <w:sz w:val="32"/>
        </w:rPr>
        <w:t>六、一般公共预算财政拨款基本支出决算情况说明</w:t>
      </w:r>
    </w:p>
    <w:p w14:paraId="42459A8D">
      <w:pPr>
        <w:spacing w:line="580" w:lineRule="exact"/>
        <w:ind w:firstLine="640"/>
        <w:jc w:val="both"/>
      </w:pPr>
      <w:r>
        <w:rPr>
          <w:rFonts w:ascii="仿宋_GB2312" w:hAnsi="仿宋_GB2312" w:eastAsia="仿宋_GB2312"/>
          <w:b w:val="0"/>
          <w:sz w:val="32"/>
        </w:rPr>
        <w:t>2024年度一般公共预算财政拨款基本支出2,395.13万元，其中：</w:t>
      </w:r>
      <w:r>
        <w:rPr>
          <w:rFonts w:ascii="仿宋_GB2312" w:hAnsi="仿宋_GB2312" w:eastAsia="仿宋_GB2312"/>
          <w:b/>
          <w:sz w:val="32"/>
        </w:rPr>
        <w:t>人员经费2,276.98万元，</w:t>
      </w:r>
      <w:r>
        <w:rPr>
          <w:rFonts w:ascii="仿宋_GB2312" w:hAnsi="仿宋_GB2312" w:eastAsia="仿宋_GB2312"/>
          <w:b w:val="0"/>
          <w:sz w:val="32"/>
        </w:rPr>
        <w:t>包括：基本工资、津贴补贴、奖金、机关事业单位基本养老保险缴费、职业年金缴费、职工基本医疗保险缴费、公务员医疗补助缴费、其他社会保障缴费、住房公积金、其他工资福利支出、退休费、抚恤金、生活补助、奖励金。</w:t>
      </w:r>
    </w:p>
    <w:p w14:paraId="12930E33">
      <w:pPr>
        <w:spacing w:line="580" w:lineRule="exact"/>
        <w:ind w:firstLine="640"/>
        <w:jc w:val="both"/>
      </w:pPr>
      <w:r>
        <w:rPr>
          <w:rFonts w:ascii="仿宋_GB2312" w:hAnsi="仿宋_GB2312" w:eastAsia="仿宋_GB2312"/>
          <w:b/>
          <w:sz w:val="32"/>
        </w:rPr>
        <w:t>公用经费118.15万元，</w:t>
      </w:r>
      <w:r>
        <w:rPr>
          <w:rFonts w:ascii="仿宋_GB2312" w:hAnsi="仿宋_GB2312" w:eastAsia="仿宋_GB2312"/>
          <w:b w:val="0"/>
          <w:sz w:val="32"/>
        </w:rPr>
        <w:t>包括：办公费、水费、电费、取暖费、物业管理费、公务用车运行维护费、其他商品和服务支出。</w:t>
      </w:r>
    </w:p>
    <w:p w14:paraId="0B329F18">
      <w:pPr>
        <w:spacing w:line="640" w:lineRule="exact"/>
        <w:ind w:firstLine="640"/>
        <w:jc w:val="both"/>
        <w:outlineLvl w:val="2"/>
      </w:pPr>
      <w:r>
        <w:rPr>
          <w:rFonts w:ascii="黑体" w:hAnsi="黑体" w:eastAsia="黑体"/>
          <w:sz w:val="32"/>
        </w:rPr>
        <w:t>七、政府性基金预算财政拨款收入支出决算情况说明</w:t>
      </w:r>
    </w:p>
    <w:p w14:paraId="6C3E964F">
      <w:pPr>
        <w:spacing w:line="580" w:lineRule="exact"/>
        <w:ind w:firstLine="640"/>
        <w:jc w:val="both"/>
      </w:pPr>
      <w:r>
        <w:rPr>
          <w:rFonts w:ascii="仿宋_GB2312" w:hAnsi="仿宋_GB2312" w:eastAsia="仿宋_GB2312"/>
          <w:b w:val="0"/>
          <w:sz w:val="32"/>
        </w:rPr>
        <w:t>本部门本年度无政府性基金预算财政拨款收入、支出及结转和结余，政府性基金预算财政拨款收入支出决算表为空表。</w:t>
      </w:r>
    </w:p>
    <w:p w14:paraId="4301E025">
      <w:pPr>
        <w:spacing w:line="640" w:lineRule="exact"/>
        <w:ind w:firstLine="640"/>
        <w:jc w:val="both"/>
        <w:outlineLvl w:val="2"/>
      </w:pPr>
      <w:r>
        <w:rPr>
          <w:rFonts w:ascii="黑体" w:hAnsi="黑体" w:eastAsia="黑体"/>
          <w:sz w:val="32"/>
        </w:rPr>
        <w:t>八、国有资本经营预算财政拨款收入支出决算情况说明</w:t>
      </w:r>
    </w:p>
    <w:p w14:paraId="51249514">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14:paraId="2830EDD9">
      <w:pPr>
        <w:spacing w:line="640" w:lineRule="exact"/>
        <w:ind w:firstLine="640"/>
        <w:jc w:val="both"/>
        <w:outlineLvl w:val="2"/>
      </w:pPr>
      <w:r>
        <w:rPr>
          <w:rFonts w:ascii="黑体" w:hAnsi="黑体" w:eastAsia="黑体"/>
          <w:sz w:val="32"/>
        </w:rPr>
        <w:t>九、财政拨款“三公”经费支出决算情况说明</w:t>
      </w:r>
    </w:p>
    <w:p w14:paraId="186CBE13">
      <w:pPr>
        <w:spacing w:line="580" w:lineRule="exact"/>
        <w:ind w:firstLine="640"/>
        <w:jc w:val="both"/>
      </w:pPr>
      <w:r>
        <w:rPr>
          <w:rFonts w:ascii="仿宋_GB2312" w:hAnsi="仿宋_GB2312" w:eastAsia="仿宋_GB2312"/>
          <w:b/>
          <w:sz w:val="32"/>
        </w:rPr>
        <w:t>2024年度财政拨款“三公”经费支出103.16万元，</w:t>
      </w:r>
      <w:r>
        <w:rPr>
          <w:rFonts w:ascii="仿宋_GB2312" w:hAnsi="仿宋_GB2312" w:eastAsia="仿宋_GB2312"/>
          <w:b w:val="0"/>
          <w:sz w:val="32"/>
        </w:rPr>
        <w:t>比上年增加70.96万元，增长220.37%，主要原因是：本年新购入公务用车，公务用车购置费较上年增加。其中：因公出国（境）费支出0.00万元，占0.00%，比上年增加0.00万元，增长0.00%，主要原因是：2023年与2024年均未安排因公出国（境）费支出。公务用车购置及运行维护费支出103.16万元，占100.00%，比上年增加70.96万元，增长220.37%，主要原因是：本年新购入公务用车，公务用车购置费较上年增加。公务接待费支出0.00万元，占0.00%，比上年增加0.00万元，增长0.00%，主要原因是：2023年与2024年均未安排公务接待费支出。</w:t>
      </w:r>
    </w:p>
    <w:p w14:paraId="5624B897">
      <w:pPr>
        <w:spacing w:line="580" w:lineRule="exact"/>
        <w:ind w:firstLine="640"/>
        <w:jc w:val="both"/>
      </w:pPr>
      <w:r>
        <w:rPr>
          <w:rFonts w:ascii="仿宋_GB2312" w:hAnsi="仿宋_GB2312" w:eastAsia="仿宋_GB2312"/>
          <w:b/>
          <w:sz w:val="32"/>
        </w:rPr>
        <w:t>具体情况如下：</w:t>
      </w:r>
    </w:p>
    <w:p w14:paraId="39D6FEF9">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14:paraId="405E903F">
      <w:pPr>
        <w:spacing w:line="580" w:lineRule="exact"/>
        <w:ind w:firstLine="640"/>
        <w:jc w:val="both"/>
      </w:pPr>
      <w:r>
        <w:rPr>
          <w:rFonts w:ascii="仿宋_GB2312" w:hAnsi="仿宋_GB2312" w:eastAsia="仿宋_GB2312"/>
          <w:b w:val="0"/>
          <w:sz w:val="32"/>
        </w:rPr>
        <w:t>公务用车购置及运行维护费103.16万元，其中：公务用车购置费70.96万元，公务用车运行维护费32.20万元。公务用车运行维护费开支内容包括车辆加油费、维修费、保险费、审车费、过路费等。公务用车购置数4辆，公务用车保有量18辆。国有资产占用情况中固定资产车辆18辆，与公务用车保有量差异原因是：本部门固定资产车辆与公务用车保有量一致无差异。</w:t>
      </w:r>
    </w:p>
    <w:p w14:paraId="28F06688">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14:paraId="24ECD64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103.16万元，决算数103.16万元，预决算差异率0.00%，主要原因是：严格按照预算执行，预决算无差异。其中：因公出国（境）费全年预算数0.00万元，决算数0.00万元，预决算差异率0.00%，主要原因是：本部门无因公出国（境）费。公务用车购置费全年预算数70.96万元，决算数70.96万元，预决算差异率0.00%，主要原因是：严格按照预算执行，预决算无差异。公务用车运行维护费全年预算数32.20万元，决算数32.20万元，预决算差异率0.00%，主要原因是：严格按照预算执行，预决算无差异。公务接待费全年预算数0.00万元，决算数0.00万元，预决算差异率0.00%，主要原因是：本部门无公务接待费。</w:t>
      </w:r>
    </w:p>
    <w:p w14:paraId="060F6BB3">
      <w:pPr>
        <w:spacing w:line="640" w:lineRule="exact"/>
        <w:ind w:firstLine="640"/>
        <w:jc w:val="both"/>
        <w:outlineLvl w:val="2"/>
      </w:pPr>
      <w:r>
        <w:rPr>
          <w:rFonts w:ascii="黑体" w:hAnsi="黑体" w:eastAsia="黑体"/>
          <w:sz w:val="32"/>
        </w:rPr>
        <w:t>十、其他重要事项的情况说明</w:t>
      </w:r>
    </w:p>
    <w:p w14:paraId="56422B8C">
      <w:pPr>
        <w:spacing w:line="640" w:lineRule="exact"/>
        <w:ind w:firstLine="640"/>
        <w:jc w:val="both"/>
        <w:outlineLvl w:val="3"/>
      </w:pPr>
      <w:r>
        <w:rPr>
          <w:rFonts w:ascii="楷体_GB2312" w:hAnsi="楷体_GB2312" w:eastAsia="楷体_GB2312"/>
          <w:b/>
          <w:sz w:val="32"/>
        </w:rPr>
        <w:t>（一）机关运行经费及公用经费支出情况</w:t>
      </w:r>
    </w:p>
    <w:p w14:paraId="0DA5A175">
      <w:pPr>
        <w:spacing w:line="580" w:lineRule="exact"/>
        <w:ind w:firstLine="640"/>
        <w:jc w:val="both"/>
      </w:pPr>
      <w:r>
        <w:rPr>
          <w:rFonts w:ascii="仿宋_GB2312" w:hAnsi="仿宋_GB2312" w:eastAsia="仿宋_GB2312"/>
          <w:b w:val="0"/>
          <w:sz w:val="32"/>
        </w:rPr>
        <w:t>2024年度叶城县人民法院（行政单位和参照公务员法管理事业单位）机关运行经费支出118.15万元，比上年增加27.69万元，增长30.61%，主要原因是：本年取暖费等公用经费支出增加，导致经费较上年增加。</w:t>
      </w:r>
    </w:p>
    <w:p w14:paraId="23BC9E52">
      <w:pPr>
        <w:spacing w:line="640" w:lineRule="exact"/>
        <w:ind w:firstLine="640"/>
        <w:jc w:val="both"/>
        <w:outlineLvl w:val="3"/>
      </w:pPr>
      <w:r>
        <w:rPr>
          <w:rFonts w:ascii="楷体_GB2312" w:hAnsi="楷体_GB2312" w:eastAsia="楷体_GB2312"/>
          <w:b/>
          <w:sz w:val="32"/>
        </w:rPr>
        <w:t>（二）政府采购情况</w:t>
      </w:r>
    </w:p>
    <w:p w14:paraId="05E1F04A">
      <w:pPr>
        <w:spacing w:line="580" w:lineRule="exact"/>
        <w:ind w:firstLine="640"/>
        <w:jc w:val="both"/>
      </w:pPr>
      <w:r>
        <w:rPr>
          <w:rFonts w:ascii="仿宋_GB2312" w:hAnsi="仿宋_GB2312" w:eastAsia="仿宋_GB2312"/>
          <w:b w:val="0"/>
          <w:sz w:val="32"/>
        </w:rPr>
        <w:t>2024年度政府采购支出总额261.33万元，其中：政府采购货物支出166.71万元、政府采购工程支出3.71万元、政府采购服务支出90.91万元。</w:t>
      </w:r>
    </w:p>
    <w:p w14:paraId="2856A976">
      <w:pPr>
        <w:spacing w:line="580" w:lineRule="exact"/>
        <w:ind w:firstLine="640"/>
        <w:jc w:val="both"/>
      </w:pPr>
      <w:r>
        <w:rPr>
          <w:rFonts w:ascii="仿宋_GB2312" w:hAnsi="仿宋_GB2312" w:eastAsia="仿宋_GB2312"/>
          <w:b w:val="0"/>
          <w:sz w:val="32"/>
        </w:rPr>
        <w:t>授予中小企业合同金额261.33万元，占政府采购支出总额的100.00%，其中：授予小微企业合同金额248.30万元，占政府采购支出总额的95.01%。</w:t>
      </w:r>
    </w:p>
    <w:p w14:paraId="2DDEAF11">
      <w:pPr>
        <w:spacing w:line="640" w:lineRule="exact"/>
        <w:ind w:firstLine="640"/>
        <w:jc w:val="both"/>
        <w:outlineLvl w:val="3"/>
      </w:pPr>
      <w:r>
        <w:rPr>
          <w:rFonts w:ascii="楷体_GB2312" w:hAnsi="楷体_GB2312" w:eastAsia="楷体_GB2312"/>
          <w:b/>
          <w:sz w:val="32"/>
        </w:rPr>
        <w:t>（三）国有资产占用情况说明</w:t>
      </w:r>
    </w:p>
    <w:p w14:paraId="7D9076BE">
      <w:pPr>
        <w:spacing w:line="580" w:lineRule="exact"/>
        <w:ind w:firstLine="640"/>
        <w:jc w:val="both"/>
      </w:pPr>
      <w:r>
        <w:rPr>
          <w:rFonts w:ascii="仿宋_GB2312" w:hAnsi="仿宋_GB2312" w:eastAsia="仿宋_GB2312"/>
          <w:b w:val="0"/>
          <w:sz w:val="32"/>
        </w:rPr>
        <w:t>截至2024年12月31日，房屋13,975.87平方米，价值2,763.62万元。车辆18辆，价值283.59万元，其中：副部（省）级及以上领导用车0辆、主要负责人用车0辆、机要通信用车0辆、应急保障用车0辆、执法执勤用车17辆、特种专业技术用车1辆、离退休干部服务用车0辆、其他用车0辆，其他用车主要是：本部门无其他用车。单价100万元（含）以上设备（不含车辆）2台（套）。</w:t>
      </w:r>
    </w:p>
    <w:p w14:paraId="522A86B0">
      <w:pPr>
        <w:spacing w:line="640" w:lineRule="exact"/>
        <w:ind w:firstLine="640"/>
        <w:jc w:val="both"/>
        <w:outlineLvl w:val="2"/>
      </w:pPr>
      <w:r>
        <w:rPr>
          <w:rFonts w:ascii="黑体" w:hAnsi="黑体" w:eastAsia="黑体"/>
          <w:sz w:val="32"/>
        </w:rPr>
        <w:t>十一、预算绩效的情况说明</w:t>
      </w:r>
    </w:p>
    <w:p w14:paraId="39A0ABF3">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根据预算绩效管理要求，本部门2024年度预算绩效管理形成整体支出绩效自评表1个，全年预算总额3,217.46万元，实际执行总额3,217.46万元；预算绩效评价项目</w:t>
      </w:r>
      <w:r>
        <w:rPr>
          <w:rFonts w:hint="eastAsia" w:ascii="仿宋_GB2312" w:hAnsi="仿宋_GB2312" w:eastAsia="仿宋_GB2312"/>
          <w:b w:val="0"/>
          <w:sz w:val="32"/>
          <w:lang w:val="en-US" w:eastAsia="zh-CN"/>
        </w:rPr>
        <w:t>6</w:t>
      </w:r>
      <w:r>
        <w:rPr>
          <w:rFonts w:ascii="仿宋_GB2312" w:hAnsi="仿宋_GB2312" w:eastAsia="仿宋_GB2312"/>
          <w:b w:val="0"/>
          <w:sz w:val="32"/>
        </w:rPr>
        <w:t>个，全年预算数</w:t>
      </w:r>
      <w:r>
        <w:rPr>
          <w:rFonts w:hint="eastAsia" w:ascii="仿宋_GB2312" w:hAnsi="仿宋_GB2312" w:eastAsia="仿宋_GB2312"/>
          <w:b w:val="0"/>
          <w:sz w:val="32"/>
        </w:rPr>
        <w:t>822.32</w:t>
      </w:r>
      <w:r>
        <w:rPr>
          <w:rFonts w:ascii="仿宋_GB2312" w:hAnsi="仿宋_GB2312" w:eastAsia="仿宋_GB2312"/>
          <w:b w:val="0"/>
          <w:sz w:val="32"/>
        </w:rPr>
        <w:t>万元，全年执行数</w:t>
      </w:r>
      <w:r>
        <w:rPr>
          <w:rFonts w:hint="eastAsia" w:ascii="仿宋_GB2312" w:hAnsi="仿宋_GB2312" w:eastAsia="仿宋_GB2312"/>
          <w:b w:val="0"/>
          <w:sz w:val="32"/>
        </w:rPr>
        <w:t>822.32</w:t>
      </w:r>
      <w:r>
        <w:rPr>
          <w:rFonts w:ascii="仿宋_GB2312" w:hAnsi="仿宋_GB2312" w:eastAsia="仿宋_GB2312"/>
          <w:b w:val="0"/>
          <w:sz w:val="32"/>
        </w:rPr>
        <w:t>万元。预算绩效管理取得的成效：开展绩效评价，提高了绩效工作管理水平，科学制定目标，促进了绩效目标顺利实现，提高了项目资金使用的绩效意识，以便项目实施完成，进行跟踪问效评价，对下一年此类项目预算编制提供参考。发现的问题及原因：一是存在的问题财政绩效管理有待提高。相关绩效管理方面专业知识的系统性学习有待加强。二是原因分析按照财政支出绩效管理的要求，建立科学的财政资金效益考评制度体系，不断完善绩效评价的评价体系及工作流程，提高财政资金使用管理的水平和效率。对预算绩效管理、绩效理念尚未真正贯穿于实践工作，相关工作人员经验不足，绩效管理</w:t>
      </w:r>
      <w:r>
        <w:rPr>
          <w:rFonts w:hint="eastAsia" w:ascii="仿宋_GB2312" w:hAnsi="仿宋_GB2312" w:eastAsia="仿宋_GB2312"/>
          <w:b w:val="0"/>
          <w:sz w:val="32"/>
          <w:lang w:eastAsia="zh-CN"/>
        </w:rPr>
        <w:t>意识不强</w:t>
      </w:r>
      <w:r>
        <w:rPr>
          <w:rFonts w:ascii="仿宋_GB2312" w:hAnsi="仿宋_GB2312" w:eastAsia="仿宋_GB2312"/>
          <w:b w:val="0"/>
          <w:sz w:val="32"/>
        </w:rPr>
        <w:t>，对于指标的编制还不够完善。评价工作还存在自我审定的局限性，影响评价质量。下一步改进措施：一是科学分析，严格按照预算绩效管理原则处理，确保指标值准确，与各行业部门对接，加强协调联动；二</w:t>
      </w:r>
      <w:r>
        <w:rPr>
          <w:rFonts w:hint="eastAsia" w:ascii="仿宋_GB2312" w:hAnsi="仿宋_GB2312" w:eastAsia="仿宋_GB2312"/>
          <w:b w:val="0"/>
          <w:sz w:val="32"/>
          <w:lang w:eastAsia="zh-CN"/>
        </w:rPr>
        <w:t>是促</w:t>
      </w:r>
      <w:r>
        <w:rPr>
          <w:rFonts w:ascii="仿宋_GB2312" w:hAnsi="仿宋_GB2312" w:eastAsia="仿宋_GB2312"/>
          <w:b w:val="0"/>
          <w:sz w:val="32"/>
        </w:rPr>
        <w:t>进扩大预算绩效管理范围，让</w:t>
      </w:r>
      <w:r>
        <w:rPr>
          <w:rFonts w:hint="eastAsia" w:ascii="仿宋_GB2312" w:hAnsi="仿宋_GB2312" w:eastAsia="仿宋_GB2312"/>
          <w:b w:val="0"/>
          <w:sz w:val="32"/>
          <w:lang w:eastAsia="zh-CN"/>
        </w:rPr>
        <w:t>本部门</w:t>
      </w:r>
      <w:r>
        <w:rPr>
          <w:rFonts w:ascii="仿宋_GB2312" w:hAnsi="仿宋_GB2312" w:eastAsia="仿宋_GB2312"/>
          <w:b w:val="0"/>
          <w:sz w:val="32"/>
        </w:rPr>
        <w:t>主要领导和相关科室多熟悉预算绩效管理的内容和要求，不断提升预算单位的绩效意识；三是加强对预算绩效业务工作人员的培训，培养专业人才，从而为绩效评估提供更大的基础保障。具体附部门整体支出绩效自评表，项目支出绩效自评表。</w:t>
      </w:r>
    </w:p>
    <w:p w14:paraId="45ED238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27ECEB64">
        <w:tblPrEx>
          <w:tblCellMar>
            <w:top w:w="0" w:type="dxa"/>
            <w:left w:w="108" w:type="dxa"/>
            <w:bottom w:w="0" w:type="dxa"/>
            <w:right w:w="108" w:type="dxa"/>
          </w:tblCellMar>
        </w:tblPrEx>
        <w:tc>
          <w:tcPr>
            <w:tcW w:w="8847" w:type="dxa"/>
            <w:gridSpan w:val="9"/>
            <w:vAlign w:val="center"/>
          </w:tcPr>
          <w:p w14:paraId="08DB0FF0">
            <w:pPr>
              <w:jc w:val="center"/>
            </w:pPr>
            <w:r>
              <w:rPr>
                <w:rFonts w:ascii="宋体" w:hAnsi="宋体" w:eastAsia="宋体"/>
                <w:sz w:val="24"/>
              </w:rPr>
              <w:t>部门整体支出绩效自评表</w:t>
            </w:r>
          </w:p>
        </w:tc>
      </w:tr>
      <w:tr w14:paraId="3A899C2D">
        <w:tblPrEx>
          <w:tblCellMar>
            <w:top w:w="0" w:type="dxa"/>
            <w:left w:w="108" w:type="dxa"/>
            <w:bottom w:w="0" w:type="dxa"/>
            <w:right w:w="108" w:type="dxa"/>
          </w:tblCellMar>
        </w:tblPrEx>
        <w:tc>
          <w:tcPr>
            <w:tcW w:w="8847" w:type="dxa"/>
            <w:gridSpan w:val="9"/>
            <w:vAlign w:val="center"/>
          </w:tcPr>
          <w:p w14:paraId="2B7B9020">
            <w:pPr>
              <w:jc w:val="center"/>
            </w:pPr>
            <w:r>
              <w:rPr>
                <w:rFonts w:ascii="宋体" w:hAnsi="宋体" w:eastAsia="宋体"/>
                <w:sz w:val="24"/>
              </w:rPr>
              <w:t>（2024年度）</w:t>
            </w:r>
          </w:p>
        </w:tc>
      </w:tr>
      <w:tr w14:paraId="34C8C86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4FF76">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0FD9F619">
            <w:pPr>
              <w:jc w:val="center"/>
            </w:pPr>
            <w:r>
              <w:rPr>
                <w:rFonts w:ascii="宋体" w:hAnsi="宋体" w:eastAsia="宋体"/>
                <w:sz w:val="16"/>
              </w:rPr>
              <w:t>叶城县人民法院</w:t>
            </w:r>
          </w:p>
        </w:tc>
      </w:tr>
      <w:tr w14:paraId="758387D0">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7D404A">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9007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24F28B8">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CF4C85">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B0F44F">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00EC22">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BDB8E">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F9BD2">
            <w:pPr>
              <w:jc w:val="center"/>
            </w:pPr>
            <w:r>
              <w:rPr>
                <w:rFonts w:ascii="宋体" w:hAnsi="宋体" w:eastAsia="宋体"/>
                <w:sz w:val="16"/>
              </w:rPr>
              <w:t>得分</w:t>
            </w:r>
          </w:p>
        </w:tc>
      </w:tr>
      <w:tr w14:paraId="4B3C5AD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E457D47"/>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810EE24">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9279449">
            <w:pPr>
              <w:jc w:val="center"/>
            </w:pPr>
            <w:r>
              <w:rPr>
                <w:rFonts w:ascii="宋体" w:hAnsi="宋体" w:eastAsia="宋体"/>
                <w:sz w:val="16"/>
              </w:rPr>
              <w:t>3,333.34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910EB5">
            <w:pPr>
              <w:jc w:val="center"/>
            </w:pPr>
            <w:r>
              <w:rPr>
                <w:rFonts w:ascii="宋体" w:hAnsi="宋体" w:eastAsia="宋体"/>
                <w:sz w:val="16"/>
              </w:rPr>
              <w:t>3,217.46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75381">
            <w:pPr>
              <w:jc w:val="center"/>
            </w:pPr>
            <w:r>
              <w:rPr>
                <w:rFonts w:ascii="宋体" w:hAnsi="宋体" w:eastAsia="宋体"/>
                <w:sz w:val="16"/>
              </w:rPr>
              <w:t>3,217.46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75AC6E7">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0F9FE99">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ACCD6F">
            <w:pPr>
              <w:jc w:val="center"/>
            </w:pPr>
            <w:r>
              <w:rPr>
                <w:rFonts w:ascii="宋体" w:hAnsi="宋体" w:eastAsia="宋体"/>
                <w:sz w:val="16"/>
              </w:rPr>
              <w:t>10</w:t>
            </w:r>
          </w:p>
        </w:tc>
      </w:tr>
      <w:tr w14:paraId="2C33ECD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186D3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A0D916">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9CC392">
            <w:pPr>
              <w:jc w:val="center"/>
            </w:pPr>
            <w:r>
              <w:rPr>
                <w:rFonts w:ascii="宋体" w:hAnsi="宋体" w:eastAsia="宋体"/>
                <w:sz w:val="16"/>
              </w:rPr>
              <w:t>725.04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BCB3DC3">
            <w:pPr>
              <w:jc w:val="center"/>
            </w:pPr>
            <w:r>
              <w:rPr>
                <w:rFonts w:ascii="宋体" w:hAnsi="宋体" w:eastAsia="宋体"/>
                <w:sz w:val="16"/>
              </w:rPr>
              <w:t>766.79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636BA3">
            <w:pPr>
              <w:jc w:val="center"/>
            </w:pPr>
            <w:r>
              <w:rPr>
                <w:rFonts w:ascii="宋体" w:hAnsi="宋体" w:eastAsia="宋体"/>
                <w:sz w:val="16"/>
              </w:rPr>
              <w:t>766.79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D7294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583CF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C3DEF7">
            <w:pPr>
              <w:jc w:val="center"/>
            </w:pPr>
            <w:r>
              <w:rPr>
                <w:rFonts w:ascii="宋体" w:hAnsi="宋体" w:eastAsia="宋体"/>
                <w:sz w:val="16"/>
              </w:rPr>
              <w:t>—</w:t>
            </w:r>
          </w:p>
        </w:tc>
      </w:tr>
      <w:tr w14:paraId="1409D0F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5C0A4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67CA61">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1C9E56">
            <w:pPr>
              <w:jc w:val="center"/>
            </w:pPr>
            <w:r>
              <w:rPr>
                <w:rFonts w:ascii="宋体" w:hAnsi="宋体" w:eastAsia="宋体"/>
                <w:sz w:val="16"/>
              </w:rPr>
              <w:t>2,608.30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8ED53AF">
            <w:pPr>
              <w:jc w:val="center"/>
            </w:pPr>
            <w:r>
              <w:rPr>
                <w:rFonts w:ascii="宋体" w:hAnsi="宋体" w:eastAsia="宋体"/>
                <w:sz w:val="16"/>
              </w:rPr>
              <w:t>2,450.67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509264">
            <w:pPr>
              <w:jc w:val="center"/>
            </w:pPr>
            <w:r>
              <w:rPr>
                <w:rFonts w:ascii="宋体" w:hAnsi="宋体" w:eastAsia="宋体"/>
                <w:sz w:val="16"/>
              </w:rPr>
              <w:t>2,450.67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A31F89">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9C4D4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77168E">
            <w:pPr>
              <w:jc w:val="center"/>
            </w:pPr>
            <w:r>
              <w:rPr>
                <w:rFonts w:ascii="宋体" w:hAnsi="宋体" w:eastAsia="宋体"/>
                <w:sz w:val="16"/>
              </w:rPr>
              <w:t>—</w:t>
            </w:r>
          </w:p>
        </w:tc>
      </w:tr>
      <w:tr w14:paraId="707D278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0BE642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938C69">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9D88B52">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28221">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5794A3F">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117513">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C23F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0C5EAC">
            <w:pPr>
              <w:jc w:val="center"/>
            </w:pPr>
            <w:r>
              <w:rPr>
                <w:rFonts w:ascii="宋体" w:hAnsi="宋体" w:eastAsia="宋体"/>
                <w:sz w:val="16"/>
              </w:rPr>
              <w:t>—</w:t>
            </w:r>
          </w:p>
        </w:tc>
      </w:tr>
      <w:tr w14:paraId="4AA822AC">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51B2966">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33E9636">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25E7095">
            <w:pPr>
              <w:jc w:val="center"/>
            </w:pPr>
            <w:r>
              <w:rPr>
                <w:rFonts w:ascii="宋体" w:hAnsi="宋体" w:eastAsia="宋体"/>
                <w:sz w:val="16"/>
              </w:rPr>
              <w:t>实际完成情况</w:t>
            </w:r>
          </w:p>
        </w:tc>
      </w:tr>
      <w:tr w14:paraId="7FD2A66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D38763"/>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0617D6E">
            <w:pPr>
              <w:jc w:val="both"/>
            </w:pPr>
            <w:r>
              <w:rPr>
                <w:rFonts w:ascii="宋体" w:hAnsi="宋体" w:eastAsia="宋体"/>
                <w:sz w:val="16"/>
              </w:rPr>
              <w:t>我院计划2024年办理案件7734件及以上，预计结案7473件，结案率达到96.63%，我院预期会更加推进审判体系和审判能力现代化，切实提升审判质效，并紧紧围绕“努力让人民群众在每一个司法案件中感受到公平正义”的目标，团结奋斗、苦干实干，充分发挥审判职能作用，为美丽叶城建设提供更加坚实有力的司法服务。</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B8D047">
            <w:pPr>
              <w:jc w:val="both"/>
            </w:pPr>
            <w:r>
              <w:rPr>
                <w:rFonts w:ascii="宋体" w:hAnsi="宋体" w:eastAsia="宋体"/>
                <w:sz w:val="16"/>
              </w:rPr>
              <w:t>截至目前，项目完成受理案件8100件，开展法律知识讲座22次，以能动司法展现人民法院担当作为，在新时代新征程上奋力谱写叶城法院高质量发展新篇章，坚持以习近平新时代中国特色社会主义思想为指导，认真贯彻习近平法治思想，落实党的二十大精神，紧紧围绕“努力让人民群众在每一个司法案件中感受到公平正义”的目标，团结奋斗、苦干实干，充分发挥审判职能作用，为美丽叶城建设提供更加坚实有力的司法服务和保障。</w:t>
            </w:r>
          </w:p>
        </w:tc>
      </w:tr>
      <w:tr w14:paraId="46D9D762">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D293DF">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638BE">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77E2F2">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49C82E">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FE02D">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14A42F">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527B28">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D54ED7">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96956C">
            <w:pPr>
              <w:jc w:val="center"/>
            </w:pPr>
            <w:r>
              <w:rPr>
                <w:rFonts w:ascii="宋体" w:hAnsi="宋体" w:eastAsia="宋体"/>
                <w:sz w:val="16"/>
              </w:rPr>
              <w:t>得分</w:t>
            </w:r>
          </w:p>
        </w:tc>
      </w:tr>
      <w:tr w14:paraId="587A62BD">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0533D2">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37775E">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521036">
            <w:pPr>
              <w:jc w:val="center"/>
            </w:pPr>
            <w:r>
              <w:rPr>
                <w:rFonts w:ascii="宋体" w:hAnsi="宋体" w:eastAsia="宋体"/>
                <w:sz w:val="16"/>
              </w:rPr>
              <w:t>受理案件数量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9FCA5AD">
            <w:pPr>
              <w:jc w:val="center"/>
            </w:pPr>
            <w:r>
              <w:rPr>
                <w:rFonts w:ascii="宋体" w:hAnsi="宋体" w:eastAsia="宋体"/>
                <w:sz w:val="16"/>
              </w:rPr>
              <w:t>&gt;=7734件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3C3487F">
            <w:pPr>
              <w:jc w:val="center"/>
            </w:pPr>
            <w:r>
              <w:rPr>
                <w:rFonts w:ascii="宋体" w:hAnsi="宋体" w:eastAsia="宋体"/>
                <w:sz w:val="16"/>
              </w:rPr>
              <w:t>《叶城县人民法院2023年工作报告</w:t>
            </w:r>
            <w:r>
              <w:rPr>
                <w:rFonts w:hint="eastAsia" w:ascii="宋体" w:hAnsi="宋体"/>
                <w:sz w:val="16"/>
                <w:lang w:eastAsia="zh-CN"/>
              </w:rPr>
              <w:t>》《</w:t>
            </w:r>
            <w:r>
              <w:rPr>
                <w:rFonts w:ascii="宋体" w:hAnsi="宋体" w:eastAsia="宋体"/>
                <w:sz w:val="16"/>
              </w:rPr>
              <w:t>2024年叶城县人民法院工作计划》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6BB8F8">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BDB590C">
            <w:pPr>
              <w:jc w:val="center"/>
            </w:pPr>
            <w:r>
              <w:rPr>
                <w:rFonts w:ascii="宋体" w:hAnsi="宋体" w:eastAsia="宋体"/>
                <w:sz w:val="16"/>
              </w:rPr>
              <w:t>8100件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BCFA89">
            <w:pPr>
              <w:jc w:val="center"/>
            </w:pPr>
            <w:r>
              <w:rPr>
                <w:rFonts w:ascii="宋体" w:hAnsi="宋体" w:eastAsia="宋体"/>
                <w:sz w:val="16"/>
              </w:rPr>
              <w:t>104.73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D5FDA">
            <w:pPr>
              <w:jc w:val="center"/>
            </w:pPr>
            <w:r>
              <w:rPr>
                <w:rFonts w:ascii="宋体" w:hAnsi="宋体" w:eastAsia="宋体"/>
                <w:sz w:val="16"/>
              </w:rPr>
              <w:t>20</w:t>
            </w:r>
          </w:p>
        </w:tc>
      </w:tr>
      <w:tr w14:paraId="486380C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2E8DEF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13E78EC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C4E65">
            <w:pPr>
              <w:jc w:val="center"/>
            </w:pPr>
            <w:r>
              <w:rPr>
                <w:rFonts w:ascii="宋体" w:hAnsi="宋体" w:eastAsia="宋体"/>
                <w:sz w:val="16"/>
              </w:rPr>
              <w:t>审结案件数量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6BD8B9">
            <w:pPr>
              <w:jc w:val="center"/>
            </w:pPr>
            <w:r>
              <w:rPr>
                <w:rFonts w:ascii="宋体" w:hAnsi="宋体" w:eastAsia="宋体"/>
                <w:sz w:val="16"/>
              </w:rPr>
              <w:t>&gt;=7473件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B3993EF">
            <w:pPr>
              <w:jc w:val="center"/>
            </w:pPr>
            <w:r>
              <w:rPr>
                <w:rFonts w:ascii="宋体" w:hAnsi="宋体" w:eastAsia="宋体"/>
                <w:sz w:val="16"/>
              </w:rPr>
              <w:t>《叶城县人民法院2023年工作报告</w:t>
            </w:r>
            <w:r>
              <w:rPr>
                <w:rFonts w:hint="eastAsia" w:ascii="宋体" w:hAnsi="宋体"/>
                <w:sz w:val="16"/>
                <w:lang w:eastAsia="zh-CN"/>
              </w:rPr>
              <w:t>》《</w:t>
            </w:r>
            <w:r>
              <w:rPr>
                <w:rFonts w:ascii="宋体" w:hAnsi="宋体" w:eastAsia="宋体"/>
                <w:sz w:val="16"/>
              </w:rPr>
              <w:t>2024年叶城县人民法院工作计划》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D9776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E504BF3">
            <w:pPr>
              <w:jc w:val="center"/>
            </w:pPr>
            <w:r>
              <w:rPr>
                <w:rFonts w:ascii="宋体" w:hAnsi="宋体" w:eastAsia="宋体"/>
                <w:sz w:val="16"/>
              </w:rPr>
              <w:t>7576件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5E2EF3">
            <w:pPr>
              <w:jc w:val="center"/>
            </w:pPr>
            <w:r>
              <w:rPr>
                <w:rFonts w:ascii="宋体" w:hAnsi="宋体" w:eastAsia="宋体"/>
                <w:sz w:val="16"/>
              </w:rPr>
              <w:t>100.98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1C35BA">
            <w:pPr>
              <w:jc w:val="center"/>
            </w:pPr>
            <w:r>
              <w:rPr>
                <w:rFonts w:ascii="宋体" w:hAnsi="宋体" w:eastAsia="宋体"/>
                <w:sz w:val="16"/>
              </w:rPr>
              <w:t>20</w:t>
            </w:r>
          </w:p>
        </w:tc>
      </w:tr>
      <w:tr w14:paraId="1C4585A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A78FE35"/>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D802EDA"/>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3CC0E3">
            <w:pPr>
              <w:jc w:val="center"/>
            </w:pPr>
            <w:r>
              <w:rPr>
                <w:rFonts w:ascii="宋体" w:hAnsi="宋体" w:eastAsia="宋体"/>
                <w:sz w:val="16"/>
              </w:rPr>
              <w:t>开展法律知识讲座次数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B41620">
            <w:pPr>
              <w:jc w:val="center"/>
            </w:pPr>
            <w:r>
              <w:rPr>
                <w:rFonts w:ascii="宋体" w:hAnsi="宋体" w:eastAsia="宋体"/>
                <w:sz w:val="16"/>
              </w:rPr>
              <w:t>&gt;=20次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2FDC2F">
            <w:pPr>
              <w:jc w:val="center"/>
            </w:pPr>
            <w:r>
              <w:rPr>
                <w:rFonts w:ascii="宋体" w:hAnsi="宋体" w:eastAsia="宋体"/>
                <w:sz w:val="16"/>
              </w:rPr>
              <w:t>《叶城县人民法院2023年工作报告</w:t>
            </w:r>
            <w:r>
              <w:rPr>
                <w:rFonts w:hint="eastAsia" w:ascii="宋体" w:hAnsi="宋体"/>
                <w:sz w:val="16"/>
                <w:lang w:eastAsia="zh-CN"/>
              </w:rPr>
              <w:t>》《</w:t>
            </w:r>
            <w:r>
              <w:rPr>
                <w:rFonts w:ascii="宋体" w:hAnsi="宋体" w:eastAsia="宋体"/>
                <w:sz w:val="16"/>
              </w:rPr>
              <w:t>2024年叶城县人民法院工作计划》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23B5F0">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2EFB1">
            <w:pPr>
              <w:jc w:val="center"/>
            </w:pPr>
            <w:r>
              <w:rPr>
                <w:rFonts w:ascii="宋体" w:hAnsi="宋体" w:eastAsia="宋体"/>
                <w:sz w:val="16"/>
              </w:rPr>
              <w:t>22次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0A0094">
            <w:pPr>
              <w:jc w:val="center"/>
            </w:pPr>
            <w:r>
              <w:rPr>
                <w:rFonts w:ascii="宋体" w:hAnsi="宋体" w:eastAsia="宋体"/>
                <w:sz w:val="16"/>
              </w:rPr>
              <w:t>110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CD27B2">
            <w:pPr>
              <w:jc w:val="center"/>
            </w:pPr>
            <w:r>
              <w:rPr>
                <w:rFonts w:ascii="宋体" w:hAnsi="宋体" w:eastAsia="宋体"/>
                <w:sz w:val="16"/>
              </w:rPr>
              <w:t>20</w:t>
            </w:r>
          </w:p>
        </w:tc>
      </w:tr>
      <w:tr w14:paraId="7C8E8CC6">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5C04E4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EA60B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CA44AA">
            <w:pPr>
              <w:jc w:val="center"/>
            </w:pPr>
            <w:r>
              <w:rPr>
                <w:rFonts w:ascii="宋体" w:hAnsi="宋体" w:eastAsia="宋体"/>
                <w:sz w:val="16"/>
              </w:rPr>
              <w:t>人民陪审员参审案件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E2409C3">
            <w:pPr>
              <w:jc w:val="center"/>
            </w:pPr>
            <w:r>
              <w:rPr>
                <w:rFonts w:ascii="宋体" w:hAnsi="宋体" w:eastAsia="宋体"/>
                <w:sz w:val="16"/>
              </w:rPr>
              <w:t>&gt;=153件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40410E">
            <w:pPr>
              <w:jc w:val="center"/>
            </w:pPr>
            <w:r>
              <w:rPr>
                <w:rFonts w:ascii="宋体" w:hAnsi="宋体" w:eastAsia="宋体"/>
                <w:sz w:val="16"/>
              </w:rPr>
              <w:t>《叶城县人民法院2023年工作报告</w:t>
            </w:r>
            <w:r>
              <w:rPr>
                <w:rFonts w:hint="eastAsia" w:ascii="宋体" w:hAnsi="宋体"/>
                <w:sz w:val="16"/>
                <w:lang w:eastAsia="zh-CN"/>
              </w:rPr>
              <w:t>》《</w:t>
            </w:r>
            <w:r>
              <w:rPr>
                <w:rFonts w:ascii="宋体" w:hAnsi="宋体" w:eastAsia="宋体"/>
                <w:sz w:val="16"/>
              </w:rPr>
              <w:t>2024年叶城县人民法院工作计划》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0D3D23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803550">
            <w:pPr>
              <w:jc w:val="center"/>
            </w:pPr>
            <w:r>
              <w:rPr>
                <w:rFonts w:ascii="宋体" w:hAnsi="宋体" w:eastAsia="宋体"/>
                <w:sz w:val="16"/>
              </w:rPr>
              <w:t>115件</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CA791F">
            <w:pPr>
              <w:jc w:val="center"/>
            </w:pPr>
            <w:r>
              <w:rPr>
                <w:rFonts w:ascii="宋体" w:hAnsi="宋体" w:eastAsia="宋体"/>
                <w:sz w:val="16"/>
              </w:rPr>
              <w:t>75.16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50887E">
            <w:pPr>
              <w:jc w:val="center"/>
            </w:pPr>
            <w:r>
              <w:rPr>
                <w:rFonts w:ascii="宋体" w:hAnsi="宋体" w:eastAsia="宋体"/>
                <w:sz w:val="16"/>
              </w:rPr>
              <w:t>7.52</w:t>
            </w:r>
          </w:p>
        </w:tc>
      </w:tr>
      <w:tr w14:paraId="173EBCA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E78621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CB5748">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20F4D2">
            <w:pPr>
              <w:jc w:val="center"/>
            </w:pPr>
            <w:r>
              <w:rPr>
                <w:rFonts w:ascii="宋体" w:hAnsi="宋体" w:eastAsia="宋体"/>
                <w:sz w:val="16"/>
              </w:rPr>
              <w:t>案件审理结案率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5318E">
            <w:pPr>
              <w:jc w:val="center"/>
            </w:pPr>
            <w:r>
              <w:rPr>
                <w:rFonts w:ascii="宋体" w:hAnsi="宋体" w:eastAsia="宋体"/>
                <w:sz w:val="16"/>
              </w:rPr>
              <w:t>&gt;=96.63%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842E1D">
            <w:pPr>
              <w:jc w:val="center"/>
            </w:pPr>
            <w:r>
              <w:rPr>
                <w:rFonts w:ascii="宋体" w:hAnsi="宋体" w:eastAsia="宋体"/>
                <w:sz w:val="16"/>
              </w:rPr>
              <w:t>《叶城县人民法院2023年工作报告</w:t>
            </w:r>
            <w:r>
              <w:rPr>
                <w:rFonts w:hint="eastAsia" w:ascii="宋体" w:hAnsi="宋体"/>
                <w:sz w:val="16"/>
                <w:lang w:eastAsia="zh-CN"/>
              </w:rPr>
              <w:t>》《</w:t>
            </w:r>
            <w:r>
              <w:rPr>
                <w:rFonts w:ascii="宋体" w:hAnsi="宋体" w:eastAsia="宋体"/>
                <w:sz w:val="16"/>
              </w:rPr>
              <w:t>2024年叶城县人民法院工作计划》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9A604F">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471C246">
            <w:pPr>
              <w:jc w:val="center"/>
            </w:pPr>
            <w:r>
              <w:rPr>
                <w:rFonts w:ascii="宋体" w:hAnsi="宋体" w:eastAsia="宋体"/>
                <w:sz w:val="16"/>
              </w:rPr>
              <w:t>93.53%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423451B">
            <w:pPr>
              <w:jc w:val="center"/>
            </w:pPr>
            <w:r>
              <w:rPr>
                <w:rFonts w:ascii="宋体" w:hAnsi="宋体" w:eastAsia="宋体"/>
                <w:sz w:val="16"/>
              </w:rPr>
              <w:t>96.79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FE60102">
            <w:pPr>
              <w:jc w:val="center"/>
            </w:pPr>
            <w:r>
              <w:rPr>
                <w:rFonts w:ascii="宋体" w:hAnsi="宋体" w:eastAsia="宋体"/>
                <w:sz w:val="16"/>
              </w:rPr>
              <w:t>19.36</w:t>
            </w:r>
          </w:p>
        </w:tc>
      </w:tr>
    </w:tbl>
    <w:p w14:paraId="29324AA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FF23E20">
        <w:tblPrEx>
          <w:tblCellMar>
            <w:top w:w="0" w:type="dxa"/>
            <w:left w:w="108" w:type="dxa"/>
            <w:bottom w:w="0" w:type="dxa"/>
            <w:right w:w="108" w:type="dxa"/>
          </w:tblCellMar>
        </w:tblPrEx>
        <w:tc>
          <w:tcPr>
            <w:tcW w:w="8848" w:type="dxa"/>
            <w:gridSpan w:val="14"/>
            <w:vAlign w:val="center"/>
          </w:tcPr>
          <w:p w14:paraId="586B43C6">
            <w:pPr>
              <w:jc w:val="center"/>
            </w:pPr>
            <w:r>
              <w:rPr>
                <w:rFonts w:ascii="宋体" w:hAnsi="宋体" w:eastAsia="宋体"/>
                <w:sz w:val="24"/>
              </w:rPr>
              <w:t>项目支出绩效自评表</w:t>
            </w:r>
          </w:p>
        </w:tc>
      </w:tr>
      <w:tr w14:paraId="53512143">
        <w:tblPrEx>
          <w:tblCellMar>
            <w:top w:w="0" w:type="dxa"/>
            <w:left w:w="108" w:type="dxa"/>
            <w:bottom w:w="0" w:type="dxa"/>
            <w:right w:w="108" w:type="dxa"/>
          </w:tblCellMar>
        </w:tblPrEx>
        <w:tc>
          <w:tcPr>
            <w:tcW w:w="8848" w:type="dxa"/>
            <w:gridSpan w:val="14"/>
            <w:vAlign w:val="center"/>
          </w:tcPr>
          <w:p w14:paraId="74FC6D15">
            <w:pPr>
              <w:jc w:val="center"/>
            </w:pPr>
            <w:r>
              <w:rPr>
                <w:rFonts w:ascii="宋体" w:hAnsi="宋体" w:eastAsia="宋体"/>
                <w:sz w:val="24"/>
              </w:rPr>
              <w:t>(2024年度)</w:t>
            </w:r>
          </w:p>
        </w:tc>
      </w:tr>
      <w:tr w14:paraId="578359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6944F">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9979B9E">
            <w:pPr>
              <w:jc w:val="center"/>
            </w:pPr>
            <w:r>
              <w:rPr>
                <w:rFonts w:ascii="宋体" w:hAnsi="宋体" w:eastAsia="宋体"/>
                <w:sz w:val="16"/>
              </w:rPr>
              <w:t>综合业务保障项目</w:t>
            </w:r>
          </w:p>
        </w:tc>
      </w:tr>
      <w:tr w14:paraId="7EDD26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985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33CCEFD">
            <w:pPr>
              <w:jc w:val="center"/>
            </w:pPr>
            <w:r>
              <w:rPr>
                <w:rFonts w:ascii="宋体" w:hAnsi="宋体" w:eastAsia="宋体"/>
                <w:sz w:val="16"/>
              </w:rPr>
              <w:t>叶城县人民法院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B7855">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EC950F">
            <w:pPr>
              <w:jc w:val="center"/>
            </w:pPr>
            <w:r>
              <w:rPr>
                <w:rFonts w:ascii="宋体" w:hAnsi="宋体" w:eastAsia="宋体"/>
                <w:sz w:val="16"/>
              </w:rPr>
              <w:t>叶城县人民法院</w:t>
            </w:r>
          </w:p>
        </w:tc>
      </w:tr>
      <w:tr w14:paraId="230E4A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F4BCD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BE45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07191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B9E2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C547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39C156">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14F72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ADDE1">
            <w:pPr>
              <w:jc w:val="center"/>
            </w:pPr>
            <w:r>
              <w:rPr>
                <w:rFonts w:ascii="宋体" w:hAnsi="宋体" w:eastAsia="宋体"/>
                <w:sz w:val="16"/>
              </w:rPr>
              <w:t>得分</w:t>
            </w:r>
          </w:p>
        </w:tc>
      </w:tr>
      <w:tr w14:paraId="2589FE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260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59BEA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83038">
            <w:pPr>
              <w:jc w:val="center"/>
            </w:pPr>
            <w:r>
              <w:rPr>
                <w:rFonts w:ascii="宋体" w:hAnsi="宋体" w:eastAsia="宋体"/>
                <w:sz w:val="16"/>
              </w:rPr>
              <w:t>70.97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2F276">
            <w:pPr>
              <w:jc w:val="center"/>
            </w:pPr>
            <w:r>
              <w:rPr>
                <w:rFonts w:ascii="宋体" w:hAnsi="宋体" w:eastAsia="宋体"/>
                <w:sz w:val="16"/>
              </w:rPr>
              <w:t>70.97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926BEC">
            <w:pPr>
              <w:jc w:val="center"/>
            </w:pPr>
            <w:r>
              <w:rPr>
                <w:rFonts w:ascii="宋体" w:hAnsi="宋体" w:eastAsia="宋体"/>
                <w:sz w:val="16"/>
              </w:rPr>
              <w:t>70.97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A6CD3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23B5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225C9">
            <w:pPr>
              <w:jc w:val="center"/>
            </w:pPr>
            <w:r>
              <w:rPr>
                <w:rFonts w:ascii="宋体" w:hAnsi="宋体" w:eastAsia="宋体"/>
                <w:sz w:val="16"/>
              </w:rPr>
              <w:t>10.00分</w:t>
            </w:r>
          </w:p>
        </w:tc>
      </w:tr>
      <w:tr w14:paraId="7F85F3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F1604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9F2E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E1265">
            <w:pPr>
              <w:jc w:val="center"/>
            </w:pPr>
            <w:r>
              <w:rPr>
                <w:rFonts w:ascii="宋体" w:hAnsi="宋体" w:eastAsia="宋体"/>
                <w:sz w:val="16"/>
              </w:rPr>
              <w:t>70.97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54673F">
            <w:pPr>
              <w:jc w:val="center"/>
            </w:pPr>
            <w:r>
              <w:rPr>
                <w:rFonts w:ascii="宋体" w:hAnsi="宋体" w:eastAsia="宋体"/>
                <w:sz w:val="16"/>
              </w:rPr>
              <w:t>70.97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FB4FD">
            <w:pPr>
              <w:jc w:val="center"/>
            </w:pPr>
            <w:r>
              <w:rPr>
                <w:rFonts w:ascii="宋体" w:hAnsi="宋体" w:eastAsia="宋体"/>
                <w:sz w:val="16"/>
              </w:rPr>
              <w:t>70.97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87AD2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732C7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E147C2">
            <w:pPr>
              <w:jc w:val="center"/>
            </w:pPr>
            <w:r>
              <w:rPr>
                <w:rFonts w:ascii="宋体" w:hAnsi="宋体" w:eastAsia="宋体"/>
                <w:sz w:val="16"/>
              </w:rPr>
              <w:t>—</w:t>
            </w:r>
          </w:p>
        </w:tc>
      </w:tr>
      <w:tr w14:paraId="21B59F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7BDA6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A9292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12287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7B2B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804F8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51D6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6470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E5416">
            <w:pPr>
              <w:jc w:val="center"/>
            </w:pPr>
            <w:r>
              <w:rPr>
                <w:rFonts w:ascii="宋体" w:hAnsi="宋体" w:eastAsia="宋体"/>
                <w:sz w:val="16"/>
              </w:rPr>
              <w:t>—</w:t>
            </w:r>
          </w:p>
        </w:tc>
      </w:tr>
      <w:tr w14:paraId="032B0C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1E0A7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059184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5E3E529">
            <w:pPr>
              <w:jc w:val="center"/>
            </w:pPr>
            <w:r>
              <w:rPr>
                <w:rFonts w:ascii="宋体" w:hAnsi="宋体" w:eastAsia="宋体"/>
                <w:sz w:val="16"/>
              </w:rPr>
              <w:t>实际完成情况</w:t>
            </w:r>
          </w:p>
        </w:tc>
      </w:tr>
      <w:tr w14:paraId="5E317F0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6CC76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DE06D4">
            <w:pPr>
              <w:jc w:val="both"/>
            </w:pPr>
            <w:r>
              <w:rPr>
                <w:rFonts w:ascii="宋体" w:hAnsi="宋体" w:eastAsia="宋体"/>
                <w:sz w:val="16"/>
              </w:rPr>
              <w:t>该项目主要用于办公费、维护费、被装购置费、其他商品和服务支出等，该项目的实施提升我院办案质量及经费使用效益，全面推进各项审判执行工作，努力打造人民满意的司法机关。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B906E0">
            <w:pPr>
              <w:jc w:val="both"/>
            </w:pPr>
            <w:r>
              <w:rPr>
                <w:rFonts w:ascii="宋体" w:hAnsi="宋体" w:eastAsia="宋体"/>
                <w:sz w:val="16"/>
              </w:rPr>
              <w:t>该项目总资金70.97万元，执行70.97，执行率100%，执行完毕，主要用于办公费、维护费、被装购置费、其他商品和服务支出等，项目实施后，改善了我院办公条件，有效推进院内各项审判业务工作开展，提高了工作人员工作积极性。</w:t>
            </w:r>
          </w:p>
        </w:tc>
      </w:tr>
      <w:tr w14:paraId="145E16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69A457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AC0C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C0CDF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4A7D0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CEF3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794E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880E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7D78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9772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50EA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BA8496">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B584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BCA04B">
            <w:pPr>
              <w:jc w:val="center"/>
            </w:pPr>
            <w:r>
              <w:rPr>
                <w:rFonts w:ascii="宋体" w:hAnsi="宋体" w:eastAsia="宋体"/>
                <w:sz w:val="16"/>
              </w:rPr>
              <w:t>偏差原因分析及改进措施</w:t>
            </w:r>
          </w:p>
        </w:tc>
      </w:tr>
      <w:tr w14:paraId="0E4A9B2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001A17">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25AC61">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7AA8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288DB">
            <w:pPr>
              <w:jc w:val="center"/>
            </w:pPr>
            <w:r>
              <w:rPr>
                <w:rFonts w:ascii="宋体" w:hAnsi="宋体" w:eastAsia="宋体"/>
                <w:sz w:val="16"/>
              </w:rPr>
              <w:t>保障人民法庭数量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C09CE">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4E65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E72981">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8C221">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7353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6F0A5">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4F33D">
            <w:pPr>
              <w:jc w:val="center"/>
            </w:pPr>
            <w:r>
              <w:rPr>
                <w:rFonts w:ascii="宋体" w:hAnsi="宋体" w:eastAsia="宋体"/>
                <w:sz w:val="16"/>
              </w:rPr>
              <w:t>=5个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BB31C">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D1EC55">
            <w:pPr>
              <w:jc w:val="center"/>
            </w:pPr>
          </w:p>
        </w:tc>
      </w:tr>
      <w:tr w14:paraId="3717D2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E16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FFC11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A421A">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F341F">
            <w:pPr>
              <w:jc w:val="center"/>
            </w:pPr>
            <w:r>
              <w:rPr>
                <w:rFonts w:ascii="宋体" w:hAnsi="宋体" w:eastAsia="宋体"/>
                <w:sz w:val="16"/>
              </w:rPr>
              <w:t>财务支出程序合规率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ECA8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6D1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0850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6BB7B">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CC6E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C61E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3366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77E7B2">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28C409">
            <w:pPr>
              <w:jc w:val="center"/>
            </w:pPr>
          </w:p>
        </w:tc>
      </w:tr>
      <w:tr w14:paraId="44DEE5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4747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35EC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569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3AA58">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65E29">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8188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BB16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0606F8">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DADB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EF5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EC183">
            <w:pPr>
              <w:jc w:val="center"/>
            </w:pPr>
            <w:r>
              <w:rPr>
                <w:rFonts w:ascii="宋体" w:hAnsi="宋体" w:eastAsia="宋体"/>
                <w:sz w:val="16"/>
              </w:rPr>
              <w:t>=2024年11月27日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0C356">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B3E551">
            <w:pPr>
              <w:jc w:val="center"/>
            </w:pPr>
          </w:p>
        </w:tc>
      </w:tr>
      <w:tr w14:paraId="3024A8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631AC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C3BF8A">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A684C0">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CF88F">
            <w:pPr>
              <w:jc w:val="center"/>
            </w:pPr>
            <w:r>
              <w:rPr>
                <w:rFonts w:ascii="宋体" w:hAnsi="宋体" w:eastAsia="宋体"/>
                <w:sz w:val="16"/>
              </w:rPr>
              <w:t>其他商品和服务支出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37AA6">
            <w:pPr>
              <w:jc w:val="center"/>
            </w:pPr>
            <w:r>
              <w:rPr>
                <w:rFonts w:ascii="宋体" w:hAnsi="宋体" w:eastAsia="宋体"/>
                <w:sz w:val="16"/>
              </w:rPr>
              <w:t>&lt;=24.94万元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DB1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B4BE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E02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74C0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F367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B0651">
            <w:pPr>
              <w:jc w:val="center"/>
            </w:pPr>
            <w:r>
              <w:rPr>
                <w:rFonts w:ascii="宋体" w:hAnsi="宋体" w:eastAsia="宋体"/>
                <w:sz w:val="16"/>
              </w:rPr>
              <w:t>=24.94万元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DF7C3">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BA8BC">
            <w:pPr>
              <w:jc w:val="center"/>
            </w:pPr>
          </w:p>
        </w:tc>
      </w:tr>
      <w:tr w14:paraId="2E1FA9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61255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CCDB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8F3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0B9F9">
            <w:pPr>
              <w:jc w:val="center"/>
            </w:pPr>
            <w:r>
              <w:rPr>
                <w:rFonts w:ascii="宋体" w:hAnsi="宋体" w:eastAsia="宋体"/>
                <w:sz w:val="16"/>
              </w:rPr>
              <w:t>物业管理费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29A1B">
            <w:pPr>
              <w:jc w:val="center"/>
            </w:pPr>
            <w:r>
              <w:rPr>
                <w:rFonts w:ascii="宋体" w:hAnsi="宋体" w:eastAsia="宋体"/>
                <w:sz w:val="16"/>
              </w:rPr>
              <w:t>&lt;=35万元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AA98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0D45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943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6B842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1F98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98D8F">
            <w:pPr>
              <w:jc w:val="center"/>
            </w:pPr>
            <w:r>
              <w:rPr>
                <w:rFonts w:ascii="宋体" w:hAnsi="宋体" w:eastAsia="宋体"/>
                <w:sz w:val="16"/>
              </w:rPr>
              <w:t>=35万元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50B1A">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26C98F">
            <w:pPr>
              <w:jc w:val="center"/>
            </w:pPr>
          </w:p>
        </w:tc>
      </w:tr>
      <w:tr w14:paraId="516A8B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6418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74754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A05C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1451F">
            <w:pPr>
              <w:jc w:val="center"/>
            </w:pPr>
            <w:r>
              <w:rPr>
                <w:rFonts w:ascii="宋体" w:hAnsi="宋体" w:eastAsia="宋体"/>
                <w:sz w:val="16"/>
              </w:rPr>
              <w:t>维修(护)费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ADB00">
            <w:pPr>
              <w:jc w:val="center"/>
            </w:pPr>
            <w:r>
              <w:rPr>
                <w:rFonts w:ascii="宋体" w:hAnsi="宋体" w:eastAsia="宋体"/>
                <w:sz w:val="16"/>
              </w:rPr>
              <w:t>&lt;=6.82万元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534F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CDB1E">
            <w:pPr>
              <w:jc w:val="center"/>
            </w:pPr>
            <w:r>
              <w:rPr>
                <w:rFonts w:ascii="宋体" w:hAnsi="宋体" w:eastAsia="宋体"/>
                <w:sz w:val="16"/>
              </w:rPr>
              <w:t>6.82万元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EE31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F431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666A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CE73E">
            <w:pPr>
              <w:jc w:val="center"/>
            </w:pPr>
            <w:r>
              <w:rPr>
                <w:rFonts w:ascii="宋体" w:hAnsi="宋体" w:eastAsia="宋体"/>
                <w:sz w:val="16"/>
              </w:rPr>
              <w:t>=6.82万元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5332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F55E4">
            <w:pPr>
              <w:jc w:val="center"/>
            </w:pPr>
          </w:p>
        </w:tc>
      </w:tr>
      <w:tr w14:paraId="24D690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D1CC2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B824B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FD8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5F6627">
            <w:pPr>
              <w:jc w:val="center"/>
            </w:pPr>
            <w:r>
              <w:rPr>
                <w:rFonts w:ascii="宋体" w:hAnsi="宋体" w:eastAsia="宋体"/>
                <w:sz w:val="16"/>
              </w:rPr>
              <w:t>被装购置费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A7EFB">
            <w:pPr>
              <w:jc w:val="center"/>
            </w:pPr>
            <w:r>
              <w:rPr>
                <w:rFonts w:ascii="宋体" w:hAnsi="宋体" w:eastAsia="宋体"/>
                <w:sz w:val="16"/>
              </w:rPr>
              <w:t>&lt;=4.21万元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816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C01D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BA3B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AEADC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F5E8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A24B47">
            <w:pPr>
              <w:jc w:val="center"/>
            </w:pPr>
            <w:r>
              <w:rPr>
                <w:rFonts w:ascii="宋体" w:hAnsi="宋体" w:eastAsia="宋体"/>
                <w:sz w:val="16"/>
              </w:rPr>
              <w:t>=4.21万元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0EA1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890906">
            <w:pPr>
              <w:jc w:val="center"/>
            </w:pPr>
          </w:p>
        </w:tc>
      </w:tr>
      <w:tr w14:paraId="351DED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A4DF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29ABC">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4B5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DD1D3">
            <w:pPr>
              <w:jc w:val="center"/>
            </w:pPr>
            <w:r>
              <w:rPr>
                <w:rFonts w:ascii="宋体" w:hAnsi="宋体" w:eastAsia="宋体"/>
                <w:sz w:val="16"/>
              </w:rPr>
              <w:t>保障司法工作需要情况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AD20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25BBA">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14253">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F1C8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CC15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8DD6E">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2C139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F0C2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B8E3AF">
            <w:pPr>
              <w:jc w:val="center"/>
            </w:pPr>
          </w:p>
        </w:tc>
      </w:tr>
      <w:tr w14:paraId="03EB09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9079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45AA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3C7E1">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457F0">
            <w:pPr>
              <w:jc w:val="center"/>
            </w:pPr>
            <w:r>
              <w:rPr>
                <w:rFonts w:ascii="宋体" w:hAnsi="宋体" w:eastAsia="宋体"/>
                <w:sz w:val="16"/>
              </w:rPr>
              <w:t>在职干警满意度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8055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58F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F37C4">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95FE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D9D09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605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CA05A">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9804B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2DC815">
            <w:pPr>
              <w:jc w:val="center"/>
            </w:pPr>
          </w:p>
        </w:tc>
      </w:tr>
      <w:tr w14:paraId="59218B3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966D4A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438BC">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4F2CC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07432">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DD849EF"/>
        </w:tc>
      </w:tr>
    </w:tbl>
    <w:p w14:paraId="34F7B972">
      <w:r>
        <w:br w:type="page"/>
      </w:r>
    </w:p>
    <w:p w14:paraId="393541C9">
      <w:pPr>
        <w:spacing w:line="640" w:lineRule="exact"/>
        <w:ind w:firstLine="640"/>
        <w:jc w:val="both"/>
        <w:outlineLvl w:val="2"/>
      </w:pPr>
      <w:r>
        <w:rPr>
          <w:rFonts w:ascii="黑体" w:hAnsi="黑体" w:eastAsia="黑体"/>
          <w:sz w:val="32"/>
        </w:rPr>
        <w:t>十二、其他需说明的事项</w:t>
      </w:r>
    </w:p>
    <w:p w14:paraId="560A9BFC">
      <w:pPr>
        <w:spacing w:line="580" w:lineRule="exact"/>
        <w:ind w:firstLine="640"/>
        <w:jc w:val="both"/>
      </w:pPr>
      <w:r>
        <w:rPr>
          <w:rFonts w:ascii="仿宋_GB2312" w:hAnsi="仿宋_GB2312" w:eastAsia="仿宋_GB2312"/>
          <w:b w:val="0"/>
          <w:sz w:val="32"/>
        </w:rPr>
        <w:t>本年本部门</w:t>
      </w:r>
      <w:r>
        <w:rPr>
          <w:rFonts w:hint="eastAsia" w:ascii="仿宋_GB2312" w:hAnsi="仿宋_GB2312" w:eastAsia="仿宋_GB2312"/>
          <w:b w:val="0"/>
          <w:sz w:val="32"/>
          <w:lang w:val="en-US" w:eastAsia="zh-CN"/>
        </w:rPr>
        <w:t>涉密</w:t>
      </w:r>
      <w:r>
        <w:rPr>
          <w:rFonts w:ascii="仿宋_GB2312" w:hAnsi="仿宋_GB2312" w:eastAsia="仿宋_GB2312"/>
          <w:b w:val="0"/>
          <w:sz w:val="32"/>
        </w:rPr>
        <w:t>项目5个，全年预算数751.35万元，全年执行数751.35万元。</w:t>
      </w:r>
      <w:bookmarkStart w:id="0" w:name="_GoBack"/>
      <w:bookmarkEnd w:id="0"/>
    </w:p>
    <w:p w14:paraId="3CF4CB07">
      <w:r>
        <w:br w:type="page"/>
      </w:r>
    </w:p>
    <w:p w14:paraId="5FC16A8F">
      <w:pPr>
        <w:spacing w:line="240" w:lineRule="auto"/>
        <w:jc w:val="center"/>
        <w:outlineLvl w:val="1"/>
      </w:pPr>
      <w:r>
        <w:rPr>
          <w:rFonts w:ascii="黑体" w:hAnsi="黑体" w:eastAsia="黑体"/>
          <w:sz w:val="32"/>
        </w:rPr>
        <w:t>第三部分 专业名词解释</w:t>
      </w:r>
    </w:p>
    <w:p w14:paraId="3ECA4003">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3694489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553B29D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500E0B6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4A80CA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D54937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75FF83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DC76CD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CD94C8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5C7D7E8D">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A3575C5">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27C0007">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AE3AAA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A2A7AC9">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925EEEA">
      <w:r>
        <w:br w:type="page"/>
      </w:r>
    </w:p>
    <w:p w14:paraId="6D0710EB">
      <w:pPr>
        <w:spacing w:line="240" w:lineRule="auto"/>
        <w:jc w:val="center"/>
        <w:outlineLvl w:val="1"/>
      </w:pPr>
      <w:r>
        <w:rPr>
          <w:rFonts w:ascii="黑体" w:hAnsi="黑体" w:eastAsia="黑体"/>
          <w:sz w:val="32"/>
        </w:rPr>
        <w:t>第四部分 部门决算报表（见附表）</w:t>
      </w:r>
    </w:p>
    <w:p w14:paraId="25284B06">
      <w:pPr>
        <w:spacing w:line="240" w:lineRule="auto"/>
        <w:ind w:firstLine="640"/>
        <w:jc w:val="both"/>
      </w:pPr>
      <w:r>
        <w:rPr>
          <w:rFonts w:ascii="仿宋_GB2312" w:hAnsi="仿宋_GB2312" w:eastAsia="仿宋_GB2312"/>
          <w:b w:val="0"/>
          <w:sz w:val="32"/>
        </w:rPr>
        <w:t>一、《收入支出决算总表》</w:t>
      </w:r>
    </w:p>
    <w:p w14:paraId="4CC7AE07">
      <w:pPr>
        <w:spacing w:line="240" w:lineRule="auto"/>
        <w:ind w:firstLine="640"/>
        <w:jc w:val="both"/>
      </w:pPr>
      <w:r>
        <w:rPr>
          <w:rFonts w:ascii="仿宋_GB2312" w:hAnsi="仿宋_GB2312" w:eastAsia="仿宋_GB2312"/>
          <w:b w:val="0"/>
          <w:sz w:val="32"/>
        </w:rPr>
        <w:t>二、《收入决算表》</w:t>
      </w:r>
    </w:p>
    <w:p w14:paraId="77DDACA1">
      <w:pPr>
        <w:spacing w:line="240" w:lineRule="auto"/>
        <w:ind w:firstLine="640"/>
        <w:jc w:val="both"/>
      </w:pPr>
      <w:r>
        <w:rPr>
          <w:rFonts w:ascii="仿宋_GB2312" w:hAnsi="仿宋_GB2312" w:eastAsia="仿宋_GB2312"/>
          <w:b w:val="0"/>
          <w:sz w:val="32"/>
        </w:rPr>
        <w:t>三、《支出决算表》</w:t>
      </w:r>
    </w:p>
    <w:p w14:paraId="2E2FAB91">
      <w:pPr>
        <w:spacing w:line="240" w:lineRule="auto"/>
        <w:ind w:firstLine="640"/>
        <w:jc w:val="both"/>
      </w:pPr>
      <w:r>
        <w:rPr>
          <w:rFonts w:ascii="仿宋_GB2312" w:hAnsi="仿宋_GB2312" w:eastAsia="仿宋_GB2312"/>
          <w:b w:val="0"/>
          <w:sz w:val="32"/>
        </w:rPr>
        <w:t>四、《财政拨款收入支出决算总表》</w:t>
      </w:r>
    </w:p>
    <w:p w14:paraId="4F7BC7C4">
      <w:pPr>
        <w:spacing w:line="240" w:lineRule="auto"/>
        <w:ind w:firstLine="640"/>
        <w:jc w:val="both"/>
      </w:pPr>
      <w:r>
        <w:rPr>
          <w:rFonts w:ascii="仿宋_GB2312" w:hAnsi="仿宋_GB2312" w:eastAsia="仿宋_GB2312"/>
          <w:b w:val="0"/>
          <w:sz w:val="32"/>
        </w:rPr>
        <w:t>五、《一般公共预算财政拨款支出决算表》</w:t>
      </w:r>
    </w:p>
    <w:p w14:paraId="618B3623">
      <w:pPr>
        <w:spacing w:line="240" w:lineRule="auto"/>
        <w:ind w:firstLine="640"/>
        <w:jc w:val="both"/>
      </w:pPr>
      <w:r>
        <w:rPr>
          <w:rFonts w:ascii="仿宋_GB2312" w:hAnsi="仿宋_GB2312" w:eastAsia="仿宋_GB2312"/>
          <w:b w:val="0"/>
          <w:sz w:val="32"/>
        </w:rPr>
        <w:t>六、《一般公共预算财政拨款基本支出决算表》</w:t>
      </w:r>
    </w:p>
    <w:p w14:paraId="06736A6A">
      <w:pPr>
        <w:spacing w:line="240" w:lineRule="auto"/>
        <w:ind w:firstLine="640"/>
        <w:jc w:val="both"/>
      </w:pPr>
      <w:r>
        <w:rPr>
          <w:rFonts w:ascii="仿宋_GB2312" w:hAnsi="仿宋_GB2312" w:eastAsia="仿宋_GB2312"/>
          <w:b w:val="0"/>
          <w:sz w:val="32"/>
        </w:rPr>
        <w:t>七、《政府性基金预算财政拨款收入支出决算表》</w:t>
      </w:r>
    </w:p>
    <w:p w14:paraId="0D2160D3">
      <w:pPr>
        <w:spacing w:line="240" w:lineRule="auto"/>
        <w:ind w:firstLine="640"/>
        <w:jc w:val="both"/>
      </w:pPr>
      <w:r>
        <w:rPr>
          <w:rFonts w:ascii="仿宋_GB2312" w:hAnsi="仿宋_GB2312" w:eastAsia="仿宋_GB2312"/>
          <w:b w:val="0"/>
          <w:sz w:val="32"/>
        </w:rPr>
        <w:t>八、《国有资本经营预算财政拨款收入支出决算表》</w:t>
      </w:r>
    </w:p>
    <w:p w14:paraId="5A91EE54">
      <w:pPr>
        <w:spacing w:line="240" w:lineRule="auto"/>
        <w:ind w:firstLine="640"/>
        <w:jc w:val="both"/>
      </w:pPr>
      <w:r>
        <w:rPr>
          <w:rFonts w:ascii="仿宋_GB2312" w:hAnsi="仿宋_GB2312" w:eastAsia="仿宋_GB2312"/>
          <w:b w:val="0"/>
          <w:sz w:val="32"/>
        </w:rPr>
        <w:t>九、《财政拨款“三公”经费支出决算表》</w:t>
      </w:r>
    </w:p>
    <w:p w14:paraId="091EB4DA">
      <w:pPr>
        <w:spacing w:line="240" w:lineRule="auto"/>
        <w:ind w:firstLine="640"/>
        <w:jc w:val="both"/>
      </w:pPr>
    </w:p>
    <w:p w14:paraId="4A83DE47">
      <w:pPr>
        <w:spacing w:line="240" w:lineRule="auto"/>
        <w:ind w:firstLine="640"/>
        <w:jc w:val="both"/>
      </w:pPr>
    </w:p>
    <w:p w14:paraId="6229A4CF">
      <w:pPr>
        <w:spacing w:line="240" w:lineRule="auto"/>
        <w:ind w:firstLine="640"/>
        <w:jc w:val="both"/>
      </w:pPr>
    </w:p>
    <w:p w14:paraId="54CE9CBA">
      <w:pPr>
        <w:spacing w:line="240" w:lineRule="auto"/>
        <w:ind w:firstLine="640"/>
        <w:jc w:val="both"/>
      </w:pPr>
    </w:p>
    <w:p w14:paraId="39F9CE70">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4A98FF3-4CBD-41BB-89D2-1C682291E2D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2CB15817-D2FC-4128-9238-503C8768320C}"/>
  </w:font>
  <w:font w:name="方正小标宋_GBK">
    <w:panose1 w:val="02000000000000000000"/>
    <w:charset w:val="86"/>
    <w:family w:val="script"/>
    <w:pitch w:val="default"/>
    <w:sig w:usb0="A00002BF" w:usb1="38CF7CFA" w:usb2="00082016" w:usb3="00000000" w:csb0="00040001" w:csb1="00000000"/>
    <w:embedRegular r:id="rId3" w:fontKey="{6C323E34-636C-48A2-9235-3CF4BE3A6DA0}"/>
  </w:font>
  <w:font w:name="楷体_GB2312">
    <w:panose1 w:val="02010609030101010101"/>
    <w:charset w:val="86"/>
    <w:family w:val="auto"/>
    <w:pitch w:val="default"/>
    <w:sig w:usb0="00000001" w:usb1="080E0000" w:usb2="00000000" w:usb3="00000000" w:csb0="00040000" w:csb1="00000000"/>
    <w:embedRegular r:id="rId4" w:fontKey="{BE0D27A6-9799-4EF6-B958-CAB9B2F79897}"/>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kzYTY1ODhmZjRiY2MxNDhlNzhkN2RkNzk0ZmMyNjI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765425"/>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B33302D"/>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C3A1F9A"/>
    <w:rsid w:val="4F3F074E"/>
    <w:rsid w:val="50DB5F45"/>
    <w:rsid w:val="52C61160"/>
    <w:rsid w:val="52F92565"/>
    <w:rsid w:val="543D17CB"/>
    <w:rsid w:val="55DA564E"/>
    <w:rsid w:val="56E07045"/>
    <w:rsid w:val="583059FA"/>
    <w:rsid w:val="587E6212"/>
    <w:rsid w:val="5AFC6609"/>
    <w:rsid w:val="5FA17648"/>
    <w:rsid w:val="5FD320BD"/>
    <w:rsid w:val="60DE4D57"/>
    <w:rsid w:val="613409CB"/>
    <w:rsid w:val="61A46A97"/>
    <w:rsid w:val="62DD7D21"/>
    <w:rsid w:val="63A45CDF"/>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007FA1"/>
    <w:rsid w:val="77ED6F44"/>
    <w:rsid w:val="795A0A34"/>
    <w:rsid w:val="7A0D3BC7"/>
    <w:rsid w:val="7A3A3CDB"/>
    <w:rsid w:val="7E682F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6096</Words>
  <Characters>7104</Characters>
  <Lines>0</Lines>
  <Paragraphs>0</Paragraphs>
  <TotalTime>4</TotalTime>
  <ScaleCrop>false</ScaleCrop>
  <LinksUpToDate>false</LinksUpToDate>
  <CharactersWithSpaces>7112</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周丽君</cp:lastModifiedBy>
  <cp:lastPrinted>2024-07-22T11:58:00Z</cp:lastPrinted>
  <dcterms:modified xsi:type="dcterms:W3CDTF">2025-09-29T02:28:58Z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eyJoZGlkIjoiMjEwMjVmNmU3OTQwZDBjNjI0ZTM3MTBmNDI0OGIzYzIiLCJ1c2VySWQiOiIyMDM3MTI1NTkifQ==</vt:lpwstr>
  </property>
</Properties>
</file>