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91E06F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喀什国际博览中心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32654C3">
      <w:r>
        <w:br w:type="page"/>
      </w:r>
    </w:p>
    <w:p w14:paraId="51F8C00B">
      <w:pPr>
        <w:spacing w:line="640" w:lineRule="exact"/>
        <w:jc w:val="center"/>
        <w:outlineLvl w:val="1"/>
      </w:pPr>
      <w:r>
        <w:rPr>
          <w:rFonts w:ascii="黑体" w:hAnsi="黑体" w:eastAsia="黑体"/>
          <w:sz w:val="32"/>
        </w:rPr>
        <w:t>第一部分 部门概况</w:t>
      </w:r>
    </w:p>
    <w:p w14:paraId="33F88279">
      <w:pPr>
        <w:spacing w:line="640" w:lineRule="exact"/>
        <w:ind w:firstLine="640"/>
        <w:jc w:val="both"/>
        <w:outlineLvl w:val="2"/>
      </w:pPr>
      <w:r>
        <w:rPr>
          <w:rFonts w:ascii="黑体" w:hAnsi="黑体" w:eastAsia="黑体"/>
          <w:sz w:val="32"/>
        </w:rPr>
        <w:t>一、主要职能</w:t>
      </w:r>
    </w:p>
    <w:p w14:paraId="6A2F5209">
      <w:pPr>
        <w:spacing w:line="580" w:lineRule="exact"/>
        <w:ind w:firstLine="640"/>
        <w:jc w:val="both"/>
      </w:pPr>
      <w:r>
        <w:rPr>
          <w:rFonts w:ascii="仿宋_GB2312" w:hAnsi="仿宋_GB2312" w:eastAsia="仿宋_GB2312"/>
          <w:sz w:val="32"/>
        </w:rPr>
        <w:t>负责地区会展业促进与发展工作，对地区各类展会进行总体策划、统筹协调、组织实施以及形象设计、宣传推介、展区规划等相关工作，承办协办其他各类国际、国内博览会、展览会、展销会、洽谈会和各种论坛、公益类展览、展会等活动，并做好相关工作，完成地委和行署交办的其他任务。</w:t>
      </w:r>
    </w:p>
    <w:p w14:paraId="2B9BAD31">
      <w:pPr>
        <w:spacing w:line="640" w:lineRule="exact"/>
        <w:ind w:firstLine="640"/>
        <w:jc w:val="both"/>
        <w:outlineLvl w:val="2"/>
      </w:pPr>
      <w:r>
        <w:rPr>
          <w:rFonts w:ascii="黑体" w:hAnsi="黑体" w:eastAsia="黑体"/>
          <w:sz w:val="32"/>
        </w:rPr>
        <w:t>二、机构设置及人员情况</w:t>
      </w:r>
    </w:p>
    <w:p w14:paraId="39B1695E">
      <w:pPr>
        <w:spacing w:line="580" w:lineRule="exact"/>
        <w:ind w:firstLine="640"/>
        <w:jc w:val="both"/>
      </w:pPr>
      <w:r>
        <w:rPr>
          <w:rFonts w:ascii="仿宋_GB2312" w:hAnsi="仿宋_GB2312" w:eastAsia="仿宋_GB2312"/>
          <w:sz w:val="32"/>
        </w:rPr>
        <w:t>喀什国际博览中心2024年度，实有人数11人，其中：在职人员10人，增加3人；离休人员0人，增加0人；退休人员1人,增加0人。</w:t>
      </w:r>
    </w:p>
    <w:p w14:paraId="7167CC3D">
      <w:pPr>
        <w:spacing w:line="580" w:lineRule="exact"/>
        <w:ind w:firstLine="640"/>
        <w:jc w:val="both"/>
      </w:pPr>
      <w:r>
        <w:rPr>
          <w:rFonts w:ascii="仿宋_GB2312" w:hAnsi="仿宋_GB2312" w:eastAsia="仿宋_GB2312"/>
          <w:sz w:val="32"/>
        </w:rPr>
        <w:t>喀什国际博览中心无下属预算单位，下设3个科室，分别是：综合部、策划业务部、技术服务部。</w:t>
      </w:r>
    </w:p>
    <w:p w14:paraId="130A5FD3">
      <w:r>
        <w:br w:type="page"/>
      </w:r>
    </w:p>
    <w:p w14:paraId="68DFD25E">
      <w:pPr>
        <w:spacing w:line="240" w:lineRule="auto"/>
        <w:jc w:val="center"/>
        <w:outlineLvl w:val="1"/>
      </w:pPr>
      <w:r>
        <w:rPr>
          <w:rFonts w:ascii="黑体" w:hAnsi="黑体" w:eastAsia="黑体"/>
          <w:sz w:val="32"/>
        </w:rPr>
        <w:t>第二部分 部门决算情况说明</w:t>
      </w:r>
    </w:p>
    <w:p w14:paraId="20EACDBE">
      <w:pPr>
        <w:spacing w:line="640" w:lineRule="exact"/>
        <w:ind w:firstLine="640"/>
        <w:jc w:val="both"/>
        <w:outlineLvl w:val="2"/>
      </w:pPr>
      <w:r>
        <w:rPr>
          <w:rFonts w:ascii="黑体" w:hAnsi="黑体" w:eastAsia="黑体"/>
          <w:sz w:val="32"/>
        </w:rPr>
        <w:t>一、收入支出决算总体情况说明</w:t>
      </w:r>
    </w:p>
    <w:p w14:paraId="5454C3C3">
      <w:pPr>
        <w:spacing w:line="580" w:lineRule="exact"/>
        <w:ind w:firstLine="640"/>
        <w:jc w:val="both"/>
      </w:pPr>
      <w:r>
        <w:rPr>
          <w:rFonts w:ascii="仿宋_GB2312" w:hAnsi="仿宋_GB2312" w:eastAsia="仿宋_GB2312"/>
          <w:b/>
          <w:sz w:val="32"/>
        </w:rPr>
        <w:t>2024年度收入总计255.11万元，</w:t>
      </w:r>
      <w:r>
        <w:rPr>
          <w:rFonts w:ascii="仿宋_GB2312" w:hAnsi="仿宋_GB2312" w:eastAsia="仿宋_GB2312"/>
          <w:b w:val="0"/>
          <w:sz w:val="32"/>
        </w:rPr>
        <w:t>其中：本年收入合计255.11万元，使用非财政拨款结余（含专用结余）0.00万元，年初结转和结余0.00万元。</w:t>
      </w:r>
    </w:p>
    <w:p w14:paraId="27A834EF">
      <w:pPr>
        <w:spacing w:line="580" w:lineRule="exact"/>
        <w:ind w:firstLine="640"/>
        <w:jc w:val="both"/>
      </w:pPr>
      <w:r>
        <w:rPr>
          <w:rFonts w:ascii="仿宋_GB2312" w:hAnsi="仿宋_GB2312" w:eastAsia="仿宋_GB2312"/>
          <w:b/>
          <w:sz w:val="32"/>
        </w:rPr>
        <w:t>2024年度支出总计255.11万元，</w:t>
      </w:r>
      <w:r>
        <w:rPr>
          <w:rFonts w:ascii="仿宋_GB2312" w:hAnsi="仿宋_GB2312" w:eastAsia="仿宋_GB2312"/>
          <w:b w:val="0"/>
          <w:sz w:val="32"/>
        </w:rPr>
        <w:t>其中：本年支出合计255.11万元，结余分配0.00万元，年末结转和结余0.00万元。</w:t>
      </w:r>
    </w:p>
    <w:p w14:paraId="306F0085">
      <w:pPr>
        <w:spacing w:line="580" w:lineRule="exact"/>
        <w:ind w:firstLine="640"/>
        <w:jc w:val="both"/>
      </w:pPr>
      <w:r>
        <w:rPr>
          <w:rFonts w:ascii="仿宋_GB2312" w:hAnsi="仿宋_GB2312" w:eastAsia="仿宋_GB2312"/>
          <w:b w:val="0"/>
          <w:sz w:val="32"/>
        </w:rPr>
        <w:t>收入支出总体与上年相比，减少87.59万元，下降25.56%，主要原因是：本年</w:t>
      </w:r>
      <w:r>
        <w:rPr>
          <w:rFonts w:hint="eastAsia" w:ascii="仿宋_GB2312" w:hAnsi="仿宋_GB2312" w:eastAsia="仿宋_GB2312"/>
          <w:b w:val="0"/>
          <w:sz w:val="32"/>
          <w:lang w:val="en-US" w:eastAsia="zh-CN"/>
        </w:rPr>
        <w:t>减少喀什地区各类展会项目经费</w:t>
      </w:r>
      <w:r>
        <w:rPr>
          <w:rFonts w:ascii="仿宋_GB2312" w:hAnsi="仿宋_GB2312" w:eastAsia="仿宋_GB2312"/>
          <w:b w:val="0"/>
          <w:sz w:val="32"/>
        </w:rPr>
        <w:t>，导致</w:t>
      </w:r>
      <w:r>
        <w:rPr>
          <w:rFonts w:hint="eastAsia" w:ascii="仿宋_GB2312" w:hAnsi="仿宋_GB2312" w:eastAsia="仿宋_GB2312"/>
          <w:b w:val="0"/>
          <w:sz w:val="32"/>
          <w:lang w:val="en-US" w:eastAsia="zh-CN"/>
        </w:rPr>
        <w:t>相关经费减少。</w:t>
      </w:r>
    </w:p>
    <w:p w14:paraId="470315C8">
      <w:pPr>
        <w:spacing w:line="640" w:lineRule="exact"/>
        <w:ind w:firstLine="640"/>
        <w:jc w:val="both"/>
        <w:outlineLvl w:val="2"/>
      </w:pPr>
      <w:r>
        <w:rPr>
          <w:rFonts w:ascii="黑体" w:hAnsi="黑体" w:eastAsia="黑体"/>
          <w:sz w:val="32"/>
        </w:rPr>
        <w:t>二、收入决算情况说明</w:t>
      </w:r>
    </w:p>
    <w:p w14:paraId="54A444B8">
      <w:pPr>
        <w:spacing w:line="580" w:lineRule="exact"/>
        <w:ind w:firstLine="640"/>
        <w:jc w:val="both"/>
      </w:pPr>
      <w:r>
        <w:rPr>
          <w:rFonts w:ascii="仿宋_GB2312" w:hAnsi="仿宋_GB2312" w:eastAsia="仿宋_GB2312"/>
          <w:b/>
          <w:sz w:val="32"/>
        </w:rPr>
        <w:t>本年收入255.11万元，</w:t>
      </w:r>
      <w:r>
        <w:rPr>
          <w:rFonts w:ascii="仿宋_GB2312" w:hAnsi="仿宋_GB2312" w:eastAsia="仿宋_GB2312"/>
          <w:b w:val="0"/>
          <w:sz w:val="32"/>
        </w:rPr>
        <w:t>其中：财政拨款收入255.11万元，占100.00%；上级补助收入0.00万元，占0.00%；事业收入0.00万元，占0.00%；经营收入0.00万元，占0.00%；附属单位上缴收入0.00万元，占0.00%；其他收入0.00万元，占0.00%。</w:t>
      </w:r>
    </w:p>
    <w:p w14:paraId="05C9E149">
      <w:pPr>
        <w:spacing w:line="640" w:lineRule="exact"/>
        <w:ind w:firstLine="640"/>
        <w:jc w:val="both"/>
        <w:outlineLvl w:val="2"/>
      </w:pPr>
      <w:r>
        <w:rPr>
          <w:rFonts w:ascii="黑体" w:hAnsi="黑体" w:eastAsia="黑体"/>
          <w:sz w:val="32"/>
        </w:rPr>
        <w:t>三、支出决算情况说明</w:t>
      </w:r>
    </w:p>
    <w:p w14:paraId="20D44E43">
      <w:pPr>
        <w:spacing w:line="580" w:lineRule="exact"/>
        <w:ind w:firstLine="640"/>
        <w:jc w:val="both"/>
      </w:pPr>
      <w:r>
        <w:rPr>
          <w:rFonts w:ascii="仿宋_GB2312" w:hAnsi="仿宋_GB2312" w:eastAsia="仿宋_GB2312"/>
          <w:b/>
          <w:sz w:val="32"/>
        </w:rPr>
        <w:t>本年支出255.11万元，</w:t>
      </w:r>
      <w:r>
        <w:rPr>
          <w:rFonts w:ascii="仿宋_GB2312" w:hAnsi="仿宋_GB2312" w:eastAsia="仿宋_GB2312"/>
          <w:b w:val="0"/>
          <w:sz w:val="32"/>
        </w:rPr>
        <w:t>其中：基本支出186.83万元，占73.24%；项目支出68.27万元，占26.76%；上缴上级支出0.00万元，占0.00%；经营支出0.00万元，占0.00%；对附属单位补助支出0.00万元，占0.00%。</w:t>
      </w:r>
    </w:p>
    <w:p w14:paraId="55BAC89D">
      <w:pPr>
        <w:spacing w:line="640" w:lineRule="exact"/>
        <w:ind w:firstLine="640"/>
        <w:jc w:val="both"/>
        <w:outlineLvl w:val="2"/>
      </w:pPr>
      <w:r>
        <w:rPr>
          <w:rFonts w:ascii="黑体" w:hAnsi="黑体" w:eastAsia="黑体"/>
          <w:sz w:val="32"/>
        </w:rPr>
        <w:t>四、财政拨款收入支出决算总体情况说明</w:t>
      </w:r>
    </w:p>
    <w:p w14:paraId="2441879C">
      <w:pPr>
        <w:spacing w:line="580" w:lineRule="exact"/>
        <w:ind w:firstLine="640"/>
        <w:jc w:val="both"/>
      </w:pPr>
      <w:r>
        <w:rPr>
          <w:rFonts w:ascii="仿宋_GB2312" w:hAnsi="仿宋_GB2312" w:eastAsia="仿宋_GB2312"/>
          <w:b/>
          <w:sz w:val="32"/>
        </w:rPr>
        <w:t>2024年度财政拨款收入总计255.11万元，</w:t>
      </w:r>
      <w:r>
        <w:rPr>
          <w:rFonts w:ascii="仿宋_GB2312" w:hAnsi="仿宋_GB2312" w:eastAsia="仿宋_GB2312"/>
          <w:b w:val="0"/>
          <w:sz w:val="32"/>
        </w:rPr>
        <w:t>其中：年初财政拨款结转和结余0.00万元，本年财政拨款收入255.11万元。</w:t>
      </w:r>
      <w:r>
        <w:rPr>
          <w:rFonts w:ascii="仿宋_GB2312" w:hAnsi="仿宋_GB2312" w:eastAsia="仿宋_GB2312"/>
          <w:b/>
          <w:sz w:val="32"/>
        </w:rPr>
        <w:t>财政拨款支出总计255.11万元，</w:t>
      </w:r>
      <w:r>
        <w:rPr>
          <w:rFonts w:ascii="仿宋_GB2312" w:hAnsi="仿宋_GB2312" w:eastAsia="仿宋_GB2312"/>
          <w:b w:val="0"/>
          <w:sz w:val="32"/>
        </w:rPr>
        <w:t>其中：年末财政拨款结转和结余0.00万元，本年财政拨款支出255.11万元。</w:t>
      </w:r>
    </w:p>
    <w:p w14:paraId="470F01A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减少57.59万元，下降18.42%，主要原因是：本年</w:t>
      </w:r>
      <w:r>
        <w:rPr>
          <w:rFonts w:hint="eastAsia" w:ascii="仿宋_GB2312" w:hAnsi="仿宋_GB2312" w:eastAsia="仿宋_GB2312"/>
          <w:b w:val="0"/>
          <w:sz w:val="32"/>
          <w:lang w:val="en-US" w:eastAsia="zh-CN"/>
        </w:rPr>
        <w:t>减少喀什地区各类展会项目经费</w:t>
      </w:r>
      <w:r>
        <w:rPr>
          <w:rFonts w:ascii="仿宋_GB2312" w:hAnsi="仿宋_GB2312" w:eastAsia="仿宋_GB2312"/>
          <w:b w:val="0"/>
          <w:sz w:val="32"/>
        </w:rPr>
        <w:t>，导致</w:t>
      </w:r>
      <w:r>
        <w:rPr>
          <w:rFonts w:hint="eastAsia" w:ascii="仿宋_GB2312" w:hAnsi="仿宋_GB2312" w:eastAsia="仿宋_GB2312"/>
          <w:b w:val="0"/>
          <w:sz w:val="32"/>
          <w:lang w:val="en-US" w:eastAsia="zh-CN"/>
        </w:rPr>
        <w:t>相关经费减少。</w:t>
      </w:r>
      <w:r>
        <w:rPr>
          <w:rFonts w:ascii="仿宋_GB2312" w:hAnsi="仿宋_GB2312" w:eastAsia="仿宋_GB2312"/>
          <w:b/>
          <w:sz w:val="32"/>
        </w:rPr>
        <w:t>与年初预算相比，</w:t>
      </w:r>
      <w:r>
        <w:rPr>
          <w:rFonts w:ascii="仿宋_GB2312" w:hAnsi="仿宋_GB2312" w:eastAsia="仿宋_GB2312"/>
          <w:b w:val="0"/>
          <w:sz w:val="32"/>
        </w:rPr>
        <w:t>年初预算数285.95万元，决算数255.11万元，预决算差异率-10.79%，主要原因是：</w:t>
      </w:r>
      <w:r>
        <w:rPr>
          <w:rFonts w:hint="eastAsia" w:ascii="仿宋_GB2312" w:hAnsi="仿宋_GB2312" w:eastAsia="仿宋_GB2312"/>
          <w:b w:val="0"/>
          <w:sz w:val="32"/>
          <w:lang w:val="en-US" w:eastAsia="zh-CN"/>
        </w:rPr>
        <w:t>年中调减喀什地区各类展会项目经费</w:t>
      </w:r>
      <w:r>
        <w:rPr>
          <w:rFonts w:ascii="仿宋_GB2312" w:hAnsi="仿宋_GB2312" w:eastAsia="仿宋_GB2312"/>
          <w:b w:val="0"/>
          <w:sz w:val="32"/>
        </w:rPr>
        <w:t>，导致</w:t>
      </w:r>
      <w:r>
        <w:rPr>
          <w:rFonts w:hint="eastAsia" w:ascii="仿宋_GB2312" w:hAnsi="仿宋_GB2312" w:eastAsia="仿宋_GB2312"/>
          <w:b w:val="0"/>
          <w:sz w:val="32"/>
          <w:lang w:val="en-US" w:eastAsia="zh-CN"/>
        </w:rPr>
        <w:t>预决算存在差异</w:t>
      </w:r>
      <w:r>
        <w:rPr>
          <w:rFonts w:ascii="仿宋_GB2312" w:hAnsi="仿宋_GB2312" w:eastAsia="仿宋_GB2312"/>
          <w:b w:val="0"/>
          <w:sz w:val="32"/>
        </w:rPr>
        <w:t>。</w:t>
      </w:r>
    </w:p>
    <w:p w14:paraId="3D5538BE">
      <w:pPr>
        <w:spacing w:line="640" w:lineRule="exact"/>
        <w:ind w:firstLine="640"/>
        <w:jc w:val="both"/>
        <w:outlineLvl w:val="2"/>
      </w:pPr>
      <w:r>
        <w:rPr>
          <w:rFonts w:ascii="黑体" w:hAnsi="黑体" w:eastAsia="黑体"/>
          <w:sz w:val="32"/>
        </w:rPr>
        <w:t>五、一般公共预算财政拨款支出决算情况说明</w:t>
      </w:r>
    </w:p>
    <w:p w14:paraId="4E72C001">
      <w:pPr>
        <w:spacing w:line="640" w:lineRule="exact"/>
        <w:ind w:firstLine="640"/>
        <w:jc w:val="both"/>
        <w:outlineLvl w:val="3"/>
      </w:pPr>
      <w:r>
        <w:rPr>
          <w:rFonts w:ascii="楷体_GB2312" w:hAnsi="楷体_GB2312" w:eastAsia="楷体_GB2312"/>
          <w:b/>
          <w:sz w:val="32"/>
        </w:rPr>
        <w:t>（一）一般公共预算财政拨款支出决算总体情况</w:t>
      </w:r>
    </w:p>
    <w:p w14:paraId="7608FD41">
      <w:pPr>
        <w:spacing w:line="580" w:lineRule="exact"/>
        <w:ind w:firstLine="640"/>
        <w:jc w:val="both"/>
      </w:pPr>
      <w:r>
        <w:rPr>
          <w:rFonts w:ascii="仿宋_GB2312" w:hAnsi="仿宋_GB2312" w:eastAsia="仿宋_GB2312"/>
          <w:b/>
          <w:sz w:val="32"/>
        </w:rPr>
        <w:t>2024年度一般公共预算财政拨款支出255.11万元，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减少57.59万元，下降18.42%，主要原因是：本年</w:t>
      </w:r>
      <w:r>
        <w:rPr>
          <w:rFonts w:hint="eastAsia" w:ascii="仿宋_GB2312" w:hAnsi="仿宋_GB2312" w:eastAsia="仿宋_GB2312"/>
          <w:b w:val="0"/>
          <w:sz w:val="32"/>
          <w:lang w:val="en-US" w:eastAsia="zh-CN"/>
        </w:rPr>
        <w:t>减少喀什地区各类展会项目经费</w:t>
      </w:r>
      <w:r>
        <w:rPr>
          <w:rFonts w:ascii="仿宋_GB2312" w:hAnsi="仿宋_GB2312" w:eastAsia="仿宋_GB2312"/>
          <w:b w:val="0"/>
          <w:sz w:val="32"/>
        </w:rPr>
        <w:t>，导致</w:t>
      </w:r>
      <w:r>
        <w:rPr>
          <w:rFonts w:hint="eastAsia" w:ascii="仿宋_GB2312" w:hAnsi="仿宋_GB2312" w:eastAsia="仿宋_GB2312"/>
          <w:b w:val="0"/>
          <w:sz w:val="32"/>
          <w:lang w:val="en-US" w:eastAsia="zh-CN"/>
        </w:rPr>
        <w:t>相关经费减少。</w:t>
      </w:r>
      <w:r>
        <w:rPr>
          <w:rFonts w:ascii="仿宋_GB2312" w:hAnsi="仿宋_GB2312" w:eastAsia="仿宋_GB2312"/>
          <w:b/>
          <w:sz w:val="32"/>
        </w:rPr>
        <w:t>与年初预算相比,</w:t>
      </w:r>
      <w:r>
        <w:rPr>
          <w:rFonts w:ascii="仿宋_GB2312" w:hAnsi="仿宋_GB2312" w:eastAsia="仿宋_GB2312"/>
          <w:b w:val="0"/>
          <w:sz w:val="32"/>
        </w:rPr>
        <w:t>年初预算数285.95万元，决算数255.11万元，预决算差异率-10.79%，主要原因是：</w:t>
      </w:r>
      <w:r>
        <w:rPr>
          <w:rFonts w:hint="eastAsia" w:ascii="仿宋_GB2312" w:hAnsi="仿宋_GB2312" w:eastAsia="仿宋_GB2312"/>
          <w:b w:val="0"/>
          <w:sz w:val="32"/>
          <w:lang w:val="en-US" w:eastAsia="zh-CN"/>
        </w:rPr>
        <w:t>年中调减喀什地区各类展会项目经费</w:t>
      </w:r>
      <w:r>
        <w:rPr>
          <w:rFonts w:ascii="仿宋_GB2312" w:hAnsi="仿宋_GB2312" w:eastAsia="仿宋_GB2312"/>
          <w:b w:val="0"/>
          <w:sz w:val="32"/>
        </w:rPr>
        <w:t>，导致</w:t>
      </w:r>
      <w:r>
        <w:rPr>
          <w:rFonts w:hint="eastAsia" w:ascii="仿宋_GB2312" w:hAnsi="仿宋_GB2312" w:eastAsia="仿宋_GB2312"/>
          <w:b w:val="0"/>
          <w:sz w:val="32"/>
          <w:lang w:val="en-US" w:eastAsia="zh-CN"/>
        </w:rPr>
        <w:t>预决算存在差异</w:t>
      </w:r>
      <w:r>
        <w:rPr>
          <w:rFonts w:ascii="仿宋_GB2312" w:hAnsi="仿宋_GB2312" w:eastAsia="仿宋_GB2312"/>
          <w:b w:val="0"/>
          <w:sz w:val="32"/>
        </w:rPr>
        <w:t>。</w:t>
      </w:r>
    </w:p>
    <w:p w14:paraId="0EA8FFDB">
      <w:pPr>
        <w:spacing w:line="640" w:lineRule="exact"/>
        <w:ind w:firstLine="640"/>
        <w:jc w:val="both"/>
        <w:outlineLvl w:val="3"/>
      </w:pPr>
      <w:r>
        <w:rPr>
          <w:rFonts w:ascii="楷体_GB2312" w:hAnsi="楷体_GB2312" w:eastAsia="楷体_GB2312"/>
          <w:b/>
          <w:sz w:val="32"/>
        </w:rPr>
        <w:t>（二）一般公共预算财政拨款支出决算结构情况</w:t>
      </w:r>
    </w:p>
    <w:p w14:paraId="09770282">
      <w:pPr>
        <w:spacing w:line="580" w:lineRule="exact"/>
        <w:ind w:firstLine="640"/>
        <w:jc w:val="both"/>
      </w:pPr>
      <w:r>
        <w:rPr>
          <w:rFonts w:ascii="仿宋_GB2312" w:hAnsi="仿宋_GB2312" w:eastAsia="仿宋_GB2312"/>
          <w:b w:val="0"/>
          <w:sz w:val="32"/>
        </w:rPr>
        <w:t>1.一般公共服务支出(类)215.30万元,占84.39%。</w:t>
      </w:r>
    </w:p>
    <w:p w14:paraId="4397BD7E">
      <w:pPr>
        <w:spacing w:line="580" w:lineRule="exact"/>
        <w:ind w:firstLine="640"/>
        <w:jc w:val="both"/>
      </w:pPr>
      <w:r>
        <w:rPr>
          <w:rFonts w:ascii="仿宋_GB2312" w:hAnsi="仿宋_GB2312" w:eastAsia="仿宋_GB2312"/>
          <w:b w:val="0"/>
          <w:sz w:val="32"/>
        </w:rPr>
        <w:t>2.社会保障和就业支出(类)18.32万元,占7.18%。</w:t>
      </w:r>
    </w:p>
    <w:p w14:paraId="37BA81F7">
      <w:pPr>
        <w:spacing w:line="580" w:lineRule="exact"/>
        <w:ind w:firstLine="640"/>
        <w:jc w:val="both"/>
      </w:pPr>
      <w:r>
        <w:rPr>
          <w:rFonts w:ascii="仿宋_GB2312" w:hAnsi="仿宋_GB2312" w:eastAsia="仿宋_GB2312"/>
          <w:b w:val="0"/>
          <w:sz w:val="32"/>
        </w:rPr>
        <w:t>3.卫生健康支出(类)7.34万元,占2.88%。</w:t>
      </w:r>
    </w:p>
    <w:p w14:paraId="3471FF17">
      <w:pPr>
        <w:spacing w:line="580" w:lineRule="exact"/>
        <w:ind w:firstLine="640"/>
        <w:jc w:val="both"/>
      </w:pPr>
      <w:r>
        <w:rPr>
          <w:rFonts w:ascii="仿宋_GB2312" w:hAnsi="仿宋_GB2312" w:eastAsia="仿宋_GB2312"/>
          <w:b w:val="0"/>
          <w:sz w:val="32"/>
        </w:rPr>
        <w:t>4.住房保障支出(类)14.16万元,占5.55%。</w:t>
      </w:r>
    </w:p>
    <w:p w14:paraId="7DC631B9">
      <w:pPr>
        <w:spacing w:line="640" w:lineRule="exact"/>
        <w:ind w:firstLine="640"/>
        <w:jc w:val="both"/>
        <w:outlineLvl w:val="3"/>
      </w:pPr>
      <w:r>
        <w:rPr>
          <w:rFonts w:ascii="楷体_GB2312" w:hAnsi="楷体_GB2312" w:eastAsia="楷体_GB2312"/>
          <w:b/>
          <w:sz w:val="32"/>
        </w:rPr>
        <w:t>（三）一般公共预算财政拨款支出决算具体情况</w:t>
      </w:r>
    </w:p>
    <w:p w14:paraId="4B9C0FC3">
      <w:pPr>
        <w:spacing w:line="580" w:lineRule="exact"/>
        <w:ind w:firstLine="640"/>
        <w:jc w:val="both"/>
      </w:pPr>
      <w:r>
        <w:rPr>
          <w:rFonts w:ascii="仿宋_GB2312" w:hAnsi="仿宋_GB2312" w:eastAsia="仿宋_GB2312"/>
          <w:b w:val="0"/>
          <w:sz w:val="32"/>
        </w:rPr>
        <w:t>1.一般公共服务支出(类)商贸事务(款)事业运行(项):支出决算数为147.03万元，比上年决算减少3.17万元，下降2.11%,主要原因是：本年度减少津贴补贴，导致决算数减少。</w:t>
      </w:r>
    </w:p>
    <w:p w14:paraId="052D39B6">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2.一般公共服务支出(类)商贸事务(款)其他商贸事务支出(项):支出决算数为68.27万元，比上年决算减少45.47万元，下降39.98%,主要原因是：本年</w:t>
      </w:r>
      <w:r>
        <w:rPr>
          <w:rFonts w:hint="eastAsia" w:ascii="仿宋_GB2312" w:hAnsi="仿宋_GB2312" w:eastAsia="仿宋_GB2312"/>
          <w:b w:val="0"/>
          <w:sz w:val="32"/>
          <w:lang w:val="en-US" w:eastAsia="zh-CN"/>
        </w:rPr>
        <w:t>减少喀什地区各类展会项目经费</w:t>
      </w:r>
      <w:r>
        <w:rPr>
          <w:rFonts w:ascii="仿宋_GB2312" w:hAnsi="仿宋_GB2312" w:eastAsia="仿宋_GB2312"/>
          <w:b w:val="0"/>
          <w:sz w:val="32"/>
        </w:rPr>
        <w:t>，导致</w:t>
      </w:r>
      <w:r>
        <w:rPr>
          <w:rFonts w:hint="eastAsia" w:ascii="仿宋_GB2312" w:hAnsi="仿宋_GB2312" w:eastAsia="仿宋_GB2312"/>
          <w:b w:val="0"/>
          <w:sz w:val="32"/>
          <w:lang w:val="en-US" w:eastAsia="zh-CN"/>
        </w:rPr>
        <w:t>相关经费减少。</w:t>
      </w:r>
    </w:p>
    <w:p w14:paraId="79CAE14F">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1.05万元，比上年决算增加0.98万元，增长1,400.00%,主要原因是：退休人员于23年12月退休，23年仅发放1个月退休费，24年发放全年退休费，故退休费较上年增加。</w:t>
      </w:r>
    </w:p>
    <w:p w14:paraId="0DF2F71B">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17.26万元，比上年决算增加0.60万元，增长3.60%,主要原因是：本年在职人员工资基数调增，养老缴费基数上涨，相应支出增加。</w:t>
      </w:r>
    </w:p>
    <w:p w14:paraId="25A21CE3">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10.15万元，下降100.00%,主要原因是：本年新增退休人员较上年减少，职业年金缴费较上年减少。</w:t>
      </w:r>
    </w:p>
    <w:p w14:paraId="4D197E91">
      <w:pPr>
        <w:spacing w:line="580" w:lineRule="exact"/>
        <w:ind w:firstLine="640"/>
        <w:jc w:val="both"/>
      </w:pPr>
      <w:r>
        <w:rPr>
          <w:rFonts w:ascii="仿宋_GB2312" w:hAnsi="仿宋_GB2312" w:eastAsia="仿宋_GB2312"/>
          <w:b w:val="0"/>
          <w:sz w:val="32"/>
        </w:rPr>
        <w:t>6.卫生健康支出(类)行政事业单位医疗(款)事业单位医疗(项):支出决算数为7.34万元，比上年决算增加0.17万元，增长2.37%,主要原因是：本年在职人员工资基数调增，医疗缴费基数上涨，相应支出增加。</w:t>
      </w:r>
    </w:p>
    <w:p w14:paraId="1F52FD53">
      <w:pPr>
        <w:spacing w:line="580" w:lineRule="exact"/>
        <w:ind w:firstLine="640"/>
        <w:jc w:val="both"/>
      </w:pPr>
      <w:r>
        <w:rPr>
          <w:rFonts w:ascii="仿宋_GB2312" w:hAnsi="仿宋_GB2312" w:eastAsia="仿宋_GB2312"/>
          <w:b w:val="0"/>
          <w:sz w:val="32"/>
        </w:rPr>
        <w:t>7.住房保障支出(类)住房改革支出(款)住房公积金(项):支出决算数为14.16万元，比上年决算增加0.43万元，增长3.13%,主要原因是：本年在职人员工资基数调增，公积金缴费基数上涨，相应支出增加。</w:t>
      </w:r>
    </w:p>
    <w:p w14:paraId="169AAE81">
      <w:pPr>
        <w:spacing w:line="580" w:lineRule="exact"/>
        <w:ind w:firstLine="640"/>
        <w:jc w:val="both"/>
      </w:pPr>
      <w:r>
        <w:rPr>
          <w:rFonts w:ascii="仿宋_GB2312" w:hAnsi="仿宋_GB2312" w:eastAsia="仿宋_GB2312"/>
          <w:b w:val="0"/>
          <w:sz w:val="32"/>
        </w:rPr>
        <w:t>8.其他支出(类)其他支出(款)其他支出(项):支出决算数为0.00万元，比上年决算减少0.97万元，下降100.00%,主要原因是：本年减少信息化工程项目，经费减少。</w:t>
      </w:r>
    </w:p>
    <w:p w14:paraId="1E7E0820">
      <w:pPr>
        <w:spacing w:line="640" w:lineRule="exact"/>
        <w:ind w:firstLine="640"/>
        <w:jc w:val="both"/>
        <w:outlineLvl w:val="2"/>
      </w:pPr>
      <w:r>
        <w:rPr>
          <w:rFonts w:ascii="黑体" w:hAnsi="黑体" w:eastAsia="黑体"/>
          <w:sz w:val="32"/>
        </w:rPr>
        <w:t>六、一般公共预算财政拨款基本支出决算情况说明</w:t>
      </w:r>
    </w:p>
    <w:p w14:paraId="634C09C8">
      <w:pPr>
        <w:spacing w:line="580" w:lineRule="exact"/>
        <w:ind w:firstLine="640"/>
        <w:jc w:val="both"/>
      </w:pPr>
      <w:r>
        <w:rPr>
          <w:rFonts w:ascii="仿宋_GB2312" w:hAnsi="仿宋_GB2312" w:eastAsia="仿宋_GB2312"/>
          <w:b w:val="0"/>
          <w:sz w:val="32"/>
        </w:rPr>
        <w:t>2024年度一般公共预算财政拨款基本支出186.83万元，其中：</w:t>
      </w:r>
      <w:r>
        <w:rPr>
          <w:rFonts w:ascii="仿宋_GB2312" w:hAnsi="仿宋_GB2312" w:eastAsia="仿宋_GB2312"/>
          <w:b/>
          <w:sz w:val="32"/>
        </w:rPr>
        <w:t>人员经费179.57万元，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w:t>
      </w:r>
    </w:p>
    <w:p w14:paraId="3527BFA2">
      <w:pPr>
        <w:spacing w:line="580" w:lineRule="exact"/>
        <w:ind w:firstLine="640"/>
        <w:jc w:val="both"/>
      </w:pPr>
      <w:r>
        <w:rPr>
          <w:rFonts w:ascii="仿宋_GB2312" w:hAnsi="仿宋_GB2312" w:eastAsia="仿宋_GB2312"/>
          <w:b/>
          <w:sz w:val="32"/>
        </w:rPr>
        <w:t>公用经费7.26万元，</w:t>
      </w:r>
      <w:r>
        <w:rPr>
          <w:rFonts w:ascii="仿宋_GB2312" w:hAnsi="仿宋_GB2312" w:eastAsia="仿宋_GB2312"/>
          <w:b w:val="0"/>
          <w:sz w:val="32"/>
        </w:rPr>
        <w:t>包括：办公费、水费、电费、邮电费、取暖费、差旅费、专用材料费、工会经费、公务用车运行维护费、其他商品和服务支出。</w:t>
      </w:r>
    </w:p>
    <w:p w14:paraId="75F75804">
      <w:pPr>
        <w:spacing w:line="640" w:lineRule="exact"/>
        <w:ind w:firstLine="640"/>
        <w:jc w:val="both"/>
        <w:outlineLvl w:val="2"/>
      </w:pPr>
      <w:r>
        <w:rPr>
          <w:rFonts w:ascii="黑体" w:hAnsi="黑体" w:eastAsia="黑体"/>
          <w:sz w:val="32"/>
        </w:rPr>
        <w:t>七、政府性基金预算财政拨款收入支出决算情况说明</w:t>
      </w:r>
    </w:p>
    <w:p w14:paraId="5ABD985F">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4D6A3BB">
      <w:pPr>
        <w:spacing w:line="640" w:lineRule="exact"/>
        <w:ind w:firstLine="640"/>
        <w:jc w:val="both"/>
        <w:outlineLvl w:val="2"/>
      </w:pPr>
      <w:r>
        <w:rPr>
          <w:rFonts w:ascii="黑体" w:hAnsi="黑体" w:eastAsia="黑体"/>
          <w:sz w:val="32"/>
        </w:rPr>
        <w:t>八、国有资本经营预算财政拨款收入支出决算情况说明</w:t>
      </w:r>
    </w:p>
    <w:p w14:paraId="7988E209">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5AD7187">
      <w:pPr>
        <w:spacing w:line="640" w:lineRule="exact"/>
        <w:ind w:firstLine="640"/>
        <w:jc w:val="both"/>
        <w:outlineLvl w:val="2"/>
      </w:pPr>
      <w:r>
        <w:rPr>
          <w:rFonts w:ascii="黑体" w:hAnsi="黑体" w:eastAsia="黑体"/>
          <w:sz w:val="32"/>
        </w:rPr>
        <w:t>九、财政拨款“三公”经费支出决算情况说明</w:t>
      </w:r>
    </w:p>
    <w:p w14:paraId="1DC4C463">
      <w:pPr>
        <w:spacing w:line="580" w:lineRule="exact"/>
        <w:ind w:firstLine="640"/>
        <w:jc w:val="both"/>
      </w:pPr>
      <w:r>
        <w:rPr>
          <w:rFonts w:ascii="仿宋_GB2312" w:hAnsi="仿宋_GB2312" w:eastAsia="仿宋_GB2312"/>
          <w:b/>
          <w:sz w:val="32"/>
        </w:rPr>
        <w:t>2024年度财政拨款“三公”经费支出1.78万元，</w:t>
      </w:r>
      <w:r>
        <w:rPr>
          <w:rFonts w:ascii="仿宋_GB2312" w:hAnsi="仿宋_GB2312" w:eastAsia="仿宋_GB2312"/>
          <w:b w:val="0"/>
          <w:sz w:val="32"/>
        </w:rPr>
        <w:t>比上年减少0.02万元，下降1.11%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1.78万元，占100.00%，比上年减少0.02万元，下降1.11%，主要原因是：严格落实中央八项规定精神，厉行节约，减少公务用车运行维护费。公务接待费支出0.00万元，占0.00%，比上年增加0.00万元，增长0.00%，主要原因是：2023年与2024年均未安排公务接待费支出。</w:t>
      </w:r>
    </w:p>
    <w:p w14:paraId="16C4941A">
      <w:pPr>
        <w:spacing w:line="580" w:lineRule="exact"/>
        <w:ind w:firstLine="640"/>
        <w:jc w:val="both"/>
      </w:pPr>
      <w:r>
        <w:rPr>
          <w:rFonts w:ascii="仿宋_GB2312" w:hAnsi="仿宋_GB2312" w:eastAsia="仿宋_GB2312"/>
          <w:b/>
          <w:sz w:val="32"/>
        </w:rPr>
        <w:t>具体情况如下：</w:t>
      </w:r>
    </w:p>
    <w:p w14:paraId="0A450CBF">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FD9E0AC">
      <w:pPr>
        <w:spacing w:line="580" w:lineRule="exact"/>
        <w:ind w:firstLine="640"/>
        <w:jc w:val="both"/>
      </w:pPr>
      <w:r>
        <w:rPr>
          <w:rFonts w:ascii="仿宋_GB2312" w:hAnsi="仿宋_GB2312" w:eastAsia="仿宋_GB2312"/>
          <w:b w:val="0"/>
          <w:sz w:val="32"/>
        </w:rPr>
        <w:t>公务用车购置及运行维护费1.78万元，其中：公务用车购置费0.00万元，公务用车运行维护费1.78万元。公务用车运行维护费开支内容包括车辆加油费、维修费、保险费、审车费、过路费。公务用车购置数0辆，公务用车保有量1辆。国有资产占用情况中固定资产车辆1辆，与公务用车保有量差异原因是：本部门固定资产车辆与公务用车保有量一致无差异。</w:t>
      </w:r>
    </w:p>
    <w:p w14:paraId="2CB02FC6">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A4795C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1.78万元，决算数1.78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1.78万元，决算数1.78万元，预决算差异率0.00%，主要原因是：严格按照预算执行，预决算无差异。公务接待费全年预算数0.00万元，决算数0.00万元，预决算差异率0.00%，主要原因是：本部门无公务接待费。</w:t>
      </w:r>
    </w:p>
    <w:p w14:paraId="4437A85D">
      <w:pPr>
        <w:spacing w:line="640" w:lineRule="exact"/>
        <w:ind w:firstLine="640"/>
        <w:jc w:val="both"/>
        <w:outlineLvl w:val="2"/>
      </w:pPr>
      <w:r>
        <w:rPr>
          <w:rFonts w:ascii="黑体" w:hAnsi="黑体" w:eastAsia="黑体"/>
          <w:sz w:val="32"/>
        </w:rPr>
        <w:t>十、其他重要事项的情况说明</w:t>
      </w:r>
    </w:p>
    <w:p w14:paraId="08331C7F">
      <w:pPr>
        <w:spacing w:line="640" w:lineRule="exact"/>
        <w:ind w:firstLine="640"/>
        <w:jc w:val="both"/>
        <w:outlineLvl w:val="3"/>
      </w:pPr>
      <w:r>
        <w:rPr>
          <w:rFonts w:ascii="楷体_GB2312" w:hAnsi="楷体_GB2312" w:eastAsia="楷体_GB2312"/>
          <w:b/>
          <w:sz w:val="32"/>
        </w:rPr>
        <w:t>（一）机关运行经费及公用经费支出情况</w:t>
      </w:r>
    </w:p>
    <w:p w14:paraId="365C7E90">
      <w:pPr>
        <w:spacing w:line="580" w:lineRule="exact"/>
        <w:ind w:firstLine="640"/>
        <w:jc w:val="both"/>
      </w:pPr>
      <w:r>
        <w:rPr>
          <w:rFonts w:ascii="仿宋_GB2312" w:hAnsi="仿宋_GB2312" w:eastAsia="仿宋_GB2312"/>
          <w:b w:val="0"/>
          <w:sz w:val="32"/>
        </w:rPr>
        <w:t>2024年度喀什国际博览中心（事业单位）公用经费支出7.26万元，比上年减少1.58万元，下降17.87%，主要原因是：本年度减少工会经费，导致公用经费支出数减少。</w:t>
      </w:r>
    </w:p>
    <w:p w14:paraId="0E1722D5">
      <w:pPr>
        <w:spacing w:line="640" w:lineRule="exact"/>
        <w:ind w:firstLine="640"/>
        <w:jc w:val="both"/>
        <w:outlineLvl w:val="3"/>
      </w:pPr>
      <w:r>
        <w:rPr>
          <w:rFonts w:ascii="楷体_GB2312" w:hAnsi="楷体_GB2312" w:eastAsia="楷体_GB2312"/>
          <w:b/>
          <w:sz w:val="32"/>
        </w:rPr>
        <w:t>（二）政府采购情况</w:t>
      </w:r>
    </w:p>
    <w:p w14:paraId="00D377AE">
      <w:pPr>
        <w:spacing w:line="580" w:lineRule="exact"/>
        <w:ind w:firstLine="640"/>
        <w:jc w:val="both"/>
      </w:pPr>
      <w:r>
        <w:rPr>
          <w:rFonts w:ascii="仿宋_GB2312" w:hAnsi="仿宋_GB2312" w:eastAsia="仿宋_GB2312"/>
          <w:b w:val="0"/>
          <w:sz w:val="32"/>
        </w:rPr>
        <w:t>2024年度政府采购支出总额48.24万元，其中：政府采购货物支出1.10万元、政府采购工程支出0.00万元、政府采购服务支出47.14万元。</w:t>
      </w:r>
    </w:p>
    <w:p w14:paraId="2CEE8961">
      <w:pPr>
        <w:spacing w:line="580" w:lineRule="exact"/>
        <w:ind w:firstLine="640"/>
        <w:jc w:val="both"/>
      </w:pPr>
      <w:r>
        <w:rPr>
          <w:rFonts w:ascii="仿宋_GB2312" w:hAnsi="仿宋_GB2312" w:eastAsia="仿宋_GB2312"/>
          <w:b w:val="0"/>
          <w:sz w:val="32"/>
        </w:rPr>
        <w:t>授予中小企业合同金额48.24万元，占政府采购支出总额的100.00%，其中：授予小微企业合同金额45.24万元，占政府采购支出总额的93.78%。</w:t>
      </w:r>
    </w:p>
    <w:p w14:paraId="17EBCDE0">
      <w:pPr>
        <w:spacing w:line="640" w:lineRule="exact"/>
        <w:ind w:firstLine="640"/>
        <w:jc w:val="both"/>
        <w:outlineLvl w:val="3"/>
      </w:pPr>
      <w:r>
        <w:rPr>
          <w:rFonts w:ascii="楷体_GB2312" w:hAnsi="楷体_GB2312" w:eastAsia="楷体_GB2312"/>
          <w:b/>
          <w:sz w:val="32"/>
        </w:rPr>
        <w:t>（三）国有资产占用情况说明</w:t>
      </w:r>
    </w:p>
    <w:p w14:paraId="798DE51D">
      <w:pPr>
        <w:spacing w:line="580" w:lineRule="exact"/>
        <w:ind w:firstLine="640"/>
        <w:jc w:val="both"/>
      </w:pPr>
      <w:r>
        <w:rPr>
          <w:rFonts w:ascii="仿宋_GB2312" w:hAnsi="仿宋_GB2312" w:eastAsia="仿宋_GB2312"/>
          <w:b w:val="0"/>
          <w:sz w:val="32"/>
        </w:rPr>
        <w:t>截至2024年12月31日，房屋0.00平方米，价值0.00万元。车辆1辆，价值37.85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58229B3">
      <w:pPr>
        <w:spacing w:line="640" w:lineRule="exact"/>
        <w:ind w:firstLine="640"/>
        <w:jc w:val="both"/>
        <w:outlineLvl w:val="2"/>
      </w:pPr>
      <w:r>
        <w:rPr>
          <w:rFonts w:ascii="黑体" w:hAnsi="黑体" w:eastAsia="黑体"/>
          <w:sz w:val="32"/>
        </w:rPr>
        <w:t>十一、预算绩效的情况说明</w:t>
      </w:r>
    </w:p>
    <w:p w14:paraId="1C26859F">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308.64万元，实际执行总额255.11万元；预算绩效评价项目2个，全年预算数121.77万元，全年执行数68.24万元。预算绩效管理取得的成效：一是提高资金使用效率：通过绩效管理，确保每一笔财政资金都投入到最能产生效益的项目中，避免了资源的浪费；二是优化财政资源配置：预算绩效管理有助于识别低效或无效的支出，从而优化财政资源的配置，确保资金投入到最需要的领域：三是强化责任和透明度：绩效管理要求各部门对预算执行结果负责，提高了政府部门的责任感和透明度。发现的问题及原因：一是部分业务人员绩效管理意识有待增强，未能全面深入认识理解绩效管理工作的意义。绩效管理经验不足，预算绩效管理工作有待进一步落实；二是绩效指标的明确性、可衡量性、相关性还需进一步提升；三是预算精细化管理还需完善，预算编制管理水平仍有进一步提升的空间。下一步改进措施：一是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部门整体支出绩效自评表，项目支出绩效自评表和部门评价报告。</w:t>
      </w:r>
    </w:p>
    <w:p w14:paraId="7430423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9549F11">
        <w:tblPrEx>
          <w:tblCellMar>
            <w:top w:w="0" w:type="dxa"/>
            <w:left w:w="108" w:type="dxa"/>
            <w:bottom w:w="0" w:type="dxa"/>
            <w:right w:w="108" w:type="dxa"/>
          </w:tblCellMar>
        </w:tblPrEx>
        <w:tc>
          <w:tcPr>
            <w:tcW w:w="8847" w:type="dxa"/>
            <w:gridSpan w:val="9"/>
            <w:vAlign w:val="center"/>
          </w:tcPr>
          <w:p w14:paraId="7DA21A6A">
            <w:pPr>
              <w:jc w:val="center"/>
            </w:pPr>
            <w:r>
              <w:rPr>
                <w:rFonts w:ascii="宋体" w:hAnsi="宋体" w:eastAsia="宋体"/>
                <w:sz w:val="24"/>
              </w:rPr>
              <w:t>部门整体支出绩效自评表</w:t>
            </w:r>
          </w:p>
        </w:tc>
      </w:tr>
      <w:tr w14:paraId="7A68747A">
        <w:tblPrEx>
          <w:tblCellMar>
            <w:top w:w="0" w:type="dxa"/>
            <w:left w:w="108" w:type="dxa"/>
            <w:bottom w:w="0" w:type="dxa"/>
            <w:right w:w="108" w:type="dxa"/>
          </w:tblCellMar>
        </w:tblPrEx>
        <w:tc>
          <w:tcPr>
            <w:tcW w:w="8847" w:type="dxa"/>
            <w:gridSpan w:val="9"/>
            <w:vAlign w:val="center"/>
          </w:tcPr>
          <w:p w14:paraId="7C9F747E">
            <w:pPr>
              <w:jc w:val="center"/>
            </w:pPr>
            <w:r>
              <w:rPr>
                <w:rFonts w:ascii="宋体" w:hAnsi="宋体" w:eastAsia="宋体"/>
                <w:sz w:val="24"/>
              </w:rPr>
              <w:t>（2024年度）</w:t>
            </w:r>
          </w:p>
        </w:tc>
      </w:tr>
      <w:tr w14:paraId="09A750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AEB68">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AF4254C">
            <w:pPr>
              <w:jc w:val="center"/>
            </w:pPr>
            <w:r>
              <w:rPr>
                <w:rFonts w:ascii="宋体" w:hAnsi="宋体" w:eastAsia="宋体"/>
                <w:sz w:val="16"/>
              </w:rPr>
              <w:t>喀什国际博览中心</w:t>
            </w:r>
          </w:p>
        </w:tc>
      </w:tr>
      <w:tr w14:paraId="1C5F03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9286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088C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BE87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8222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59B2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5DD0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ADB1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5AA2E">
            <w:pPr>
              <w:jc w:val="center"/>
            </w:pPr>
            <w:r>
              <w:rPr>
                <w:rFonts w:ascii="宋体" w:hAnsi="宋体" w:eastAsia="宋体"/>
                <w:sz w:val="16"/>
              </w:rPr>
              <w:t>得分</w:t>
            </w:r>
          </w:p>
        </w:tc>
      </w:tr>
      <w:tr w14:paraId="1231E2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277A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57E6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031A2">
            <w:pPr>
              <w:jc w:val="center"/>
            </w:pPr>
            <w:r>
              <w:rPr>
                <w:rFonts w:ascii="宋体" w:hAnsi="宋体" w:eastAsia="宋体"/>
                <w:sz w:val="16"/>
              </w:rPr>
              <w:t>285.95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29BCD">
            <w:pPr>
              <w:jc w:val="center"/>
            </w:pPr>
            <w:r>
              <w:rPr>
                <w:rFonts w:ascii="宋体" w:hAnsi="宋体" w:eastAsia="宋体"/>
                <w:sz w:val="16"/>
              </w:rPr>
              <w:t>308.64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0B48C">
            <w:pPr>
              <w:jc w:val="center"/>
            </w:pPr>
            <w:r>
              <w:rPr>
                <w:rFonts w:ascii="宋体" w:hAnsi="宋体" w:eastAsia="宋体"/>
                <w:sz w:val="16"/>
              </w:rPr>
              <w:t>255.11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212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78C77">
            <w:pPr>
              <w:jc w:val="center"/>
            </w:pPr>
            <w:r>
              <w:rPr>
                <w:rFonts w:ascii="宋体" w:hAnsi="宋体" w:eastAsia="宋体"/>
                <w:sz w:val="16"/>
              </w:rPr>
              <w:t>82.66%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30EEF">
            <w:pPr>
              <w:jc w:val="center"/>
            </w:pPr>
            <w:r>
              <w:rPr>
                <w:rFonts w:ascii="宋体" w:hAnsi="宋体" w:eastAsia="宋体"/>
                <w:sz w:val="16"/>
              </w:rPr>
              <w:t>8.27</w:t>
            </w:r>
          </w:p>
        </w:tc>
      </w:tr>
      <w:tr w14:paraId="3B7FE2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BC3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3A04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DF0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1FC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249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948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322C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45175">
            <w:pPr>
              <w:jc w:val="center"/>
            </w:pPr>
            <w:r>
              <w:rPr>
                <w:rFonts w:ascii="宋体" w:hAnsi="宋体" w:eastAsia="宋体"/>
                <w:sz w:val="16"/>
              </w:rPr>
              <w:t>—</w:t>
            </w:r>
          </w:p>
        </w:tc>
      </w:tr>
      <w:tr w14:paraId="3EB9F1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3C38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39CF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A727C">
            <w:pPr>
              <w:jc w:val="center"/>
            </w:pPr>
            <w:r>
              <w:rPr>
                <w:rFonts w:ascii="宋体" w:hAnsi="宋体" w:eastAsia="宋体"/>
                <w:sz w:val="16"/>
              </w:rPr>
              <w:t>285.95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C0719">
            <w:pPr>
              <w:jc w:val="center"/>
            </w:pPr>
            <w:r>
              <w:rPr>
                <w:rFonts w:ascii="宋体" w:hAnsi="宋体" w:eastAsia="宋体"/>
                <w:sz w:val="16"/>
              </w:rPr>
              <w:t>308.64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00902">
            <w:pPr>
              <w:jc w:val="center"/>
            </w:pPr>
            <w:r>
              <w:rPr>
                <w:rFonts w:ascii="宋体" w:hAnsi="宋体" w:eastAsia="宋体"/>
                <w:sz w:val="16"/>
              </w:rPr>
              <w:t>255.11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25E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36A1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92564">
            <w:pPr>
              <w:jc w:val="center"/>
            </w:pPr>
            <w:r>
              <w:rPr>
                <w:rFonts w:ascii="宋体" w:hAnsi="宋体" w:eastAsia="宋体"/>
                <w:sz w:val="16"/>
              </w:rPr>
              <w:t>—</w:t>
            </w:r>
          </w:p>
        </w:tc>
      </w:tr>
      <w:tr w14:paraId="4B699E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1807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6A5B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5AF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E43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A59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E22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FEFD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6C00A">
            <w:pPr>
              <w:jc w:val="center"/>
            </w:pPr>
            <w:r>
              <w:rPr>
                <w:rFonts w:ascii="宋体" w:hAnsi="宋体" w:eastAsia="宋体"/>
                <w:sz w:val="16"/>
              </w:rPr>
              <w:t>—</w:t>
            </w:r>
          </w:p>
        </w:tc>
      </w:tr>
      <w:tr w14:paraId="00BC3E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64FF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7FB9E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051186">
            <w:pPr>
              <w:jc w:val="center"/>
            </w:pPr>
            <w:r>
              <w:rPr>
                <w:rFonts w:ascii="宋体" w:hAnsi="宋体" w:eastAsia="宋体"/>
                <w:sz w:val="16"/>
              </w:rPr>
              <w:t>实际完成情况</w:t>
            </w:r>
          </w:p>
        </w:tc>
      </w:tr>
      <w:tr w14:paraId="6D56FC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6274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707C91">
            <w:pPr>
              <w:jc w:val="both"/>
            </w:pPr>
            <w:r>
              <w:rPr>
                <w:rFonts w:ascii="宋体" w:hAnsi="宋体" w:eastAsia="宋体"/>
                <w:sz w:val="16"/>
              </w:rPr>
              <w:t>喀什国际博览中心是对地区各类展会进行总体策划、统筹协调、组织实施以及形象设计、宣传推介、展区规划等相关工作；承办、协办其他各类国际、国内博览会、展览会、展销会、洽谈会和各种论坛、公益类展览、展会等活动，并做好相关工作。协助各单位做好5次大（中）型特色展会，第十四届“喀交会”布展筹建部筹建项数4项，积极配合做好参加区内外各类展会活动的组织筹备3场。把“喀交会”打造成为与周边国家交往交流的重要平台和具有一定影响力的区域性国际展会品牌为目标，推进“十大产业”部署，坚持绿色智慧办展理念，完善会展工作管理机制，优化会展场馆资源，发展会展经济产业链，培育中亚、南亚区域性国际会展平台，积极服务和融入“一带一路”建设，大力发展会展经济，助力喀什经济高质量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6F17DF">
            <w:pPr>
              <w:jc w:val="both"/>
            </w:pPr>
            <w:r>
              <w:rPr>
                <w:rFonts w:ascii="宋体" w:hAnsi="宋体" w:eastAsia="宋体"/>
                <w:sz w:val="16"/>
              </w:rPr>
              <w:t>2024年举办展会次数2次，参会次数3次，喀什地区在第八届亚博会期间签订招</w:t>
            </w:r>
            <w:r>
              <w:rPr>
                <w:rFonts w:hint="eastAsia" w:ascii="宋体" w:hAnsi="宋体"/>
                <w:sz w:val="16"/>
                <w:lang w:eastAsia="zh-CN"/>
              </w:rPr>
              <w:t>商引资</w:t>
            </w:r>
            <w:r>
              <w:rPr>
                <w:rFonts w:ascii="宋体" w:hAnsi="宋体" w:eastAsia="宋体"/>
                <w:sz w:val="16"/>
              </w:rPr>
              <w:t>项目30个，签约总额达150.03亿元，投资项目涉及纺织服装、绿色矿业、装备制造、生物医药、新能源新材料等多个领域。喀什国际博览中心指导喀什市会展中心实施市场化运营，成功引入一批疆内会展企业，先后举办了2024（第一届）喀什新春年货节、喀什农业机械及农资用品博览会、喀什首届</w:t>
            </w:r>
            <w:bookmarkStart w:id="0" w:name="_GoBack"/>
            <w:r>
              <w:rPr>
                <w:rFonts w:ascii="宋体" w:hAnsi="宋体" w:eastAsia="宋体"/>
                <w:sz w:val="16"/>
              </w:rPr>
              <w:t>和家</w:t>
            </w:r>
            <w:bookmarkEnd w:id="0"/>
            <w:r>
              <w:rPr>
                <w:rFonts w:ascii="宋体" w:hAnsi="宋体" w:eastAsia="宋体"/>
                <w:sz w:val="16"/>
              </w:rPr>
              <w:t>网家博会、喀什首届体博会、2024新疆（喀什）广告产业博览会、新疆喀什智慧医疗暨医院建设博览会、中亚南亚医疗服务贸易博览会、2024新疆（喀什）第三届医院高质量发展暨“一带一路”合作论坛、第二届喀什农业博览会等23个中小型专业展会。</w:t>
            </w:r>
          </w:p>
        </w:tc>
      </w:tr>
      <w:tr w14:paraId="17EC63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FCDB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F15F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50B9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92A4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E8F2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B2D0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50F3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82C28">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84808">
            <w:pPr>
              <w:jc w:val="center"/>
            </w:pPr>
            <w:r>
              <w:rPr>
                <w:rFonts w:ascii="宋体" w:hAnsi="宋体" w:eastAsia="宋体"/>
                <w:sz w:val="16"/>
              </w:rPr>
              <w:t>得分</w:t>
            </w:r>
          </w:p>
        </w:tc>
      </w:tr>
      <w:tr w14:paraId="3BA765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7153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AD4C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A2D4A">
            <w:pPr>
              <w:jc w:val="center"/>
            </w:pPr>
            <w:r>
              <w:rPr>
                <w:rFonts w:ascii="宋体" w:hAnsi="宋体" w:eastAsia="宋体"/>
                <w:sz w:val="16"/>
              </w:rPr>
              <w:t>协助各单位做好大（中）型特色展会次数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BEF1B">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23DC0">
            <w:pPr>
              <w:jc w:val="center"/>
            </w:pPr>
            <w:r>
              <w:rPr>
                <w:rFonts w:ascii="宋体" w:hAnsi="宋体" w:eastAsia="宋体"/>
                <w:sz w:val="16"/>
              </w:rPr>
              <w:t>喀什国际博览中心2024年工作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A8DD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5DEDF">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9BF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DBFD6">
            <w:pPr>
              <w:jc w:val="center"/>
            </w:pPr>
            <w:r>
              <w:rPr>
                <w:rFonts w:ascii="宋体" w:hAnsi="宋体" w:eastAsia="宋体"/>
                <w:sz w:val="16"/>
              </w:rPr>
              <w:t>20</w:t>
            </w:r>
          </w:p>
        </w:tc>
      </w:tr>
      <w:tr w14:paraId="68174A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5DB9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FA07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B6CF4">
            <w:pPr>
              <w:jc w:val="center"/>
            </w:pPr>
            <w:r>
              <w:rPr>
                <w:rFonts w:ascii="宋体" w:hAnsi="宋体" w:eastAsia="宋体"/>
                <w:sz w:val="16"/>
              </w:rPr>
              <w:t>到会客商人数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D6710">
            <w:pPr>
              <w:jc w:val="center"/>
            </w:pPr>
            <w:r>
              <w:rPr>
                <w:rFonts w:ascii="宋体" w:hAnsi="宋体" w:eastAsia="宋体"/>
                <w:sz w:val="16"/>
              </w:rPr>
              <w:t>&gt;=100人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8B331">
            <w:pPr>
              <w:jc w:val="center"/>
            </w:pPr>
            <w:r>
              <w:rPr>
                <w:rFonts w:hint="eastAsia" w:ascii="宋体" w:hAnsi="宋体"/>
                <w:sz w:val="16"/>
                <w:lang w:eastAsia="zh-CN"/>
              </w:rPr>
              <w:t>喀什国际博览中心</w:t>
            </w:r>
            <w:r>
              <w:rPr>
                <w:rFonts w:ascii="宋体" w:hAnsi="宋体" w:eastAsia="宋体"/>
                <w:sz w:val="16"/>
              </w:rPr>
              <w:t>2024年工作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7262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3E020">
            <w:pPr>
              <w:jc w:val="center"/>
            </w:pPr>
            <w:r>
              <w:rPr>
                <w:rFonts w:ascii="宋体" w:hAnsi="宋体" w:eastAsia="宋体"/>
                <w:sz w:val="16"/>
              </w:rPr>
              <w:t>100人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B8C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60A51">
            <w:pPr>
              <w:jc w:val="center"/>
            </w:pPr>
            <w:r>
              <w:rPr>
                <w:rFonts w:ascii="宋体" w:hAnsi="宋体" w:eastAsia="宋体"/>
                <w:sz w:val="16"/>
              </w:rPr>
              <w:t>20</w:t>
            </w:r>
          </w:p>
        </w:tc>
      </w:tr>
      <w:tr w14:paraId="4C7108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148E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62FB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FE744">
            <w:pPr>
              <w:jc w:val="center"/>
            </w:pPr>
            <w:r>
              <w:rPr>
                <w:rFonts w:ascii="宋体" w:hAnsi="宋体" w:eastAsia="宋体"/>
                <w:sz w:val="16"/>
              </w:rPr>
              <w:t>配合商务局做好参加区内外各类展会活动的场次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3BDCB">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5F095">
            <w:pPr>
              <w:jc w:val="center"/>
            </w:pPr>
            <w:r>
              <w:rPr>
                <w:rFonts w:hint="eastAsia" w:ascii="宋体" w:hAnsi="宋体"/>
                <w:sz w:val="16"/>
                <w:lang w:eastAsia="zh-CN"/>
              </w:rPr>
              <w:t>喀什国际博览中心</w:t>
            </w:r>
            <w:r>
              <w:rPr>
                <w:rFonts w:ascii="宋体" w:hAnsi="宋体" w:eastAsia="宋体"/>
                <w:sz w:val="16"/>
              </w:rPr>
              <w:t>2024年工作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BB36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9021B">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7FE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B26E8">
            <w:pPr>
              <w:jc w:val="center"/>
            </w:pPr>
            <w:r>
              <w:rPr>
                <w:rFonts w:ascii="宋体" w:hAnsi="宋体" w:eastAsia="宋体"/>
                <w:sz w:val="16"/>
              </w:rPr>
              <w:t>15</w:t>
            </w:r>
          </w:p>
        </w:tc>
      </w:tr>
      <w:tr w14:paraId="3795FA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343A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65C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C5CF6">
            <w:pPr>
              <w:jc w:val="center"/>
            </w:pPr>
            <w:r>
              <w:rPr>
                <w:rFonts w:ascii="宋体" w:hAnsi="宋体" w:eastAsia="宋体"/>
                <w:sz w:val="16"/>
              </w:rPr>
              <w:t>展会按时完成率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9E7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44389">
            <w:pPr>
              <w:jc w:val="center"/>
            </w:pPr>
            <w:r>
              <w:rPr>
                <w:rFonts w:hint="eastAsia" w:ascii="宋体" w:hAnsi="宋体"/>
                <w:sz w:val="16"/>
                <w:lang w:eastAsia="zh-CN"/>
              </w:rPr>
              <w:t>喀什国际博览中心</w:t>
            </w:r>
            <w:r>
              <w:rPr>
                <w:rFonts w:ascii="宋体" w:hAnsi="宋体" w:eastAsia="宋体"/>
                <w:sz w:val="16"/>
              </w:rPr>
              <w:t>2024年工作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BC1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A23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0A7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B8579">
            <w:pPr>
              <w:jc w:val="center"/>
            </w:pPr>
            <w:r>
              <w:rPr>
                <w:rFonts w:ascii="宋体" w:hAnsi="宋体" w:eastAsia="宋体"/>
                <w:sz w:val="16"/>
              </w:rPr>
              <w:t>10</w:t>
            </w:r>
          </w:p>
        </w:tc>
      </w:tr>
      <w:tr w14:paraId="5D569C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CFAB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5689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F4C12">
            <w:pPr>
              <w:jc w:val="center"/>
            </w:pPr>
            <w:r>
              <w:rPr>
                <w:rFonts w:ascii="宋体" w:hAnsi="宋体" w:eastAsia="宋体"/>
                <w:sz w:val="16"/>
              </w:rPr>
              <w:t>第十四届“喀交会”布展筹建部筹建项数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ED3B7">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A1F7D">
            <w:pPr>
              <w:jc w:val="center"/>
            </w:pPr>
            <w:r>
              <w:rPr>
                <w:rFonts w:hint="eastAsia" w:ascii="宋体" w:hAnsi="宋体"/>
                <w:sz w:val="16"/>
                <w:lang w:eastAsia="zh-CN"/>
              </w:rPr>
              <w:t>喀什国际博览中心</w:t>
            </w:r>
            <w:r>
              <w:rPr>
                <w:rFonts w:ascii="宋体" w:hAnsi="宋体" w:eastAsia="宋体"/>
                <w:sz w:val="16"/>
              </w:rPr>
              <w:t>2024年工作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FAE92">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CF538">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DFC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07402">
            <w:pPr>
              <w:jc w:val="center"/>
            </w:pPr>
            <w:r>
              <w:rPr>
                <w:rFonts w:ascii="宋体" w:hAnsi="宋体" w:eastAsia="宋体"/>
                <w:sz w:val="16"/>
              </w:rPr>
              <w:t>25</w:t>
            </w:r>
          </w:p>
        </w:tc>
      </w:tr>
    </w:tbl>
    <w:p w14:paraId="3C68C09A">
      <w:r>
        <w:br w:type="page"/>
      </w:r>
    </w:p>
    <w:tbl>
      <w:tblPr>
        <w:tblStyle w:val="9"/>
        <w:tblW w:w="0" w:type="auto"/>
        <w:tblInd w:w="0" w:type="dxa"/>
        <w:tblLayout w:type="autofit"/>
        <w:tblCellMar>
          <w:top w:w="0" w:type="dxa"/>
          <w:left w:w="108" w:type="dxa"/>
          <w:bottom w:w="0" w:type="dxa"/>
          <w:right w:w="108" w:type="dxa"/>
        </w:tblCellMar>
      </w:tblPr>
      <w:tblGrid>
        <w:gridCol w:w="626"/>
        <w:gridCol w:w="618"/>
        <w:gridCol w:w="618"/>
        <w:gridCol w:w="618"/>
        <w:gridCol w:w="856"/>
        <w:gridCol w:w="618"/>
        <w:gridCol w:w="696"/>
        <w:gridCol w:w="622"/>
        <w:gridCol w:w="618"/>
        <w:gridCol w:w="618"/>
        <w:gridCol w:w="696"/>
        <w:gridCol w:w="628"/>
        <w:gridCol w:w="601"/>
        <w:gridCol w:w="627"/>
      </w:tblGrid>
      <w:tr w14:paraId="320DB09B">
        <w:tblPrEx>
          <w:tblCellMar>
            <w:top w:w="0" w:type="dxa"/>
            <w:left w:w="108" w:type="dxa"/>
            <w:bottom w:w="0" w:type="dxa"/>
            <w:right w:w="108" w:type="dxa"/>
          </w:tblCellMar>
        </w:tblPrEx>
        <w:tc>
          <w:tcPr>
            <w:tcW w:w="8848" w:type="dxa"/>
            <w:gridSpan w:val="14"/>
            <w:vAlign w:val="center"/>
          </w:tcPr>
          <w:p w14:paraId="72006F70">
            <w:pPr>
              <w:jc w:val="center"/>
            </w:pPr>
            <w:r>
              <w:rPr>
                <w:rFonts w:ascii="宋体" w:hAnsi="宋体" w:eastAsia="宋体"/>
                <w:sz w:val="24"/>
              </w:rPr>
              <w:t>项目支出绩效自评表</w:t>
            </w:r>
          </w:p>
        </w:tc>
      </w:tr>
      <w:tr w14:paraId="2AC4B3B8">
        <w:tblPrEx>
          <w:tblCellMar>
            <w:top w:w="0" w:type="dxa"/>
            <w:left w:w="108" w:type="dxa"/>
            <w:bottom w:w="0" w:type="dxa"/>
            <w:right w:w="108" w:type="dxa"/>
          </w:tblCellMar>
        </w:tblPrEx>
        <w:tc>
          <w:tcPr>
            <w:tcW w:w="8848" w:type="dxa"/>
            <w:gridSpan w:val="14"/>
            <w:vAlign w:val="center"/>
          </w:tcPr>
          <w:p w14:paraId="1E37DF49">
            <w:pPr>
              <w:jc w:val="center"/>
            </w:pPr>
            <w:r>
              <w:rPr>
                <w:rFonts w:ascii="宋体" w:hAnsi="宋体" w:eastAsia="宋体"/>
                <w:sz w:val="24"/>
              </w:rPr>
              <w:t>(2024年度)</w:t>
            </w:r>
          </w:p>
        </w:tc>
      </w:tr>
      <w:tr w14:paraId="1B9C71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64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669948">
            <w:pPr>
              <w:jc w:val="center"/>
            </w:pPr>
            <w:r>
              <w:rPr>
                <w:rFonts w:ascii="宋体" w:hAnsi="宋体" w:eastAsia="宋体"/>
                <w:sz w:val="16"/>
              </w:rPr>
              <w:t>喀什地区各类展会项目</w:t>
            </w:r>
          </w:p>
        </w:tc>
      </w:tr>
      <w:tr w14:paraId="68DA99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C8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423886">
            <w:pPr>
              <w:jc w:val="center"/>
            </w:pPr>
            <w:r>
              <w:rPr>
                <w:rFonts w:ascii="宋体" w:hAnsi="宋体" w:eastAsia="宋体"/>
                <w:sz w:val="16"/>
              </w:rPr>
              <w:t>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31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DA07CB">
            <w:pPr>
              <w:jc w:val="center"/>
            </w:pPr>
            <w:r>
              <w:rPr>
                <w:rFonts w:ascii="宋体" w:hAnsi="宋体" w:eastAsia="宋体"/>
                <w:sz w:val="16"/>
              </w:rPr>
              <w:t>喀什国际博览中心</w:t>
            </w:r>
          </w:p>
        </w:tc>
      </w:tr>
      <w:tr w14:paraId="18AC91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9D2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02F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511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6D3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BC9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576A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0C7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7FFA">
            <w:pPr>
              <w:jc w:val="center"/>
            </w:pPr>
            <w:r>
              <w:rPr>
                <w:rFonts w:ascii="宋体" w:hAnsi="宋体" w:eastAsia="宋体"/>
                <w:sz w:val="16"/>
              </w:rPr>
              <w:t>得分</w:t>
            </w:r>
          </w:p>
        </w:tc>
      </w:tr>
      <w:tr w14:paraId="27A41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D81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1844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C81A5">
            <w:pPr>
              <w:jc w:val="center"/>
            </w:pPr>
            <w:r>
              <w:rPr>
                <w:rFonts w:ascii="宋体" w:hAnsi="宋体" w:eastAsia="宋体"/>
                <w:sz w:val="16"/>
              </w:rPr>
              <w:t>120.44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EED3F">
            <w:pPr>
              <w:jc w:val="center"/>
            </w:pPr>
            <w:r>
              <w:rPr>
                <w:rFonts w:ascii="宋体" w:hAnsi="宋体" w:eastAsia="宋体"/>
                <w:sz w:val="16"/>
              </w:rPr>
              <w:t>120.44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4066B">
            <w:pPr>
              <w:jc w:val="center"/>
            </w:pPr>
            <w:r>
              <w:rPr>
                <w:rFonts w:ascii="宋体" w:hAnsi="宋体" w:eastAsia="宋体"/>
                <w:sz w:val="16"/>
              </w:rPr>
              <w:t>66.91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FE2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B6516">
            <w:pPr>
              <w:jc w:val="center"/>
            </w:pPr>
            <w:r>
              <w:rPr>
                <w:rFonts w:ascii="宋体" w:hAnsi="宋体" w:eastAsia="宋体"/>
                <w:sz w:val="16"/>
              </w:rPr>
              <w:t>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52D7">
            <w:pPr>
              <w:jc w:val="center"/>
            </w:pPr>
            <w:r>
              <w:rPr>
                <w:rFonts w:ascii="宋体" w:hAnsi="宋体" w:eastAsia="宋体"/>
                <w:sz w:val="16"/>
              </w:rPr>
              <w:t>0.00分</w:t>
            </w:r>
          </w:p>
        </w:tc>
      </w:tr>
      <w:tr w14:paraId="252D68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50E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2DB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9156E">
            <w:pPr>
              <w:jc w:val="center"/>
            </w:pPr>
            <w:r>
              <w:rPr>
                <w:rFonts w:ascii="宋体" w:hAnsi="宋体" w:eastAsia="宋体"/>
                <w:sz w:val="16"/>
              </w:rPr>
              <w:t>120.44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C4E7C">
            <w:pPr>
              <w:jc w:val="center"/>
            </w:pPr>
            <w:r>
              <w:rPr>
                <w:rFonts w:ascii="宋体" w:hAnsi="宋体" w:eastAsia="宋体"/>
                <w:sz w:val="16"/>
              </w:rPr>
              <w:t>120.44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E7198">
            <w:pPr>
              <w:jc w:val="center"/>
            </w:pPr>
            <w:r>
              <w:rPr>
                <w:rFonts w:ascii="宋体" w:hAnsi="宋体" w:eastAsia="宋体"/>
                <w:sz w:val="16"/>
              </w:rPr>
              <w:t>66.91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281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BA2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003E">
            <w:pPr>
              <w:jc w:val="center"/>
            </w:pPr>
            <w:r>
              <w:rPr>
                <w:rFonts w:ascii="宋体" w:hAnsi="宋体" w:eastAsia="宋体"/>
                <w:sz w:val="16"/>
              </w:rPr>
              <w:t>—</w:t>
            </w:r>
          </w:p>
        </w:tc>
      </w:tr>
      <w:tr w14:paraId="267710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975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287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08E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FF5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9B4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0F2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768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9CAE">
            <w:pPr>
              <w:jc w:val="center"/>
            </w:pPr>
            <w:r>
              <w:rPr>
                <w:rFonts w:ascii="宋体" w:hAnsi="宋体" w:eastAsia="宋体"/>
                <w:sz w:val="16"/>
              </w:rPr>
              <w:t>—</w:t>
            </w:r>
          </w:p>
        </w:tc>
      </w:tr>
      <w:tr w14:paraId="47F177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C08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83F6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75A487">
            <w:pPr>
              <w:jc w:val="center"/>
            </w:pPr>
            <w:r>
              <w:rPr>
                <w:rFonts w:ascii="宋体" w:hAnsi="宋体" w:eastAsia="宋体"/>
                <w:sz w:val="16"/>
              </w:rPr>
              <w:t>实际完成情况</w:t>
            </w:r>
          </w:p>
        </w:tc>
      </w:tr>
      <w:tr w14:paraId="7A737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20BA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FE1ED0">
            <w:pPr>
              <w:jc w:val="both"/>
            </w:pPr>
            <w:r>
              <w:rPr>
                <w:rFonts w:ascii="宋体" w:hAnsi="宋体" w:eastAsia="宋体"/>
                <w:sz w:val="16"/>
              </w:rPr>
              <w:t>根据喀什会展实际情况，2024年拟计划举办展会次数不少于2次， 参展企业数量不少于50家，到会客商人数不少于100人，喀什地区计划开展</w:t>
            </w:r>
            <w:r>
              <w:rPr>
                <w:rFonts w:hint="eastAsia" w:ascii="宋体" w:hAnsi="宋体"/>
                <w:sz w:val="16"/>
                <w:lang w:eastAsia="zh-CN"/>
              </w:rPr>
              <w:t>中国—亚欧</w:t>
            </w:r>
            <w:r>
              <w:rPr>
                <w:rFonts w:ascii="宋体" w:hAnsi="宋体" w:eastAsia="宋体"/>
                <w:sz w:val="16"/>
              </w:rPr>
              <w:t>博览会和其他展会，通过举办和参加以上会展活动，积极为喀什对外开放、招</w:t>
            </w:r>
            <w:r>
              <w:rPr>
                <w:rFonts w:hint="eastAsia" w:ascii="宋体" w:hAnsi="宋体"/>
                <w:sz w:val="16"/>
                <w:lang w:eastAsia="zh-CN"/>
              </w:rPr>
              <w:t>商引资</w:t>
            </w:r>
            <w:r>
              <w:rPr>
                <w:rFonts w:ascii="宋体" w:hAnsi="宋体" w:eastAsia="宋体"/>
                <w:sz w:val="16"/>
              </w:rPr>
              <w:t>、产品推介，搭建经贸合作平台，助力喀什经济高质量发展。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09B86A">
            <w:pPr>
              <w:jc w:val="both"/>
            </w:pPr>
            <w:r>
              <w:rPr>
                <w:rFonts w:ascii="宋体" w:hAnsi="宋体" w:eastAsia="宋体"/>
                <w:sz w:val="16"/>
              </w:rPr>
              <w:t>2024年办展次数2次，参展次数3次。本届中国·亚欧博览会共有50个国家和地区及国际组织参展，3200家企业参会参展，组织68家企业完成线上线下企业注册报名及审核，完成各类证件办理共计55个。喀什地区专场推介会暨集中签约上促成30个招</w:t>
            </w:r>
            <w:r>
              <w:rPr>
                <w:rFonts w:hint="eastAsia" w:ascii="宋体" w:hAnsi="宋体"/>
                <w:sz w:val="16"/>
                <w:lang w:eastAsia="zh-CN"/>
              </w:rPr>
              <w:t>商引资</w:t>
            </w:r>
            <w:r>
              <w:rPr>
                <w:rFonts w:ascii="宋体" w:hAnsi="宋体" w:eastAsia="宋体"/>
                <w:sz w:val="16"/>
              </w:rPr>
              <w:t>项目成功签约，签约总额达150.03亿元，累计对接拜访各类企业及机构200家。设有投资合作、国际、特色产业和装备制造4个展区，展品涵盖11个领域、20多个大类，超过6000多种产品。喀什地区通过举办</w:t>
            </w:r>
            <w:r>
              <w:rPr>
                <w:rFonts w:hint="eastAsia" w:ascii="宋体" w:hAnsi="宋体"/>
                <w:sz w:val="16"/>
                <w:lang w:eastAsia="zh-CN"/>
              </w:rPr>
              <w:t>中国—亚欧</w:t>
            </w:r>
            <w:r>
              <w:rPr>
                <w:rFonts w:ascii="宋体" w:hAnsi="宋体" w:eastAsia="宋体"/>
                <w:sz w:val="16"/>
              </w:rPr>
              <w:t>博览会和参加其他展会，带动相关产业发展，拉动经济消费能力，提升喀什地区的知名度和影响力，促进城市的可持续发展，成功助力喀什经济高质量发展。</w:t>
            </w:r>
          </w:p>
        </w:tc>
      </w:tr>
      <w:tr w14:paraId="58F427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4384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F4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D0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1C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7BE5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AB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66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89D4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8C7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E3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1AD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43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CDD44">
            <w:pPr>
              <w:jc w:val="center"/>
            </w:pPr>
            <w:r>
              <w:rPr>
                <w:rFonts w:ascii="宋体" w:hAnsi="宋体" w:eastAsia="宋体"/>
                <w:sz w:val="16"/>
              </w:rPr>
              <w:t>偏差原因分析及改进措施</w:t>
            </w:r>
          </w:p>
        </w:tc>
      </w:tr>
      <w:tr w14:paraId="052762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B9F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1ADF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A5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422B">
            <w:pPr>
              <w:jc w:val="center"/>
            </w:pPr>
            <w:r>
              <w:rPr>
                <w:rFonts w:ascii="宋体" w:hAnsi="宋体" w:eastAsia="宋体"/>
                <w:sz w:val="16"/>
              </w:rPr>
              <w:t>举办展会次数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205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B66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B39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882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A51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B21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FDE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139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78BCB">
            <w:pPr>
              <w:jc w:val="center"/>
            </w:pPr>
          </w:p>
        </w:tc>
      </w:tr>
      <w:tr w14:paraId="62B9F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7EC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5A6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31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667D">
            <w:pPr>
              <w:jc w:val="center"/>
            </w:pPr>
            <w:r>
              <w:rPr>
                <w:rFonts w:ascii="宋体" w:hAnsi="宋体" w:eastAsia="宋体"/>
                <w:sz w:val="16"/>
              </w:rPr>
              <w:t>展会邀请人员出勤率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D9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E49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5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A40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C6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05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8C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5D8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88D05">
            <w:pPr>
              <w:jc w:val="center"/>
            </w:pPr>
          </w:p>
        </w:tc>
      </w:tr>
      <w:tr w14:paraId="0F195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7C5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24A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13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91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F1C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41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0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8B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27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00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180C">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828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C677C">
            <w:pPr>
              <w:jc w:val="center"/>
            </w:pPr>
          </w:p>
        </w:tc>
      </w:tr>
      <w:tr w14:paraId="79308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B6C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46FB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B1D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1DC50">
            <w:pPr>
              <w:jc w:val="center"/>
            </w:pPr>
            <w:r>
              <w:rPr>
                <w:rFonts w:ascii="宋体" w:hAnsi="宋体" w:eastAsia="宋体"/>
                <w:sz w:val="16"/>
              </w:rPr>
              <w:t>举办</w:t>
            </w:r>
            <w:r>
              <w:rPr>
                <w:rFonts w:hint="eastAsia" w:ascii="宋体" w:hAnsi="宋体"/>
                <w:sz w:val="16"/>
                <w:lang w:eastAsia="zh-CN"/>
              </w:rPr>
              <w:t>中国—亚欧</w:t>
            </w:r>
            <w:r>
              <w:rPr>
                <w:rFonts w:ascii="宋体" w:hAnsi="宋体" w:eastAsia="宋体"/>
                <w:sz w:val="16"/>
              </w:rPr>
              <w:t>博览会展会成本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38C2">
            <w:pPr>
              <w:jc w:val="center"/>
            </w:pPr>
            <w:r>
              <w:rPr>
                <w:rFonts w:ascii="宋体" w:hAnsi="宋体" w:eastAsia="宋体"/>
                <w:sz w:val="16"/>
              </w:rPr>
              <w:t>&lt;=113.44万元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49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3997">
            <w:pPr>
              <w:jc w:val="center"/>
            </w:pPr>
            <w:r>
              <w:rPr>
                <w:rFonts w:ascii="宋体" w:hAnsi="宋体" w:eastAsia="宋体"/>
                <w:sz w:val="16"/>
              </w:rPr>
              <w:t>110.58万元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CB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FD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1F6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B21E">
            <w:pPr>
              <w:jc w:val="center"/>
            </w:pPr>
            <w:r>
              <w:rPr>
                <w:rFonts w:ascii="宋体" w:hAnsi="宋体" w:eastAsia="宋体"/>
                <w:sz w:val="16"/>
              </w:rPr>
              <w:t>=64.85万元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54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5B802">
            <w:pPr>
              <w:jc w:val="center"/>
            </w:pPr>
            <w:r>
              <w:rPr>
                <w:rFonts w:ascii="宋体" w:hAnsi="宋体" w:eastAsia="宋体"/>
                <w:sz w:val="16"/>
              </w:rPr>
              <w:t>偏差原因：因亚博会组委会对各地州形象展区面积进行统一调减，导致预算金额与执行金额差距较大；改进措施：根据项目实际情况及时调整。</w:t>
            </w:r>
          </w:p>
        </w:tc>
      </w:tr>
      <w:tr w14:paraId="50239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7A0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D14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67D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0650F">
            <w:pPr>
              <w:jc w:val="center"/>
            </w:pPr>
            <w:r>
              <w:rPr>
                <w:rFonts w:ascii="宋体" w:hAnsi="宋体" w:eastAsia="宋体"/>
                <w:sz w:val="16"/>
              </w:rPr>
              <w:t>举办其他展会成本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8248">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C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3819">
            <w:pPr>
              <w:jc w:val="center"/>
            </w:pPr>
            <w:r>
              <w:rPr>
                <w:rFonts w:ascii="宋体" w:hAnsi="宋体" w:eastAsia="宋体"/>
                <w:sz w:val="16"/>
              </w:rPr>
              <w:t>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27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7D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CE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F33B">
            <w:pPr>
              <w:jc w:val="center"/>
            </w:pPr>
            <w:r>
              <w:rPr>
                <w:rFonts w:ascii="宋体" w:hAnsi="宋体" w:eastAsia="宋体"/>
                <w:sz w:val="16"/>
              </w:rPr>
              <w:t>=2.06万元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76D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43C8D">
            <w:pPr>
              <w:jc w:val="center"/>
            </w:pPr>
            <w:r>
              <w:rPr>
                <w:rFonts w:ascii="宋体" w:hAnsi="宋体" w:eastAsia="宋体"/>
                <w:sz w:val="16"/>
              </w:rPr>
              <w:t>偏差原因：因地区参加的其他展会要根据行署分管领导批示，具体工作职责不确定，预算存在不确定因素；改进措施：根据项目实际情况及时调整。</w:t>
            </w:r>
          </w:p>
        </w:tc>
      </w:tr>
      <w:tr w14:paraId="06E63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B14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FDEB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A4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0A92">
            <w:pPr>
              <w:jc w:val="center"/>
            </w:pPr>
            <w:r>
              <w:rPr>
                <w:rFonts w:ascii="宋体" w:hAnsi="宋体" w:eastAsia="宋体"/>
                <w:sz w:val="16"/>
              </w:rPr>
              <w:t>提高喀什地区经济社会发展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0B62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BF2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F996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0F4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17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73C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444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ADD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3211F">
            <w:pPr>
              <w:jc w:val="center"/>
            </w:pPr>
          </w:p>
        </w:tc>
      </w:tr>
      <w:tr w14:paraId="08B4B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FB4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81D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97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086D">
            <w:pPr>
              <w:jc w:val="center"/>
            </w:pPr>
            <w:r>
              <w:rPr>
                <w:rFonts w:ascii="宋体" w:hAnsi="宋体" w:eastAsia="宋体"/>
                <w:sz w:val="16"/>
              </w:rPr>
              <w:t>参加展会人员满意度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E28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5BF2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E9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3F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6C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34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A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BD6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C7C5A">
            <w:pPr>
              <w:jc w:val="center"/>
            </w:pPr>
          </w:p>
        </w:tc>
      </w:tr>
      <w:tr w14:paraId="228BAB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544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7F8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F4DB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E8AB">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DA9B67"/>
        </w:tc>
      </w:tr>
    </w:tbl>
    <w:p w14:paraId="65200C8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0C0BB6F">
        <w:tblPrEx>
          <w:tblCellMar>
            <w:top w:w="0" w:type="dxa"/>
            <w:left w:w="108" w:type="dxa"/>
            <w:bottom w:w="0" w:type="dxa"/>
            <w:right w:w="108" w:type="dxa"/>
          </w:tblCellMar>
        </w:tblPrEx>
        <w:tc>
          <w:tcPr>
            <w:tcW w:w="8848" w:type="dxa"/>
            <w:gridSpan w:val="14"/>
            <w:vAlign w:val="center"/>
          </w:tcPr>
          <w:p w14:paraId="52EACAD6">
            <w:pPr>
              <w:jc w:val="center"/>
            </w:pPr>
            <w:r>
              <w:rPr>
                <w:rFonts w:ascii="宋体" w:hAnsi="宋体" w:eastAsia="宋体"/>
                <w:sz w:val="24"/>
              </w:rPr>
              <w:t>项目支出绩效自评表</w:t>
            </w:r>
          </w:p>
        </w:tc>
      </w:tr>
      <w:tr w14:paraId="1C55C3B1">
        <w:tblPrEx>
          <w:tblCellMar>
            <w:top w:w="0" w:type="dxa"/>
            <w:left w:w="108" w:type="dxa"/>
            <w:bottom w:w="0" w:type="dxa"/>
            <w:right w:w="108" w:type="dxa"/>
          </w:tblCellMar>
        </w:tblPrEx>
        <w:tc>
          <w:tcPr>
            <w:tcW w:w="8848" w:type="dxa"/>
            <w:gridSpan w:val="14"/>
            <w:vAlign w:val="center"/>
          </w:tcPr>
          <w:p w14:paraId="56E14DBD">
            <w:pPr>
              <w:jc w:val="center"/>
            </w:pPr>
            <w:r>
              <w:rPr>
                <w:rFonts w:ascii="宋体" w:hAnsi="宋体" w:eastAsia="宋体"/>
                <w:sz w:val="24"/>
              </w:rPr>
              <w:t>(2024年度)</w:t>
            </w:r>
          </w:p>
        </w:tc>
      </w:tr>
      <w:tr w14:paraId="409829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5D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59B1D2">
            <w:pPr>
              <w:jc w:val="center"/>
            </w:pPr>
            <w:r>
              <w:rPr>
                <w:rFonts w:ascii="宋体" w:hAnsi="宋体" w:eastAsia="宋体"/>
                <w:sz w:val="16"/>
              </w:rPr>
              <w:t>电子政务内网建设项目</w:t>
            </w:r>
          </w:p>
        </w:tc>
      </w:tr>
      <w:tr w14:paraId="0071FB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87F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FC5D4E">
            <w:pPr>
              <w:jc w:val="center"/>
            </w:pPr>
            <w:r>
              <w:rPr>
                <w:rFonts w:ascii="宋体" w:hAnsi="宋体" w:eastAsia="宋体"/>
                <w:sz w:val="16"/>
              </w:rPr>
              <w:t>喀什地区行政公署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61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53584B">
            <w:pPr>
              <w:jc w:val="center"/>
            </w:pPr>
            <w:r>
              <w:rPr>
                <w:rFonts w:ascii="宋体" w:hAnsi="宋体" w:eastAsia="宋体"/>
                <w:sz w:val="16"/>
              </w:rPr>
              <w:t>喀什国际博览中心</w:t>
            </w:r>
          </w:p>
        </w:tc>
      </w:tr>
      <w:tr w14:paraId="7CD42E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0BD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03F9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CFA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2C4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437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5D6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921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5AD3D">
            <w:pPr>
              <w:jc w:val="center"/>
            </w:pPr>
            <w:r>
              <w:rPr>
                <w:rFonts w:ascii="宋体" w:hAnsi="宋体" w:eastAsia="宋体"/>
                <w:sz w:val="16"/>
              </w:rPr>
              <w:t>得分</w:t>
            </w:r>
          </w:p>
        </w:tc>
      </w:tr>
      <w:tr w14:paraId="0C4972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74C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B27B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96E8C">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8786C">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14D0D">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F3C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059D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C708">
            <w:pPr>
              <w:jc w:val="center"/>
            </w:pPr>
            <w:r>
              <w:rPr>
                <w:rFonts w:ascii="宋体" w:hAnsi="宋体" w:eastAsia="宋体"/>
                <w:sz w:val="16"/>
              </w:rPr>
              <w:t>10.00分</w:t>
            </w:r>
          </w:p>
        </w:tc>
      </w:tr>
      <w:tr w14:paraId="35483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4F2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179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EF8C0">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D1EEF">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CEB5D">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8526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DA2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30E9">
            <w:pPr>
              <w:jc w:val="center"/>
            </w:pPr>
            <w:r>
              <w:rPr>
                <w:rFonts w:ascii="宋体" w:hAnsi="宋体" w:eastAsia="宋体"/>
                <w:sz w:val="16"/>
              </w:rPr>
              <w:t>—</w:t>
            </w:r>
          </w:p>
        </w:tc>
      </w:tr>
      <w:tr w14:paraId="49288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5DA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306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423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596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CF2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84E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F5F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C2E2">
            <w:pPr>
              <w:jc w:val="center"/>
            </w:pPr>
            <w:r>
              <w:rPr>
                <w:rFonts w:ascii="宋体" w:hAnsi="宋体" w:eastAsia="宋体"/>
                <w:sz w:val="16"/>
              </w:rPr>
              <w:t>—</w:t>
            </w:r>
          </w:p>
        </w:tc>
      </w:tr>
      <w:tr w14:paraId="7EF266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A8E7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CB20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FAA1D9">
            <w:pPr>
              <w:jc w:val="center"/>
            </w:pPr>
            <w:r>
              <w:rPr>
                <w:rFonts w:ascii="宋体" w:hAnsi="宋体" w:eastAsia="宋体"/>
                <w:sz w:val="16"/>
              </w:rPr>
              <w:t>实际完成情况</w:t>
            </w:r>
          </w:p>
        </w:tc>
      </w:tr>
      <w:tr w14:paraId="76A52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642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AB2DCF">
            <w:pPr>
              <w:jc w:val="both"/>
            </w:pPr>
            <w:r>
              <w:rPr>
                <w:rFonts w:ascii="宋体" w:hAnsi="宋体" w:eastAsia="宋体"/>
                <w:sz w:val="16"/>
              </w:rPr>
              <w:t>本项目根据自治区国家保密局、地区保密局《关于加快电子政务内网（涉密域）建设的通知》要求，为了做好保密工作，配套分保测评终端计算机软件、进一步提升信息系统安全传输保障。本项目符合国家、自治区以及喀什地区等相关政策、规划和法律法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C73D70">
            <w:pPr>
              <w:jc w:val="both"/>
            </w:pPr>
            <w:r>
              <w:rPr>
                <w:rFonts w:ascii="宋体" w:hAnsi="宋体" w:eastAsia="宋体"/>
                <w:sz w:val="16"/>
              </w:rPr>
              <w:t>本项目主要用于购置设备1批，提供技术服务1项，项目实施过程中严格按照实施方案并及时进行监督管理，项目实施后进行及时验收及后期维护，全面落实好工作人员的人防、物防措施，确保涉密信息不泄露。</w:t>
            </w:r>
          </w:p>
        </w:tc>
      </w:tr>
      <w:tr w14:paraId="51F88D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6F24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5FA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7E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C4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8A2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8FF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1C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2E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E2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0F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F1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FD3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90700">
            <w:pPr>
              <w:jc w:val="center"/>
            </w:pPr>
            <w:r>
              <w:rPr>
                <w:rFonts w:ascii="宋体" w:hAnsi="宋体" w:eastAsia="宋体"/>
                <w:sz w:val="16"/>
              </w:rPr>
              <w:t>偏差原因分析及改进措施</w:t>
            </w:r>
          </w:p>
        </w:tc>
      </w:tr>
      <w:tr w14:paraId="775C52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CE5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CC2C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8EA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6F54">
            <w:pPr>
              <w:jc w:val="center"/>
            </w:pPr>
            <w:r>
              <w:rPr>
                <w:rFonts w:ascii="宋体" w:hAnsi="宋体" w:eastAsia="宋体"/>
                <w:sz w:val="16"/>
              </w:rPr>
              <w:t>技术服务数量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AF53">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B4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0C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EC1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9A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CE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4886">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FCD3">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C1943">
            <w:pPr>
              <w:jc w:val="center"/>
            </w:pPr>
          </w:p>
        </w:tc>
      </w:tr>
      <w:tr w14:paraId="53F77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23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AF0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08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1A11">
            <w:pPr>
              <w:jc w:val="center"/>
            </w:pPr>
            <w:r>
              <w:rPr>
                <w:rFonts w:ascii="宋体" w:hAnsi="宋体" w:eastAsia="宋体"/>
                <w:sz w:val="16"/>
              </w:rPr>
              <w:t>技术服务合格率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8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DC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14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ACFD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A1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18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A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7F390">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C81E8">
            <w:pPr>
              <w:jc w:val="center"/>
            </w:pPr>
          </w:p>
        </w:tc>
      </w:tr>
      <w:tr w14:paraId="47F75B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08A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EFC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FF3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B74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E774">
            <w:pPr>
              <w:jc w:val="center"/>
            </w:pPr>
            <w:r>
              <w:rPr>
                <w:rFonts w:ascii="宋体" w:hAnsi="宋体" w:eastAsia="宋体"/>
                <w:sz w:val="16"/>
              </w:rPr>
              <w:t>=2024年8月20日前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6F8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4E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7C0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42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14F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ED7A">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71C6">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922F3">
            <w:pPr>
              <w:jc w:val="center"/>
            </w:pPr>
          </w:p>
        </w:tc>
      </w:tr>
      <w:tr w14:paraId="233CE6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AEA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D9C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FD4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C83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0B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45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AE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E62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C88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B3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30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0EAF">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35AE1">
            <w:pPr>
              <w:jc w:val="center"/>
            </w:pPr>
          </w:p>
        </w:tc>
      </w:tr>
      <w:tr w14:paraId="7A664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822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87A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AB5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74FE">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45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6C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5A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42C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EC0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86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5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25D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F68CA">
            <w:pPr>
              <w:jc w:val="center"/>
            </w:pPr>
          </w:p>
        </w:tc>
      </w:tr>
      <w:tr w14:paraId="59DA1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C22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700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531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E1FD">
            <w:pPr>
              <w:jc w:val="center"/>
            </w:pPr>
            <w:r>
              <w:rPr>
                <w:rFonts w:ascii="宋体" w:hAnsi="宋体" w:eastAsia="宋体"/>
                <w:sz w:val="16"/>
              </w:rPr>
              <w:t>提高信息化服务能力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71F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EA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95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E60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40C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EE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D6CB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147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A6EC3">
            <w:pPr>
              <w:jc w:val="center"/>
            </w:pPr>
          </w:p>
        </w:tc>
      </w:tr>
      <w:tr w14:paraId="7CB23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A2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C43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5F9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A455">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FAB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62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9A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E7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49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86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F6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5B9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61373">
            <w:pPr>
              <w:jc w:val="center"/>
            </w:pPr>
            <w:r>
              <w:rPr>
                <w:rFonts w:ascii="宋体" w:hAnsi="宋体" w:eastAsia="宋体"/>
                <w:sz w:val="16"/>
              </w:rPr>
              <w:t>偏差原因：指标设置过低，相关人员对项目实施较满意，超过预期。</w:t>
            </w:r>
          </w:p>
        </w:tc>
      </w:tr>
      <w:tr w14:paraId="5F63854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1D2B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47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B56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7A2B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E6ECB3"/>
        </w:tc>
      </w:tr>
    </w:tbl>
    <w:p w14:paraId="3DFDD652">
      <w:r>
        <w:br w:type="page"/>
      </w:r>
    </w:p>
    <w:p w14:paraId="21FE3EBE">
      <w:pPr>
        <w:spacing w:line="640" w:lineRule="exact"/>
        <w:ind w:firstLine="640"/>
        <w:jc w:val="both"/>
        <w:outlineLvl w:val="2"/>
      </w:pPr>
      <w:r>
        <w:rPr>
          <w:rFonts w:ascii="黑体" w:hAnsi="黑体" w:eastAsia="黑体"/>
          <w:sz w:val="32"/>
        </w:rPr>
        <w:t>十二、其他需说明的事项</w:t>
      </w:r>
    </w:p>
    <w:p w14:paraId="1D0DC5DB">
      <w:pPr>
        <w:spacing w:line="580" w:lineRule="exact"/>
        <w:ind w:firstLine="640"/>
        <w:jc w:val="both"/>
      </w:pPr>
      <w:r>
        <w:rPr>
          <w:rFonts w:ascii="仿宋_GB2312" w:hAnsi="仿宋_GB2312" w:eastAsia="仿宋_GB2312"/>
          <w:b w:val="0"/>
          <w:sz w:val="32"/>
        </w:rPr>
        <w:t>本部门无其他需说明的事项。</w:t>
      </w:r>
    </w:p>
    <w:p w14:paraId="3740FE3C">
      <w:r>
        <w:br w:type="page"/>
      </w:r>
    </w:p>
    <w:p w14:paraId="7BF0F526">
      <w:pPr>
        <w:spacing w:line="240" w:lineRule="auto"/>
        <w:jc w:val="center"/>
        <w:outlineLvl w:val="1"/>
      </w:pPr>
      <w:r>
        <w:rPr>
          <w:rFonts w:ascii="黑体" w:hAnsi="黑体" w:eastAsia="黑体"/>
          <w:sz w:val="32"/>
        </w:rPr>
        <w:t>第三部分 专业名词解释</w:t>
      </w:r>
    </w:p>
    <w:p w14:paraId="4C10E68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99E479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5081FD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74639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E14C2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3A9D6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BFD7E7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B77A7A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D391A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A0B2DA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BB59EA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1CA1F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5E0037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9DEC85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997CE67">
      <w:r>
        <w:br w:type="page"/>
      </w:r>
    </w:p>
    <w:p w14:paraId="05A81DBD">
      <w:pPr>
        <w:spacing w:line="240" w:lineRule="auto"/>
        <w:jc w:val="center"/>
        <w:outlineLvl w:val="1"/>
      </w:pPr>
      <w:r>
        <w:rPr>
          <w:rFonts w:ascii="黑体" w:hAnsi="黑体" w:eastAsia="黑体"/>
          <w:sz w:val="32"/>
        </w:rPr>
        <w:t>第四部分 部门决算报表（见附表）</w:t>
      </w:r>
    </w:p>
    <w:p w14:paraId="10AAB404">
      <w:pPr>
        <w:spacing w:line="240" w:lineRule="auto"/>
        <w:ind w:firstLine="640"/>
        <w:jc w:val="both"/>
      </w:pPr>
      <w:r>
        <w:rPr>
          <w:rFonts w:ascii="仿宋_GB2312" w:hAnsi="仿宋_GB2312" w:eastAsia="仿宋_GB2312"/>
          <w:b w:val="0"/>
          <w:sz w:val="32"/>
        </w:rPr>
        <w:t>一、《收入支出决算总表》</w:t>
      </w:r>
    </w:p>
    <w:p w14:paraId="5A828469">
      <w:pPr>
        <w:spacing w:line="240" w:lineRule="auto"/>
        <w:ind w:firstLine="640"/>
        <w:jc w:val="both"/>
      </w:pPr>
      <w:r>
        <w:rPr>
          <w:rFonts w:ascii="仿宋_GB2312" w:hAnsi="仿宋_GB2312" w:eastAsia="仿宋_GB2312"/>
          <w:b w:val="0"/>
          <w:sz w:val="32"/>
        </w:rPr>
        <w:t>二、《收入决算表》</w:t>
      </w:r>
    </w:p>
    <w:p w14:paraId="4389D771">
      <w:pPr>
        <w:spacing w:line="240" w:lineRule="auto"/>
        <w:ind w:firstLine="640"/>
        <w:jc w:val="both"/>
      </w:pPr>
      <w:r>
        <w:rPr>
          <w:rFonts w:ascii="仿宋_GB2312" w:hAnsi="仿宋_GB2312" w:eastAsia="仿宋_GB2312"/>
          <w:b w:val="0"/>
          <w:sz w:val="32"/>
        </w:rPr>
        <w:t>三、《支出决算表》</w:t>
      </w:r>
    </w:p>
    <w:p w14:paraId="5B0C8F2C">
      <w:pPr>
        <w:spacing w:line="240" w:lineRule="auto"/>
        <w:ind w:firstLine="640"/>
        <w:jc w:val="both"/>
      </w:pPr>
      <w:r>
        <w:rPr>
          <w:rFonts w:ascii="仿宋_GB2312" w:hAnsi="仿宋_GB2312" w:eastAsia="仿宋_GB2312"/>
          <w:b w:val="0"/>
          <w:sz w:val="32"/>
        </w:rPr>
        <w:t>四、《财政拨款收入支出决算总表》</w:t>
      </w:r>
    </w:p>
    <w:p w14:paraId="481AF43A">
      <w:pPr>
        <w:spacing w:line="240" w:lineRule="auto"/>
        <w:ind w:firstLine="640"/>
        <w:jc w:val="both"/>
      </w:pPr>
      <w:r>
        <w:rPr>
          <w:rFonts w:ascii="仿宋_GB2312" w:hAnsi="仿宋_GB2312" w:eastAsia="仿宋_GB2312"/>
          <w:b w:val="0"/>
          <w:sz w:val="32"/>
        </w:rPr>
        <w:t>五、《一般公共预算财政拨款支出决算表》</w:t>
      </w:r>
    </w:p>
    <w:p w14:paraId="65373130">
      <w:pPr>
        <w:spacing w:line="240" w:lineRule="auto"/>
        <w:ind w:firstLine="640"/>
        <w:jc w:val="both"/>
      </w:pPr>
      <w:r>
        <w:rPr>
          <w:rFonts w:ascii="仿宋_GB2312" w:hAnsi="仿宋_GB2312" w:eastAsia="仿宋_GB2312"/>
          <w:b w:val="0"/>
          <w:sz w:val="32"/>
        </w:rPr>
        <w:t>六、《一般公共预算财政拨款基本支出决算表》</w:t>
      </w:r>
    </w:p>
    <w:p w14:paraId="204F7253">
      <w:pPr>
        <w:spacing w:line="240" w:lineRule="auto"/>
        <w:ind w:firstLine="640"/>
        <w:jc w:val="both"/>
      </w:pPr>
      <w:r>
        <w:rPr>
          <w:rFonts w:ascii="仿宋_GB2312" w:hAnsi="仿宋_GB2312" w:eastAsia="仿宋_GB2312"/>
          <w:b w:val="0"/>
          <w:sz w:val="32"/>
        </w:rPr>
        <w:t>七、《政府性基金预算财政拨款收入支出决算表》</w:t>
      </w:r>
    </w:p>
    <w:p w14:paraId="59CBA9C4">
      <w:pPr>
        <w:spacing w:line="240" w:lineRule="auto"/>
        <w:ind w:firstLine="640"/>
        <w:jc w:val="both"/>
      </w:pPr>
      <w:r>
        <w:rPr>
          <w:rFonts w:ascii="仿宋_GB2312" w:hAnsi="仿宋_GB2312" w:eastAsia="仿宋_GB2312"/>
          <w:b w:val="0"/>
          <w:sz w:val="32"/>
        </w:rPr>
        <w:t>八、《国有资本经营预算财政拨款收入支出决算表》</w:t>
      </w:r>
    </w:p>
    <w:p w14:paraId="367CBF2F">
      <w:pPr>
        <w:spacing w:line="240" w:lineRule="auto"/>
        <w:ind w:firstLine="640"/>
        <w:jc w:val="both"/>
      </w:pPr>
      <w:r>
        <w:rPr>
          <w:rFonts w:ascii="仿宋_GB2312" w:hAnsi="仿宋_GB2312" w:eastAsia="仿宋_GB2312"/>
          <w:b w:val="0"/>
          <w:sz w:val="32"/>
        </w:rPr>
        <w:t>九、《财政拨款“三公”经费支出决算表》</w:t>
      </w:r>
    </w:p>
    <w:p w14:paraId="57DC1519">
      <w:pPr>
        <w:spacing w:line="240" w:lineRule="auto"/>
        <w:ind w:firstLine="640"/>
        <w:jc w:val="both"/>
      </w:pPr>
    </w:p>
    <w:p w14:paraId="621A5AB2">
      <w:pPr>
        <w:spacing w:line="240" w:lineRule="auto"/>
        <w:ind w:firstLine="640"/>
        <w:jc w:val="both"/>
      </w:pPr>
    </w:p>
    <w:p w14:paraId="42856BD7">
      <w:pPr>
        <w:spacing w:line="240" w:lineRule="auto"/>
        <w:ind w:firstLine="640"/>
        <w:jc w:val="both"/>
      </w:pPr>
    </w:p>
    <w:p w14:paraId="77BA5F3E">
      <w:pPr>
        <w:spacing w:line="240" w:lineRule="auto"/>
        <w:ind w:firstLine="640"/>
        <w:jc w:val="both"/>
      </w:pPr>
    </w:p>
    <w:p w14:paraId="729F4A7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38">
    <w:panose1 w:val="02000000000000000000"/>
    <w:charset w:val="86"/>
    <w:family w:val="auto"/>
    <w:pitch w:val="default"/>
    <w:sig w:usb0="A00002BF" w:usb1="38CF7CFA" w:usb2="00082016" w:usb3="00000000" w:csb0="00040001" w:csb1="00000000"/>
  </w:font>
  <w:font w:name="WPSEMBED37">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CE44D1"/>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BC4AF4"/>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4773</Words>
  <Characters>5424</Characters>
  <Lines>0</Lines>
  <Paragraphs>0</Paragraphs>
  <TotalTime>3</TotalTime>
  <ScaleCrop>false</ScaleCrop>
  <LinksUpToDate>false</LinksUpToDate>
  <CharactersWithSpaces>5432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2025-09-04T04:57:29Z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