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喀什地区产品质量检验所2024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6E1634">
      <w:r>
        <w:br w:type="page"/>
      </w:r>
    </w:p>
    <w:p w14:paraId="2041A9D4">
      <w:pPr>
        <w:spacing w:line="640" w:lineRule="exact"/>
        <w:jc w:val="center"/>
        <w:outlineLvl w:val="1"/>
      </w:pPr>
      <w:r>
        <w:rPr>
          <w:rFonts w:ascii="黑体" w:hAnsi="黑体" w:eastAsia="黑体"/>
          <w:sz w:val="32"/>
        </w:rPr>
        <w:t>第一部分 部门概况</w:t>
      </w:r>
    </w:p>
    <w:p w14:paraId="0434236A">
      <w:pPr>
        <w:spacing w:line="640" w:lineRule="exact"/>
        <w:ind w:firstLine="640"/>
        <w:jc w:val="both"/>
        <w:outlineLvl w:val="2"/>
      </w:pPr>
      <w:r>
        <w:rPr>
          <w:rFonts w:ascii="黑体" w:hAnsi="黑体" w:eastAsia="黑体"/>
          <w:sz w:val="32"/>
        </w:rPr>
        <w:t>一、主要职能</w:t>
      </w:r>
    </w:p>
    <w:p w14:paraId="6505E365">
      <w:pPr>
        <w:spacing w:line="580" w:lineRule="exact"/>
        <w:ind w:firstLine="640"/>
        <w:jc w:val="both"/>
      </w:pPr>
      <w:r>
        <w:rPr>
          <w:rFonts w:ascii="仿宋_GB2312" w:hAnsi="仿宋_GB2312" w:eastAsia="仿宋_GB2312"/>
          <w:sz w:val="32"/>
        </w:rPr>
        <w:t>喀什地区产品质量检验所是依法建立的法定专职检验机构，主要承担国家和自治区下达的产(商)品质量监督抽查和统检任务；承接各类产（商）品质量的委托检验；承担对本地区受检目录中的各类产品定期或不定期的监督检验；受行政、执法部门委托，承担相关产品的日常监督检查；承担部分食品生产许可证发证检验；承担和参与企业标准的制定、修订和有关标准的实验验证工作；培训检验技术人员，开展检验方法和检验制度的技术咨询工作；指导帮助企业建立和健全质量保证体系，执行正确统一的检测方法；对各县（市）局的检验机构进行业务技术指导。</w:t>
      </w:r>
    </w:p>
    <w:p w14:paraId="50461793">
      <w:pPr>
        <w:spacing w:line="640" w:lineRule="exact"/>
        <w:ind w:firstLine="640"/>
        <w:jc w:val="both"/>
        <w:outlineLvl w:val="2"/>
      </w:pPr>
      <w:r>
        <w:rPr>
          <w:rFonts w:ascii="黑体" w:hAnsi="黑体" w:eastAsia="黑体"/>
          <w:sz w:val="32"/>
        </w:rPr>
        <w:t>二、机构设置及人员情况</w:t>
      </w:r>
    </w:p>
    <w:p w14:paraId="16918EA8">
      <w:pPr>
        <w:spacing w:line="580" w:lineRule="exact"/>
        <w:ind w:firstLine="640"/>
        <w:jc w:val="both"/>
      </w:pPr>
      <w:r>
        <w:rPr>
          <w:rFonts w:ascii="仿宋_GB2312" w:hAnsi="仿宋_GB2312" w:eastAsia="仿宋_GB2312"/>
          <w:sz w:val="32"/>
        </w:rPr>
        <w:t>喀什地区产品质量检验所2024年度，实有人数37人，其中：在职人员31人，增加0人；离休人员0人，增加0人；退休人员6人,增加0人。</w:t>
      </w:r>
    </w:p>
    <w:p w14:paraId="58DC422D">
      <w:pPr>
        <w:spacing w:line="580" w:lineRule="exact"/>
        <w:ind w:firstLine="640"/>
        <w:jc w:val="both"/>
      </w:pPr>
      <w:r>
        <w:rPr>
          <w:rFonts w:ascii="仿宋_GB2312" w:hAnsi="仿宋_GB2312" w:eastAsia="仿宋_GB2312"/>
          <w:sz w:val="32"/>
        </w:rPr>
        <w:t>喀什地区产品质量检验所无下属预算单位，下设6个科室，分别是：办公室、分析室、建材室、轻工室、电器室、质保室。</w:t>
      </w:r>
    </w:p>
    <w:p w14:paraId="4B333540">
      <w:r>
        <w:br w:type="page"/>
      </w:r>
    </w:p>
    <w:p w14:paraId="300EFB26">
      <w:pPr>
        <w:spacing w:line="240" w:lineRule="auto"/>
        <w:jc w:val="center"/>
        <w:outlineLvl w:val="1"/>
      </w:pPr>
      <w:r>
        <w:rPr>
          <w:rFonts w:ascii="黑体" w:hAnsi="黑体" w:eastAsia="黑体"/>
          <w:sz w:val="32"/>
        </w:rPr>
        <w:t>第二部分 部门决算情况说明</w:t>
      </w:r>
    </w:p>
    <w:p w14:paraId="24C81595">
      <w:pPr>
        <w:spacing w:line="640" w:lineRule="exact"/>
        <w:ind w:firstLine="640"/>
        <w:jc w:val="both"/>
        <w:outlineLvl w:val="2"/>
      </w:pPr>
      <w:r>
        <w:rPr>
          <w:rFonts w:ascii="黑体" w:hAnsi="黑体" w:eastAsia="黑体"/>
          <w:sz w:val="32"/>
        </w:rPr>
        <w:t>一、收入支出决算总体情况说明</w:t>
      </w:r>
    </w:p>
    <w:p w14:paraId="5E9260C1">
      <w:pPr>
        <w:spacing w:line="580" w:lineRule="exact"/>
        <w:ind w:firstLine="640"/>
        <w:jc w:val="both"/>
      </w:pPr>
      <w:r>
        <w:rPr>
          <w:rFonts w:ascii="仿宋_GB2312" w:hAnsi="仿宋_GB2312" w:eastAsia="仿宋_GB2312"/>
          <w:b/>
          <w:sz w:val="32"/>
        </w:rPr>
        <w:t>2024年度收入总计1,160.16万元，</w:t>
      </w:r>
      <w:r>
        <w:rPr>
          <w:rFonts w:ascii="仿宋_GB2312" w:hAnsi="仿宋_GB2312" w:eastAsia="仿宋_GB2312"/>
          <w:b w:val="0"/>
          <w:sz w:val="32"/>
        </w:rPr>
        <w:t>其中：本年收入合计1,160.16万元，使用非财政拨款结余（含专用结余）0.00万元，年初结转和结余0.00万元。</w:t>
      </w:r>
    </w:p>
    <w:p w14:paraId="07C53C4C">
      <w:pPr>
        <w:spacing w:line="580" w:lineRule="exact"/>
        <w:ind w:firstLine="640"/>
        <w:jc w:val="both"/>
      </w:pPr>
      <w:r>
        <w:rPr>
          <w:rFonts w:ascii="仿宋_GB2312" w:hAnsi="仿宋_GB2312" w:eastAsia="仿宋_GB2312"/>
          <w:b/>
          <w:sz w:val="32"/>
        </w:rPr>
        <w:t>2024年度支出总计1,160.16万元，</w:t>
      </w:r>
      <w:r>
        <w:rPr>
          <w:rFonts w:ascii="仿宋_GB2312" w:hAnsi="仿宋_GB2312" w:eastAsia="仿宋_GB2312"/>
          <w:b w:val="0"/>
          <w:sz w:val="32"/>
        </w:rPr>
        <w:t>其中：本年支出合计1,160.16万元，结余分配0.00万元，年末结转和结余0.00万元。</w:t>
      </w:r>
    </w:p>
    <w:p w14:paraId="5BD01D11">
      <w:pPr>
        <w:spacing w:line="580" w:lineRule="exact"/>
        <w:ind w:firstLine="640"/>
        <w:jc w:val="both"/>
      </w:pPr>
      <w:r>
        <w:rPr>
          <w:rFonts w:ascii="仿宋_GB2312" w:hAnsi="仿宋_GB2312" w:eastAsia="仿宋_GB2312"/>
          <w:b w:val="0"/>
          <w:sz w:val="32"/>
        </w:rPr>
        <w:t>收入支出总体与上年相比，增加117.49万元，增长11.27%，主要原因是：本年检验检测设备购置项目资金较上年增加。</w:t>
      </w:r>
    </w:p>
    <w:p w14:paraId="5134C95C">
      <w:pPr>
        <w:spacing w:line="640" w:lineRule="exact"/>
        <w:ind w:firstLine="640"/>
        <w:jc w:val="both"/>
        <w:outlineLvl w:val="2"/>
      </w:pPr>
      <w:r>
        <w:rPr>
          <w:rFonts w:ascii="黑体" w:hAnsi="黑体" w:eastAsia="黑体"/>
          <w:sz w:val="32"/>
        </w:rPr>
        <w:t>二、收入决算情况说明</w:t>
      </w:r>
    </w:p>
    <w:p w14:paraId="48A395A4">
      <w:pPr>
        <w:spacing w:line="580" w:lineRule="exact"/>
        <w:ind w:firstLine="640"/>
        <w:jc w:val="both"/>
      </w:pPr>
      <w:r>
        <w:rPr>
          <w:rFonts w:ascii="仿宋_GB2312" w:hAnsi="仿宋_GB2312" w:eastAsia="仿宋_GB2312"/>
          <w:b/>
          <w:sz w:val="32"/>
        </w:rPr>
        <w:t>本年收入1,160.16万元，</w:t>
      </w:r>
      <w:r>
        <w:rPr>
          <w:rFonts w:ascii="仿宋_GB2312" w:hAnsi="仿宋_GB2312" w:eastAsia="仿宋_GB2312"/>
          <w:b w:val="0"/>
          <w:sz w:val="32"/>
        </w:rPr>
        <w:t>其中：财政拨款收入677.27万元，占58.38%；上级补助收入0.00万元，占0.00%；事业收入439.90万元，占37.92%；经营收入0.00万元，占0.00%；附属单位上缴收入0.00万元，占0.00%；其他收入43.00万元，占3.71%。</w:t>
      </w:r>
    </w:p>
    <w:p w14:paraId="2AEA1111">
      <w:pPr>
        <w:spacing w:line="640" w:lineRule="exact"/>
        <w:ind w:firstLine="640"/>
        <w:jc w:val="both"/>
        <w:outlineLvl w:val="2"/>
      </w:pPr>
      <w:r>
        <w:rPr>
          <w:rFonts w:ascii="黑体" w:hAnsi="黑体" w:eastAsia="黑体"/>
          <w:sz w:val="32"/>
        </w:rPr>
        <w:t>三、支出决算情况说明</w:t>
      </w:r>
    </w:p>
    <w:p w14:paraId="1C837A83">
      <w:pPr>
        <w:spacing w:line="580" w:lineRule="exact"/>
        <w:ind w:firstLine="640"/>
        <w:jc w:val="both"/>
      </w:pPr>
      <w:r>
        <w:rPr>
          <w:rFonts w:ascii="仿宋_GB2312" w:hAnsi="仿宋_GB2312" w:eastAsia="仿宋_GB2312"/>
          <w:b/>
          <w:sz w:val="32"/>
        </w:rPr>
        <w:t>本年支出1,160.16万元，</w:t>
      </w:r>
      <w:r>
        <w:rPr>
          <w:rFonts w:ascii="仿宋_GB2312" w:hAnsi="仿宋_GB2312" w:eastAsia="仿宋_GB2312"/>
          <w:b w:val="0"/>
          <w:sz w:val="32"/>
        </w:rPr>
        <w:t>其中：基本支出823.92万元，占71.02%；项目支出336.24万元，占28.98%；上缴上级支出0.00万元，占0.00%；经营支出0.00万元，占0.00%；对附属单位补助支出0.00万元，占0.00%。</w:t>
      </w:r>
    </w:p>
    <w:p w14:paraId="0DC2CDD5">
      <w:pPr>
        <w:spacing w:line="640" w:lineRule="exact"/>
        <w:ind w:firstLine="640"/>
        <w:jc w:val="both"/>
        <w:outlineLvl w:val="2"/>
      </w:pPr>
      <w:r>
        <w:rPr>
          <w:rFonts w:ascii="黑体" w:hAnsi="黑体" w:eastAsia="黑体"/>
          <w:sz w:val="32"/>
        </w:rPr>
        <w:t>四、财政拨款收入支出决算总体情况说明</w:t>
      </w:r>
    </w:p>
    <w:p w14:paraId="33BF0FA6">
      <w:pPr>
        <w:spacing w:line="580" w:lineRule="exact"/>
        <w:ind w:firstLine="640"/>
        <w:jc w:val="both"/>
      </w:pPr>
      <w:r>
        <w:rPr>
          <w:rFonts w:ascii="仿宋_GB2312" w:hAnsi="仿宋_GB2312" w:eastAsia="仿宋_GB2312"/>
          <w:b/>
          <w:sz w:val="32"/>
        </w:rPr>
        <w:t>2024年度财政拨款收入总计677.27万元，</w:t>
      </w:r>
      <w:r>
        <w:rPr>
          <w:rFonts w:ascii="仿宋_GB2312" w:hAnsi="仿宋_GB2312" w:eastAsia="仿宋_GB2312"/>
          <w:b w:val="0"/>
          <w:sz w:val="32"/>
        </w:rPr>
        <w:t>其中：年初财政拨款结转和结余0.00万元，本年财政拨款收入677.27万元。</w:t>
      </w:r>
      <w:r>
        <w:rPr>
          <w:rFonts w:ascii="仿宋_GB2312" w:hAnsi="仿宋_GB2312" w:eastAsia="仿宋_GB2312"/>
          <w:b/>
          <w:sz w:val="32"/>
        </w:rPr>
        <w:t>财政拨款支出总计677.27万元，</w:t>
      </w:r>
      <w:r>
        <w:rPr>
          <w:rFonts w:ascii="仿宋_GB2312" w:hAnsi="仿宋_GB2312" w:eastAsia="仿宋_GB2312"/>
          <w:b w:val="0"/>
          <w:sz w:val="32"/>
        </w:rPr>
        <w:t>其中：年末财政拨款结转和结余0.00万元，本年财政拨款支出677.27万元。</w:t>
      </w:r>
    </w:p>
    <w:p w14:paraId="084F2E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减少96.45万元，下降12.47%，主要原因是：本年聘用人员经费从财政资金调整为事业收入</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导致经费支出减少。</w:t>
      </w:r>
      <w:r>
        <w:rPr>
          <w:rFonts w:ascii="仿宋_GB2312" w:hAnsi="仿宋_GB2312" w:eastAsia="仿宋_GB2312"/>
          <w:b/>
          <w:sz w:val="32"/>
        </w:rPr>
        <w:t>与年初预算相比，</w:t>
      </w:r>
      <w:r>
        <w:rPr>
          <w:rFonts w:ascii="仿宋_GB2312" w:hAnsi="仿宋_GB2312" w:eastAsia="仿宋_GB2312"/>
          <w:b w:val="0"/>
          <w:sz w:val="32"/>
        </w:rPr>
        <w:t>年初预算数662.25万元，决算数677.27万元，预决算差异率2.27%，主要原因是：年中追加人员工资、公积金基数调增部分资金，导致预决算存在差异。</w:t>
      </w:r>
    </w:p>
    <w:p w14:paraId="1E0A5AEC">
      <w:pPr>
        <w:spacing w:line="640" w:lineRule="exact"/>
        <w:ind w:firstLine="640"/>
        <w:jc w:val="both"/>
        <w:outlineLvl w:val="2"/>
      </w:pPr>
      <w:r>
        <w:rPr>
          <w:rFonts w:ascii="黑体" w:hAnsi="黑体" w:eastAsia="黑体"/>
          <w:sz w:val="32"/>
        </w:rPr>
        <w:t>五、一般公共预算财政拨款支出决算情况说明</w:t>
      </w:r>
    </w:p>
    <w:p w14:paraId="2604247E">
      <w:pPr>
        <w:spacing w:line="640" w:lineRule="exact"/>
        <w:ind w:firstLine="640"/>
        <w:jc w:val="both"/>
        <w:outlineLvl w:val="3"/>
      </w:pPr>
      <w:r>
        <w:rPr>
          <w:rFonts w:ascii="楷体_GB2312" w:hAnsi="楷体_GB2312" w:eastAsia="楷体_GB2312"/>
          <w:b/>
          <w:sz w:val="32"/>
        </w:rPr>
        <w:t>（一）一般公共预算财政拨款支出决算总体情况</w:t>
      </w:r>
    </w:p>
    <w:p w14:paraId="5F66493F">
      <w:pPr>
        <w:spacing w:line="580" w:lineRule="exact"/>
        <w:ind w:firstLine="640"/>
        <w:jc w:val="both"/>
      </w:pPr>
      <w:r>
        <w:rPr>
          <w:rFonts w:ascii="仿宋_GB2312" w:hAnsi="仿宋_GB2312" w:eastAsia="仿宋_GB2312"/>
          <w:b/>
          <w:sz w:val="32"/>
        </w:rPr>
        <w:t>2024年度一般公共预算财政拨款支出677.27万元，</w:t>
      </w:r>
      <w:r>
        <w:rPr>
          <w:rFonts w:ascii="仿宋_GB2312" w:hAnsi="仿宋_GB2312" w:eastAsia="仿宋_GB2312"/>
          <w:b w:val="0"/>
          <w:sz w:val="32"/>
        </w:rPr>
        <w:t>占本年支出合计的58.38%。</w:t>
      </w:r>
      <w:r>
        <w:rPr>
          <w:rFonts w:ascii="仿宋_GB2312" w:hAnsi="仿宋_GB2312" w:eastAsia="仿宋_GB2312"/>
          <w:b/>
          <w:sz w:val="32"/>
        </w:rPr>
        <w:t>与上年相比，</w:t>
      </w:r>
      <w:r>
        <w:rPr>
          <w:rFonts w:ascii="仿宋_GB2312" w:hAnsi="仿宋_GB2312" w:eastAsia="仿宋_GB2312"/>
          <w:b w:val="0"/>
          <w:sz w:val="32"/>
        </w:rPr>
        <w:t>减少96.45万元，下降12.47%，主要原因是：本年聘用人员经费从财政资金调整为事业收入</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导致经费支出减少。</w:t>
      </w:r>
      <w:r>
        <w:rPr>
          <w:rFonts w:ascii="仿宋_GB2312" w:hAnsi="仿宋_GB2312" w:eastAsia="仿宋_GB2312"/>
          <w:b/>
          <w:sz w:val="32"/>
        </w:rPr>
        <w:t>与年初预算相比,</w:t>
      </w:r>
      <w:r>
        <w:rPr>
          <w:rFonts w:ascii="仿宋_GB2312" w:hAnsi="仿宋_GB2312" w:eastAsia="仿宋_GB2312"/>
          <w:b w:val="0"/>
          <w:sz w:val="32"/>
        </w:rPr>
        <w:t>年初预算数662.25万元，决算数677.27万元，预决算差异率2.27%，主要原因是：年中追加人员工资、社保、公积金基数调增部分资金，导致预决算存在差异。</w:t>
      </w:r>
    </w:p>
    <w:p w14:paraId="11DD6812">
      <w:pPr>
        <w:spacing w:line="640" w:lineRule="exact"/>
        <w:ind w:firstLine="640"/>
        <w:jc w:val="both"/>
        <w:outlineLvl w:val="3"/>
      </w:pPr>
      <w:r>
        <w:rPr>
          <w:rFonts w:ascii="楷体_GB2312" w:hAnsi="楷体_GB2312" w:eastAsia="楷体_GB2312"/>
          <w:b/>
          <w:sz w:val="32"/>
        </w:rPr>
        <w:t>（二）一般公共预算财政拨款支出决算结构情况</w:t>
      </w:r>
    </w:p>
    <w:p w14:paraId="61BF4ADC">
      <w:pPr>
        <w:spacing w:line="580" w:lineRule="exact"/>
        <w:ind w:firstLine="640"/>
        <w:jc w:val="both"/>
      </w:pPr>
      <w:r>
        <w:rPr>
          <w:rFonts w:ascii="仿宋_GB2312" w:hAnsi="仿宋_GB2312" w:eastAsia="仿宋_GB2312"/>
          <w:b w:val="0"/>
          <w:sz w:val="32"/>
        </w:rPr>
        <w:t>1.一般公共服务支出(类)527.30万元,占77.86%。</w:t>
      </w:r>
    </w:p>
    <w:p w14:paraId="5039C944">
      <w:pPr>
        <w:spacing w:line="580" w:lineRule="exact"/>
        <w:ind w:firstLine="640"/>
        <w:jc w:val="both"/>
      </w:pPr>
      <w:r>
        <w:rPr>
          <w:rFonts w:ascii="仿宋_GB2312" w:hAnsi="仿宋_GB2312" w:eastAsia="仿宋_GB2312"/>
          <w:b w:val="0"/>
          <w:sz w:val="32"/>
        </w:rPr>
        <w:t>2.社会保障和就业支出(类)70.65万元,占10.43%。</w:t>
      </w:r>
    </w:p>
    <w:p w14:paraId="611C75A9">
      <w:pPr>
        <w:spacing w:line="580" w:lineRule="exact"/>
        <w:ind w:firstLine="640"/>
        <w:jc w:val="both"/>
      </w:pPr>
      <w:r>
        <w:rPr>
          <w:rFonts w:ascii="仿宋_GB2312" w:hAnsi="仿宋_GB2312" w:eastAsia="仿宋_GB2312"/>
          <w:b w:val="0"/>
          <w:sz w:val="32"/>
        </w:rPr>
        <w:t>3.卫生健康支出(类)26.33万元,占3.89%。</w:t>
      </w:r>
    </w:p>
    <w:p w14:paraId="20994B2F">
      <w:pPr>
        <w:spacing w:line="580" w:lineRule="exact"/>
        <w:ind w:firstLine="640"/>
        <w:jc w:val="both"/>
      </w:pPr>
      <w:r>
        <w:rPr>
          <w:rFonts w:ascii="仿宋_GB2312" w:hAnsi="仿宋_GB2312" w:eastAsia="仿宋_GB2312"/>
          <w:b w:val="0"/>
          <w:sz w:val="32"/>
        </w:rPr>
        <w:t>4.住房保障支出(类)52.99万元,占7.82%。</w:t>
      </w:r>
    </w:p>
    <w:p w14:paraId="0DFFB28B">
      <w:pPr>
        <w:spacing w:line="640" w:lineRule="exact"/>
        <w:ind w:firstLine="640"/>
        <w:jc w:val="both"/>
        <w:outlineLvl w:val="3"/>
      </w:pPr>
      <w:r>
        <w:rPr>
          <w:rFonts w:ascii="楷体_GB2312" w:hAnsi="楷体_GB2312" w:eastAsia="楷体_GB2312"/>
          <w:b/>
          <w:sz w:val="32"/>
        </w:rPr>
        <w:t>（三）一般公共预算财政拨款支出决算具体情况</w:t>
      </w:r>
    </w:p>
    <w:p w14:paraId="3AE40079">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1.一般公共服务支出(类)统战事务(款)宗教事务(项):支出决算数为2.20万元，比上年决算增加2.20万元，增长100.00%,主要原因是：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增加特殊人员补助经费。</w:t>
      </w:r>
    </w:p>
    <w:p w14:paraId="321D09C4">
      <w:pPr>
        <w:spacing w:line="580" w:lineRule="exact"/>
        <w:ind w:firstLine="640"/>
        <w:jc w:val="both"/>
      </w:pPr>
      <w:r>
        <w:rPr>
          <w:rFonts w:ascii="仿宋_GB2312" w:hAnsi="仿宋_GB2312" w:eastAsia="仿宋_GB2312"/>
          <w:b w:val="0"/>
          <w:sz w:val="32"/>
        </w:rPr>
        <w:t>2.一般公共服务支出(类)市场监督管理事务(款)事业运行(项):支出决算数为525.10万元，比上年决算减少106.98万元，下降16.93%,主要原因是：本年聘用人员经费从财政资金调整为事业收入。</w:t>
      </w:r>
    </w:p>
    <w:p w14:paraId="633CE59A">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3.社会保障和就业支出(类)行政事业单位养老支出(款)事业单位离退休(项):支出决算数为8.70万元，比上年决算增加2.08万元，增长31.42%,主要原因是：本年增加退休人员基础绩效奖，退休费支出增加。</w:t>
      </w:r>
    </w:p>
    <w:p w14:paraId="1F6C970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61.95万元，比上年决算增加4.59万元，增长8.00%,主要原因是：本年在职人员工资基数调增，养老缴费基数上涨，相应支出增加。</w:t>
      </w:r>
    </w:p>
    <w:p w14:paraId="404BCFD2">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5.社会保障和就业支出(类)抚恤(款)死亡抚恤(项):支出决算数为0.00万元，比上年决算减少5.75万元，下降100.00%,主要原因是：本年无新增死亡人员，死亡抚恤支出较上年减少。</w:t>
      </w:r>
    </w:p>
    <w:p w14:paraId="332BA5AF">
      <w:pPr>
        <w:spacing w:line="580" w:lineRule="exact"/>
        <w:ind w:firstLine="640"/>
        <w:jc w:val="both"/>
      </w:pPr>
      <w:r>
        <w:rPr>
          <w:rFonts w:ascii="仿宋_GB2312" w:hAnsi="仿宋_GB2312" w:eastAsia="仿宋_GB2312"/>
          <w:b w:val="0"/>
          <w:sz w:val="32"/>
        </w:rPr>
        <w:t>6.卫生健康支出(类)行政事业单位医疗(款)事业单位医疗(项):支出决算数为26.33万元，比上年决算增加1.95万元，增长8.00%,主要原因是：本年在职人员工资基数调增，医疗缴费基数上涨，相应支出增加。</w:t>
      </w:r>
    </w:p>
    <w:p w14:paraId="1D3C1081">
      <w:pPr>
        <w:spacing w:line="580" w:lineRule="exact"/>
        <w:ind w:firstLine="640"/>
        <w:jc w:val="both"/>
      </w:pPr>
      <w:r>
        <w:rPr>
          <w:rFonts w:ascii="仿宋_GB2312" w:hAnsi="仿宋_GB2312" w:eastAsia="仿宋_GB2312"/>
          <w:b w:val="0"/>
          <w:sz w:val="32"/>
        </w:rPr>
        <w:t>7.住房保障支出(类)住房改革支出(款)住房公积金(项):支出决算数为52.99万元，比上年决算增加5.45万元，增长11.46%,主要原因是：本年在职人员工资基数调增，公积金缴费基数上涨，相应支出增加。</w:t>
      </w:r>
    </w:p>
    <w:p w14:paraId="7ADDAE3F">
      <w:pPr>
        <w:spacing w:line="640" w:lineRule="exact"/>
        <w:ind w:firstLine="640"/>
        <w:jc w:val="both"/>
        <w:outlineLvl w:val="2"/>
      </w:pPr>
      <w:r>
        <w:rPr>
          <w:rFonts w:ascii="黑体" w:hAnsi="黑体" w:eastAsia="黑体"/>
          <w:sz w:val="32"/>
        </w:rPr>
        <w:t>六、一般公共预算财政拨款基本支出决算情况说明</w:t>
      </w:r>
    </w:p>
    <w:p w14:paraId="53A46D5D">
      <w:pPr>
        <w:spacing w:line="580" w:lineRule="exact"/>
        <w:ind w:firstLine="640"/>
        <w:jc w:val="both"/>
      </w:pPr>
      <w:r>
        <w:rPr>
          <w:rFonts w:ascii="仿宋_GB2312" w:hAnsi="仿宋_GB2312" w:eastAsia="仿宋_GB2312"/>
          <w:b w:val="0"/>
          <w:sz w:val="32"/>
        </w:rPr>
        <w:t>2024年度一般公共预算财政拨款基本支出677.27万元，其中：</w:t>
      </w:r>
      <w:r>
        <w:rPr>
          <w:rFonts w:ascii="仿宋_GB2312" w:hAnsi="仿宋_GB2312" w:eastAsia="仿宋_GB2312"/>
          <w:b/>
          <w:sz w:val="32"/>
        </w:rPr>
        <w:t>人员经费628.70万元，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包括：基本工资、津贴补贴、奖金、绩效工资、机关事业单位基本养老保险缴费、职工基本医疗保险缴费、其他社会保障缴费、住房公积金、退休费、生活补助、奖励金、其他对个人和家庭的补助。</w:t>
      </w:r>
    </w:p>
    <w:p w14:paraId="0E003588">
      <w:pPr>
        <w:spacing w:line="580" w:lineRule="exact"/>
        <w:ind w:firstLine="640"/>
        <w:jc w:val="both"/>
      </w:pPr>
      <w:r>
        <w:rPr>
          <w:rFonts w:ascii="仿宋_GB2312" w:hAnsi="仿宋_GB2312" w:eastAsia="仿宋_GB2312"/>
          <w:b/>
          <w:sz w:val="32"/>
        </w:rPr>
        <w:t>公用经费48.57万元，</w:t>
      </w:r>
      <w:r>
        <w:rPr>
          <w:rFonts w:ascii="仿宋_GB2312" w:hAnsi="仿宋_GB2312" w:eastAsia="仿宋_GB2312"/>
          <w:b w:val="0"/>
          <w:sz w:val="32"/>
        </w:rPr>
        <w:t>包括：办公费、水费、电费、邮电费、取暖费、差旅费、专用材料费、工会经费、公务用车运行维护费、其他交通费用、其他商品和服务支出。</w:t>
      </w:r>
    </w:p>
    <w:p w14:paraId="2DC2BCE0">
      <w:pPr>
        <w:spacing w:line="640" w:lineRule="exact"/>
        <w:ind w:firstLine="640"/>
        <w:jc w:val="both"/>
        <w:outlineLvl w:val="2"/>
      </w:pPr>
      <w:r>
        <w:rPr>
          <w:rFonts w:ascii="黑体" w:hAnsi="黑体" w:eastAsia="黑体"/>
          <w:sz w:val="32"/>
        </w:rPr>
        <w:t>七、政府性基金预算财政拨款收入支出决算情况说明</w:t>
      </w:r>
    </w:p>
    <w:p w14:paraId="4885C5E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81FAA81">
      <w:pPr>
        <w:spacing w:line="640" w:lineRule="exact"/>
        <w:ind w:firstLine="640"/>
        <w:jc w:val="both"/>
        <w:outlineLvl w:val="2"/>
      </w:pPr>
      <w:r>
        <w:rPr>
          <w:rFonts w:ascii="黑体" w:hAnsi="黑体" w:eastAsia="黑体"/>
          <w:sz w:val="32"/>
        </w:rPr>
        <w:t>八、国有资本经营预算财政拨款收入支出决算情况说明</w:t>
      </w:r>
    </w:p>
    <w:p w14:paraId="240B5D1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19E0B4E">
      <w:pPr>
        <w:spacing w:line="640" w:lineRule="exact"/>
        <w:ind w:firstLine="640"/>
        <w:jc w:val="both"/>
        <w:outlineLvl w:val="2"/>
      </w:pPr>
      <w:r>
        <w:rPr>
          <w:rFonts w:ascii="黑体" w:hAnsi="黑体" w:eastAsia="黑体"/>
          <w:sz w:val="32"/>
        </w:rPr>
        <w:t>九、财政拨款“三公”经费支出决算情况说明</w:t>
      </w:r>
    </w:p>
    <w:p w14:paraId="5AC9F9AD">
      <w:pPr>
        <w:spacing w:line="580" w:lineRule="exact"/>
        <w:ind w:firstLine="640"/>
        <w:jc w:val="both"/>
      </w:pPr>
      <w:r>
        <w:rPr>
          <w:rFonts w:ascii="仿宋_GB2312" w:hAnsi="仿宋_GB2312" w:eastAsia="仿宋_GB2312"/>
          <w:b/>
          <w:sz w:val="32"/>
        </w:rPr>
        <w:t>2024年度财政拨款“三公”经费支出2.60万元，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2.60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公务用车购置及运行维护费与上年一致无变化。公务接待费支出0.00万元，占0.00%，比上年增加0.00万元，增长0.00%，主要原因是：2023年与2024年均未安排公务接待费支出。</w:t>
      </w:r>
    </w:p>
    <w:p w14:paraId="628E7C46">
      <w:pPr>
        <w:spacing w:line="580" w:lineRule="exact"/>
        <w:ind w:firstLine="640"/>
        <w:jc w:val="both"/>
      </w:pPr>
      <w:r>
        <w:rPr>
          <w:rFonts w:ascii="仿宋_GB2312" w:hAnsi="仿宋_GB2312" w:eastAsia="仿宋_GB2312"/>
          <w:b/>
          <w:sz w:val="32"/>
        </w:rPr>
        <w:t>具体情况如下：</w:t>
      </w:r>
    </w:p>
    <w:p w14:paraId="233D2DB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35FE62F">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356DC7D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7F82AF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2.60万元，决算数2.60万元，预决算差异率0.00%，主要原因是：严格按照预算执行，预决算无差异。公务接待费全年预算数0.00万元，决算数0.00万元，预决算差异率0.00%，主要原因是：本部门无公务接待费。</w:t>
      </w:r>
    </w:p>
    <w:p w14:paraId="45B57732">
      <w:pPr>
        <w:spacing w:line="640" w:lineRule="exact"/>
        <w:ind w:firstLine="640"/>
        <w:jc w:val="both"/>
        <w:outlineLvl w:val="2"/>
      </w:pPr>
      <w:r>
        <w:rPr>
          <w:rFonts w:ascii="黑体" w:hAnsi="黑体" w:eastAsia="黑体"/>
          <w:sz w:val="32"/>
        </w:rPr>
        <w:t>十、其他重要事项的情况说明</w:t>
      </w:r>
    </w:p>
    <w:p w14:paraId="30DA097B">
      <w:pPr>
        <w:spacing w:line="640" w:lineRule="exact"/>
        <w:ind w:firstLine="640"/>
        <w:jc w:val="both"/>
        <w:outlineLvl w:val="3"/>
      </w:pPr>
      <w:bookmarkStart w:id="0" w:name="_GoBack"/>
      <w:bookmarkEnd w:id="0"/>
      <w:r>
        <w:rPr>
          <w:rFonts w:ascii="楷体_GB2312" w:hAnsi="楷体_GB2312" w:eastAsia="楷体_GB2312"/>
          <w:b/>
          <w:sz w:val="32"/>
        </w:rPr>
        <w:t>（一）机关运行经费及公用经费支出情况</w:t>
      </w:r>
    </w:p>
    <w:p w14:paraId="5FF557EC">
      <w:pPr>
        <w:spacing w:line="580" w:lineRule="exact"/>
        <w:ind w:firstLine="640"/>
        <w:jc w:val="both"/>
      </w:pPr>
      <w:r>
        <w:rPr>
          <w:rFonts w:ascii="仿宋_GB2312" w:hAnsi="仿宋_GB2312" w:eastAsia="仿宋_GB2312"/>
          <w:b w:val="0"/>
          <w:sz w:val="32"/>
        </w:rPr>
        <w:t>2024年度喀什地区产品质量检验所（事业单位）公用经费支出48.57万元，比上年增加19.08万元，增长64.70%，主要原因是：本年业务量增加，公用经费增加。</w:t>
      </w:r>
    </w:p>
    <w:p w14:paraId="089D0F57">
      <w:pPr>
        <w:spacing w:line="640" w:lineRule="exact"/>
        <w:ind w:firstLine="640"/>
        <w:jc w:val="both"/>
        <w:outlineLvl w:val="3"/>
      </w:pPr>
      <w:r>
        <w:rPr>
          <w:rFonts w:ascii="楷体_GB2312" w:hAnsi="楷体_GB2312" w:eastAsia="楷体_GB2312"/>
          <w:b/>
          <w:sz w:val="32"/>
        </w:rPr>
        <w:t>（二）政府采购情况</w:t>
      </w:r>
    </w:p>
    <w:p w14:paraId="2F7F6C0E">
      <w:pPr>
        <w:spacing w:line="580" w:lineRule="exact"/>
        <w:ind w:firstLine="640"/>
        <w:jc w:val="both"/>
      </w:pPr>
      <w:r>
        <w:rPr>
          <w:rFonts w:ascii="仿宋_GB2312" w:hAnsi="仿宋_GB2312" w:eastAsia="仿宋_GB2312"/>
          <w:b w:val="0"/>
          <w:sz w:val="32"/>
        </w:rPr>
        <w:t>2024年度政府采购支出总额329.61万元，其中：政府采购货物支出288.66万元、政府采购工程支出6.00万元、政府采购服务支出34.95万元。</w:t>
      </w:r>
    </w:p>
    <w:p w14:paraId="07152B63">
      <w:pPr>
        <w:spacing w:line="580" w:lineRule="exact"/>
        <w:ind w:firstLine="640"/>
        <w:jc w:val="both"/>
      </w:pPr>
      <w:r>
        <w:rPr>
          <w:rFonts w:ascii="仿宋_GB2312" w:hAnsi="仿宋_GB2312" w:eastAsia="仿宋_GB2312"/>
          <w:b w:val="0"/>
          <w:sz w:val="32"/>
        </w:rPr>
        <w:t>授予中小企业合同金额329.61万元，占政府采购支出总额的100.00%，其中：授予小微企业合同金额329.61万元，占政府采购支出总额的100.00%。</w:t>
      </w:r>
    </w:p>
    <w:p w14:paraId="5879D898">
      <w:pPr>
        <w:spacing w:line="640" w:lineRule="exact"/>
        <w:ind w:firstLine="640"/>
        <w:jc w:val="both"/>
        <w:outlineLvl w:val="3"/>
      </w:pPr>
      <w:r>
        <w:rPr>
          <w:rFonts w:ascii="楷体_GB2312" w:hAnsi="楷体_GB2312" w:eastAsia="楷体_GB2312"/>
          <w:b/>
          <w:sz w:val="32"/>
        </w:rPr>
        <w:t>（三）国有资产占用情况说明</w:t>
      </w:r>
    </w:p>
    <w:p w14:paraId="22191026">
      <w:pPr>
        <w:spacing w:line="580" w:lineRule="exact"/>
        <w:ind w:firstLine="640"/>
        <w:jc w:val="both"/>
      </w:pPr>
      <w:r>
        <w:rPr>
          <w:rFonts w:ascii="仿宋_GB2312" w:hAnsi="仿宋_GB2312" w:eastAsia="仿宋_GB2312"/>
          <w:b w:val="0"/>
          <w:sz w:val="32"/>
        </w:rPr>
        <w:t>截至2024年12月31日，房屋5,322.02平方米，价值1,820.07万元。车辆2辆，价值40.99万元，其中：副部（省）级及以上领导用车0辆、主要负责人用车0辆、机要通信用车0辆、应急保障用车0辆、执法执勤用车0辆、特种专业技术用车0辆、离退休干部服务用车0辆、其他用车2辆，其他用车主要是：开展检验抽样的公务用车。单价100万元（含）以上设备（不含车辆）2台（套）。</w:t>
      </w:r>
    </w:p>
    <w:p w14:paraId="07327ABD">
      <w:pPr>
        <w:spacing w:line="640" w:lineRule="exact"/>
        <w:ind w:firstLine="640"/>
        <w:jc w:val="both"/>
        <w:outlineLvl w:val="2"/>
      </w:pPr>
      <w:r>
        <w:rPr>
          <w:rFonts w:ascii="黑体" w:hAnsi="黑体" w:eastAsia="黑体"/>
          <w:sz w:val="32"/>
        </w:rPr>
        <w:t>十一、预算绩效的情况说明</w:t>
      </w:r>
    </w:p>
    <w:p w14:paraId="35F0039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1,170.26万元，实际执行总额1,160.16万元；预算绩效评价项目5个，全年预算数336.38万元，全年执行数336.24万元。预算绩效管理取得的成效：一是通过绩效目标设定和评价，做到资金专款专用，减少低效无效的支出情况。二是预算管理科学化、精细化实现“事前评估、目标管理、事后评价”覆盖项目、政策等多层次，从项目管理到资金管理，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责任意识与绩效文化逐步形成，通过第三方机构与单位和公众参与绩效评价，增强监督合力。三是加强动态监管，定期向领导汇报项目资金支付进度，加强与供应商的沟通，确保本年度产品质量检验工作顺利完成。发现的问题及原因：一是对各项指标设置时，要尽量量化，进行定量分析，使得项目评价更加具体化、数字化；二是开展绩效评价人员的绩效理念不足，专业能力有待提升。下一步改进措施：一是建立和完善绩效评价体系，优化指标体系和评价标准，结合工作实际，科学合理</w:t>
      </w:r>
      <w:r>
        <w:rPr>
          <w:rFonts w:hint="eastAsia" w:ascii="仿宋_GB2312" w:hAnsi="仿宋_GB2312" w:eastAsia="仿宋_GB2312"/>
          <w:b w:val="0"/>
          <w:sz w:val="32"/>
          <w:lang w:eastAsia="zh-CN"/>
        </w:rPr>
        <w:t>地</w:t>
      </w:r>
      <w:r>
        <w:rPr>
          <w:rFonts w:ascii="仿宋_GB2312" w:hAnsi="仿宋_GB2312" w:eastAsia="仿宋_GB2312"/>
          <w:b w:val="0"/>
          <w:sz w:val="32"/>
        </w:rPr>
        <w:t>设置绩效指标。二是提高绩效评价工作重要性的认识，对绩效评价工作人员，进行专业化培训，提高对绩效评价体系的理解和认识。具体附部门整体支出绩效自评表，项目支出绩效自评表和部门评价报告。</w:t>
      </w:r>
    </w:p>
    <w:p w14:paraId="26AEBA9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FD9424">
        <w:tblPrEx>
          <w:tblCellMar>
            <w:top w:w="0" w:type="dxa"/>
            <w:left w:w="108" w:type="dxa"/>
            <w:bottom w:w="0" w:type="dxa"/>
            <w:right w:w="108" w:type="dxa"/>
          </w:tblCellMar>
        </w:tblPrEx>
        <w:tc>
          <w:tcPr>
            <w:tcW w:w="8847" w:type="dxa"/>
            <w:gridSpan w:val="9"/>
            <w:vAlign w:val="center"/>
          </w:tcPr>
          <w:p w14:paraId="754CC82C">
            <w:pPr>
              <w:jc w:val="center"/>
            </w:pPr>
            <w:r>
              <w:rPr>
                <w:rFonts w:ascii="宋体" w:hAnsi="宋体" w:eastAsia="宋体"/>
                <w:sz w:val="24"/>
              </w:rPr>
              <w:t>部门整体支出绩效自评表</w:t>
            </w:r>
          </w:p>
        </w:tc>
      </w:tr>
      <w:tr w14:paraId="3A8FC4A7">
        <w:tblPrEx>
          <w:tblCellMar>
            <w:top w:w="0" w:type="dxa"/>
            <w:left w:w="108" w:type="dxa"/>
            <w:bottom w:w="0" w:type="dxa"/>
            <w:right w:w="108" w:type="dxa"/>
          </w:tblCellMar>
        </w:tblPrEx>
        <w:tc>
          <w:tcPr>
            <w:tcW w:w="8847" w:type="dxa"/>
            <w:gridSpan w:val="9"/>
            <w:vAlign w:val="center"/>
          </w:tcPr>
          <w:p w14:paraId="1C701B14">
            <w:pPr>
              <w:jc w:val="center"/>
            </w:pPr>
            <w:r>
              <w:rPr>
                <w:rFonts w:ascii="宋体" w:hAnsi="宋体" w:eastAsia="宋体"/>
                <w:sz w:val="24"/>
              </w:rPr>
              <w:t>（2024年度）</w:t>
            </w:r>
          </w:p>
        </w:tc>
      </w:tr>
      <w:tr w14:paraId="6D8A5C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990D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C3B79E">
            <w:pPr>
              <w:jc w:val="center"/>
            </w:pPr>
            <w:r>
              <w:rPr>
                <w:rFonts w:ascii="宋体" w:hAnsi="宋体" w:eastAsia="宋体"/>
                <w:sz w:val="16"/>
              </w:rPr>
              <w:t>喀什地区产品质量检验所</w:t>
            </w:r>
          </w:p>
        </w:tc>
      </w:tr>
      <w:tr w14:paraId="1E14A9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4A44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C756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9E0F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3DD6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E66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E8C0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1D25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E069">
            <w:pPr>
              <w:jc w:val="center"/>
            </w:pPr>
            <w:r>
              <w:rPr>
                <w:rFonts w:ascii="宋体" w:hAnsi="宋体" w:eastAsia="宋体"/>
                <w:sz w:val="16"/>
              </w:rPr>
              <w:t>得分</w:t>
            </w:r>
          </w:p>
        </w:tc>
      </w:tr>
      <w:tr w14:paraId="4F5CE3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7F54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6BEF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68BA">
            <w:pPr>
              <w:jc w:val="center"/>
            </w:pPr>
            <w:r>
              <w:rPr>
                <w:rFonts w:ascii="宋体" w:hAnsi="宋体" w:eastAsia="宋体"/>
                <w:sz w:val="16"/>
              </w:rPr>
              <w:t>1,112.25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0B396">
            <w:pPr>
              <w:jc w:val="center"/>
            </w:pPr>
            <w:r>
              <w:rPr>
                <w:rFonts w:ascii="宋体" w:hAnsi="宋体" w:eastAsia="宋体"/>
                <w:sz w:val="16"/>
              </w:rPr>
              <w:t>1,170.26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858D8">
            <w:pPr>
              <w:jc w:val="center"/>
            </w:pPr>
            <w:r>
              <w:rPr>
                <w:rFonts w:ascii="宋体" w:hAnsi="宋体" w:eastAsia="宋体"/>
                <w:sz w:val="16"/>
              </w:rPr>
              <w:t>1,160.16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E9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1A1E">
            <w:pPr>
              <w:jc w:val="center"/>
            </w:pPr>
            <w:r>
              <w:rPr>
                <w:rFonts w:ascii="宋体" w:hAnsi="宋体" w:eastAsia="宋体"/>
                <w:sz w:val="16"/>
              </w:rPr>
              <w:t>99.14%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9D1A">
            <w:pPr>
              <w:jc w:val="center"/>
            </w:pPr>
            <w:r>
              <w:rPr>
                <w:rFonts w:ascii="宋体" w:hAnsi="宋体" w:eastAsia="宋体"/>
                <w:sz w:val="16"/>
              </w:rPr>
              <w:t>10</w:t>
            </w:r>
          </w:p>
        </w:tc>
      </w:tr>
      <w:tr w14:paraId="311F74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2CE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B6DF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FC07B">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695D4">
            <w:pPr>
              <w:jc w:val="center"/>
            </w:pPr>
            <w:r>
              <w:rPr>
                <w:rFonts w:ascii="宋体" w:hAnsi="宋体" w:eastAsia="宋体"/>
                <w:sz w:val="16"/>
              </w:rPr>
              <w:t>13.72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71001">
            <w:pPr>
              <w:jc w:val="center"/>
            </w:pPr>
            <w:r>
              <w:rPr>
                <w:rFonts w:ascii="宋体" w:hAnsi="宋体" w:eastAsia="宋体"/>
                <w:sz w:val="16"/>
              </w:rPr>
              <w:t>13.72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5E5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F21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88812">
            <w:pPr>
              <w:jc w:val="center"/>
            </w:pPr>
            <w:r>
              <w:rPr>
                <w:rFonts w:ascii="宋体" w:hAnsi="宋体" w:eastAsia="宋体"/>
                <w:sz w:val="16"/>
              </w:rPr>
              <w:t>—</w:t>
            </w:r>
          </w:p>
        </w:tc>
      </w:tr>
      <w:tr w14:paraId="4B5A45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A7F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57F6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84EA2">
            <w:pPr>
              <w:jc w:val="center"/>
            </w:pPr>
            <w:r>
              <w:rPr>
                <w:rFonts w:ascii="宋体" w:hAnsi="宋体" w:eastAsia="宋体"/>
                <w:sz w:val="16"/>
              </w:rPr>
              <w:t>660.05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06887">
            <w:pPr>
              <w:jc w:val="center"/>
            </w:pPr>
            <w:r>
              <w:rPr>
                <w:rFonts w:ascii="宋体" w:hAnsi="宋体" w:eastAsia="宋体"/>
                <w:sz w:val="16"/>
              </w:rPr>
              <w:t>663.55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FD87C">
            <w:pPr>
              <w:jc w:val="center"/>
            </w:pPr>
            <w:r>
              <w:rPr>
                <w:rFonts w:ascii="宋体" w:hAnsi="宋体" w:eastAsia="宋体"/>
                <w:sz w:val="16"/>
              </w:rPr>
              <w:t>663.55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530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0C24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1CC3">
            <w:pPr>
              <w:jc w:val="center"/>
            </w:pPr>
            <w:r>
              <w:rPr>
                <w:rFonts w:ascii="宋体" w:hAnsi="宋体" w:eastAsia="宋体"/>
                <w:sz w:val="16"/>
              </w:rPr>
              <w:t>—</w:t>
            </w:r>
          </w:p>
        </w:tc>
      </w:tr>
      <w:tr w14:paraId="6C5DA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799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07C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894AD">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2908F">
            <w:pPr>
              <w:jc w:val="center"/>
            </w:pPr>
            <w:r>
              <w:rPr>
                <w:rFonts w:ascii="宋体" w:hAnsi="宋体" w:eastAsia="宋体"/>
                <w:sz w:val="16"/>
              </w:rPr>
              <w:t>492.99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CB165">
            <w:pPr>
              <w:jc w:val="center"/>
            </w:pPr>
            <w:r>
              <w:rPr>
                <w:rFonts w:ascii="宋体" w:hAnsi="宋体" w:eastAsia="宋体"/>
                <w:sz w:val="16"/>
              </w:rPr>
              <w:t>482.89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A56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C1A5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B992B">
            <w:pPr>
              <w:jc w:val="center"/>
            </w:pPr>
            <w:r>
              <w:rPr>
                <w:rFonts w:ascii="宋体" w:hAnsi="宋体" w:eastAsia="宋体"/>
                <w:sz w:val="16"/>
              </w:rPr>
              <w:t>—</w:t>
            </w:r>
          </w:p>
        </w:tc>
      </w:tr>
      <w:tr w14:paraId="020717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6DD6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0E2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86658">
            <w:pPr>
              <w:jc w:val="center"/>
            </w:pPr>
            <w:r>
              <w:rPr>
                <w:rFonts w:ascii="宋体" w:hAnsi="宋体" w:eastAsia="宋体"/>
                <w:sz w:val="16"/>
              </w:rPr>
              <w:t>实际完成情况</w:t>
            </w:r>
          </w:p>
        </w:tc>
      </w:tr>
      <w:tr w14:paraId="23EC8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EC4B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55F2C">
            <w:pPr>
              <w:jc w:val="both"/>
            </w:pPr>
            <w:r>
              <w:rPr>
                <w:rFonts w:ascii="宋体" w:hAnsi="宋体" w:eastAsia="宋体"/>
                <w:sz w:val="16"/>
              </w:rPr>
              <w:t>本所是依法设置的综合性质的检验机构，它于1994年7月29日经喀什地区编委喀地字</w:t>
            </w:r>
            <w:r>
              <w:rPr>
                <w:rFonts w:hint="eastAsia" w:ascii="宋体" w:hAnsi="宋体"/>
                <w:sz w:val="16"/>
                <w:lang w:eastAsia="zh-CN"/>
              </w:rPr>
              <w:t>〔1994〕14号</w:t>
            </w:r>
            <w:r>
              <w:rPr>
                <w:rFonts w:ascii="宋体" w:hAnsi="宋体" w:eastAsia="宋体"/>
                <w:sz w:val="16"/>
              </w:rPr>
              <w:t>文件批准成立建所，隶属于喀什地区市场监督管理局。本所是公益性事业单位，检测工作不受任何外部干扰，独立完成各类检验任务，保证质检机构第三方公正立场，本所主要承担喀什地区产（商）品及周边地区部分产（商）品的质量监督检验、委托检验等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本年预计完成委托检验批次2400批次，使重点检验器具检定率达到100%，预计完成委托检验任务数450万元。依法对全地区的食品、农副产品、电器产品、化工产品等进行委托检验、监督抽查检验，使产品在生产、使用环节得到有效</w:t>
            </w:r>
            <w:r>
              <w:rPr>
                <w:rFonts w:hint="eastAsia" w:ascii="宋体" w:hAnsi="宋体"/>
                <w:sz w:val="16"/>
                <w:lang w:eastAsia="zh-CN"/>
              </w:rPr>
              <w:t>地</w:t>
            </w:r>
            <w:r>
              <w:rPr>
                <w:rFonts w:ascii="宋体" w:hAnsi="宋体" w:eastAsia="宋体"/>
                <w:sz w:val="16"/>
              </w:rPr>
              <w:t>监督，为上级部门提供第一手资料，确保广大企业及消费者利益不受侵害。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23298F">
            <w:pPr>
              <w:jc w:val="both"/>
            </w:pPr>
            <w:r>
              <w:rPr>
                <w:rFonts w:ascii="宋体" w:hAnsi="宋体" w:eastAsia="宋体"/>
                <w:sz w:val="16"/>
              </w:rPr>
              <w:t>已完成了53人的工资的发放和31人住房公</w:t>
            </w:r>
            <w:r>
              <w:rPr>
                <w:rFonts w:hint="eastAsia" w:ascii="宋体" w:hAnsi="宋体"/>
                <w:sz w:val="16"/>
                <w:lang w:eastAsia="zh-CN"/>
              </w:rPr>
              <w:t>积金</w:t>
            </w:r>
            <w:r>
              <w:rPr>
                <w:rFonts w:ascii="宋体" w:hAnsi="宋体" w:eastAsia="宋体"/>
                <w:sz w:val="16"/>
              </w:rPr>
              <w:t>的缴纳，按月申报及发放。保障了所里的日常运转，用于支付办公室日常的邮电费、办公用品、办公耗材及公务用车运行维护支出，项目的实施完成全年业务收入636万元，委托检验批次2373批次，监督抽查批次210批次，保障检验检测机构的正常运转使检测机构综合发展能力得到了有效提升。</w:t>
            </w:r>
          </w:p>
        </w:tc>
      </w:tr>
      <w:tr w14:paraId="1F9EC4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A1E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A1F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3EA1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5AE4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4CBC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02D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26F6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DEDE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9E3DF">
            <w:pPr>
              <w:jc w:val="center"/>
            </w:pPr>
            <w:r>
              <w:rPr>
                <w:rFonts w:ascii="宋体" w:hAnsi="宋体" w:eastAsia="宋体"/>
                <w:sz w:val="16"/>
              </w:rPr>
              <w:t>得分</w:t>
            </w:r>
          </w:p>
        </w:tc>
      </w:tr>
      <w:tr w14:paraId="4A3E7E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FA1C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F7B4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E7B5">
            <w:pPr>
              <w:jc w:val="center"/>
            </w:pPr>
            <w:r>
              <w:rPr>
                <w:rFonts w:ascii="宋体" w:hAnsi="宋体" w:eastAsia="宋体"/>
                <w:sz w:val="16"/>
              </w:rPr>
              <w:t>全年产品委托检验批次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ED4F4">
            <w:pPr>
              <w:jc w:val="center"/>
            </w:pPr>
            <w:r>
              <w:rPr>
                <w:rFonts w:ascii="宋体" w:hAnsi="宋体" w:eastAsia="宋体"/>
                <w:sz w:val="16"/>
              </w:rPr>
              <w:t>&gt;=2400批次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A3E7">
            <w:pPr>
              <w:jc w:val="center"/>
            </w:pPr>
            <w:r>
              <w:rPr>
                <w:rFonts w:ascii="宋体" w:hAnsi="宋体" w:eastAsia="宋体"/>
                <w:sz w:val="16"/>
              </w:rPr>
              <w:t>关于印发（喀什地区质量技术监督局主要职责内设机构和人员编制规定)的通知喀署办</w:t>
            </w:r>
            <w:r>
              <w:rPr>
                <w:rFonts w:hint="eastAsia" w:ascii="宋体" w:hAnsi="宋体"/>
                <w:sz w:val="16"/>
                <w:lang w:eastAsia="zh-CN"/>
              </w:rPr>
              <w:t>〔2016〕90号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FC9D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65C9F">
            <w:pPr>
              <w:jc w:val="center"/>
            </w:pPr>
            <w:r>
              <w:rPr>
                <w:rFonts w:ascii="宋体" w:hAnsi="宋体" w:eastAsia="宋体"/>
                <w:sz w:val="16"/>
              </w:rPr>
              <w:t>2583批次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5D470">
            <w:pPr>
              <w:jc w:val="center"/>
            </w:pPr>
            <w:r>
              <w:rPr>
                <w:rFonts w:ascii="宋体" w:hAnsi="宋体" w:eastAsia="宋体"/>
                <w:sz w:val="16"/>
              </w:rPr>
              <w:t>107.62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C19D9">
            <w:pPr>
              <w:jc w:val="center"/>
            </w:pPr>
            <w:r>
              <w:rPr>
                <w:rFonts w:ascii="宋体" w:hAnsi="宋体" w:eastAsia="宋体"/>
                <w:sz w:val="16"/>
              </w:rPr>
              <w:t>18</w:t>
            </w:r>
          </w:p>
        </w:tc>
      </w:tr>
      <w:tr w14:paraId="4C8C3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1EC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6B6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8B979">
            <w:pPr>
              <w:jc w:val="center"/>
            </w:pPr>
            <w:r>
              <w:rPr>
                <w:rFonts w:ascii="宋体" w:hAnsi="宋体" w:eastAsia="宋体"/>
                <w:sz w:val="16"/>
              </w:rPr>
              <w:t>业务收入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1EAD1">
            <w:pPr>
              <w:jc w:val="center"/>
            </w:pPr>
            <w:r>
              <w:rPr>
                <w:rFonts w:ascii="宋体" w:hAnsi="宋体" w:eastAsia="宋体"/>
                <w:sz w:val="16"/>
              </w:rPr>
              <w:t>&gt;=450万元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BE1DA">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9A86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70EB0">
            <w:pPr>
              <w:jc w:val="center"/>
            </w:pPr>
            <w:r>
              <w:rPr>
                <w:rFonts w:ascii="宋体" w:hAnsi="宋体" w:eastAsia="宋体"/>
                <w:sz w:val="16"/>
              </w:rPr>
              <w:t>636.54万元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40110">
            <w:pPr>
              <w:jc w:val="center"/>
            </w:pPr>
            <w:r>
              <w:rPr>
                <w:rFonts w:ascii="宋体" w:hAnsi="宋体" w:eastAsia="宋体"/>
                <w:sz w:val="16"/>
              </w:rPr>
              <w:t>141.45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A96E8">
            <w:pPr>
              <w:jc w:val="center"/>
            </w:pPr>
            <w:r>
              <w:rPr>
                <w:rFonts w:ascii="宋体" w:hAnsi="宋体" w:eastAsia="宋体"/>
                <w:sz w:val="16"/>
              </w:rPr>
              <w:t>18</w:t>
            </w:r>
          </w:p>
        </w:tc>
      </w:tr>
      <w:tr w14:paraId="3B84B6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6C9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CEA9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0FE2">
            <w:pPr>
              <w:jc w:val="center"/>
            </w:pPr>
            <w:r>
              <w:rPr>
                <w:rFonts w:ascii="宋体" w:hAnsi="宋体" w:eastAsia="宋体"/>
                <w:sz w:val="16"/>
              </w:rPr>
              <w:t>重点使用计量器具检定率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6BF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38996">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643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717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B39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3A6F2">
            <w:pPr>
              <w:jc w:val="center"/>
            </w:pPr>
            <w:r>
              <w:rPr>
                <w:rFonts w:ascii="宋体" w:hAnsi="宋体" w:eastAsia="宋体"/>
                <w:sz w:val="16"/>
              </w:rPr>
              <w:t>18</w:t>
            </w:r>
          </w:p>
        </w:tc>
      </w:tr>
      <w:tr w14:paraId="2AA7D1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8C7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920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777D0">
            <w:pPr>
              <w:jc w:val="center"/>
            </w:pPr>
            <w:r>
              <w:rPr>
                <w:rFonts w:ascii="宋体" w:hAnsi="宋体" w:eastAsia="宋体"/>
                <w:sz w:val="16"/>
              </w:rPr>
              <w:t>出具检测报告的期限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A9F19">
            <w:pPr>
              <w:jc w:val="center"/>
            </w:pPr>
            <w:r>
              <w:rPr>
                <w:rFonts w:ascii="宋体" w:hAnsi="宋体" w:eastAsia="宋体"/>
                <w:sz w:val="16"/>
              </w:rPr>
              <w:t>&lt;=15天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BF028">
            <w:pPr>
              <w:jc w:val="center"/>
            </w:pPr>
            <w:r>
              <w:rPr>
                <w:rFonts w:ascii="宋体" w:hAnsi="宋体" w:eastAsia="宋体"/>
                <w:sz w:val="16"/>
              </w:rPr>
              <w:t>喀什地区产品质量检验所质量手册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D151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8017D">
            <w:pPr>
              <w:jc w:val="center"/>
            </w:pPr>
            <w:r>
              <w:rPr>
                <w:rFonts w:ascii="宋体" w:hAnsi="宋体" w:eastAsia="宋体"/>
                <w:sz w:val="16"/>
              </w:rPr>
              <w:t>15天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EDA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0B68A">
            <w:pPr>
              <w:jc w:val="center"/>
            </w:pPr>
            <w:r>
              <w:rPr>
                <w:rFonts w:ascii="宋体" w:hAnsi="宋体" w:eastAsia="宋体"/>
                <w:sz w:val="16"/>
              </w:rPr>
              <w:t>18</w:t>
            </w:r>
          </w:p>
        </w:tc>
      </w:tr>
      <w:tr w14:paraId="4366DA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0ED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DAFE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E036B">
            <w:pPr>
              <w:jc w:val="center"/>
            </w:pPr>
            <w:r>
              <w:rPr>
                <w:rFonts w:ascii="宋体" w:hAnsi="宋体" w:eastAsia="宋体"/>
                <w:sz w:val="16"/>
              </w:rPr>
              <w:t>持证人员上岗率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E4B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D381B">
            <w:pPr>
              <w:jc w:val="center"/>
            </w:pPr>
            <w:r>
              <w:rPr>
                <w:rFonts w:ascii="宋体" w:hAnsi="宋体" w:eastAsia="宋体"/>
                <w:sz w:val="16"/>
              </w:rPr>
              <w:t>喀什地区产品质量检验所质量手册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6831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02E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9C9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FF81F">
            <w:pPr>
              <w:jc w:val="center"/>
            </w:pPr>
            <w:r>
              <w:rPr>
                <w:rFonts w:ascii="宋体" w:hAnsi="宋体" w:eastAsia="宋体"/>
                <w:sz w:val="16"/>
              </w:rPr>
              <w:t>18</w:t>
            </w:r>
          </w:p>
        </w:tc>
      </w:tr>
    </w:tbl>
    <w:p w14:paraId="2C4BAF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CB362A3">
        <w:tblPrEx>
          <w:tblCellMar>
            <w:top w:w="0" w:type="dxa"/>
            <w:left w:w="108" w:type="dxa"/>
            <w:bottom w:w="0" w:type="dxa"/>
            <w:right w:w="108" w:type="dxa"/>
          </w:tblCellMar>
        </w:tblPrEx>
        <w:tc>
          <w:tcPr>
            <w:tcW w:w="8848" w:type="dxa"/>
            <w:gridSpan w:val="14"/>
            <w:vAlign w:val="center"/>
          </w:tcPr>
          <w:p w14:paraId="51DD0885">
            <w:pPr>
              <w:jc w:val="center"/>
            </w:pPr>
            <w:r>
              <w:rPr>
                <w:rFonts w:ascii="宋体" w:hAnsi="宋体" w:eastAsia="宋体"/>
                <w:sz w:val="24"/>
              </w:rPr>
              <w:t>项目支出绩效自评表</w:t>
            </w:r>
          </w:p>
        </w:tc>
      </w:tr>
      <w:tr w14:paraId="2954EFCB">
        <w:tblPrEx>
          <w:tblCellMar>
            <w:top w:w="0" w:type="dxa"/>
            <w:left w:w="108" w:type="dxa"/>
            <w:bottom w:w="0" w:type="dxa"/>
            <w:right w:w="108" w:type="dxa"/>
          </w:tblCellMar>
        </w:tblPrEx>
        <w:tc>
          <w:tcPr>
            <w:tcW w:w="8848" w:type="dxa"/>
            <w:gridSpan w:val="14"/>
            <w:vAlign w:val="center"/>
          </w:tcPr>
          <w:p w14:paraId="1A653E72">
            <w:pPr>
              <w:jc w:val="center"/>
            </w:pPr>
            <w:r>
              <w:rPr>
                <w:rFonts w:ascii="宋体" w:hAnsi="宋体" w:eastAsia="宋体"/>
                <w:sz w:val="24"/>
              </w:rPr>
              <w:t>(2024年度)</w:t>
            </w:r>
          </w:p>
        </w:tc>
      </w:tr>
      <w:tr w14:paraId="57672E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6A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26C73A">
            <w:pPr>
              <w:jc w:val="center"/>
            </w:pPr>
            <w:r>
              <w:rPr>
                <w:rFonts w:ascii="宋体" w:hAnsi="宋体" w:eastAsia="宋体"/>
                <w:sz w:val="16"/>
              </w:rPr>
              <w:t>产品质量监督抽查项目</w:t>
            </w:r>
          </w:p>
        </w:tc>
      </w:tr>
      <w:tr w14:paraId="5F1390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29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5091B">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18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789C45">
            <w:pPr>
              <w:jc w:val="center"/>
            </w:pPr>
            <w:r>
              <w:rPr>
                <w:rFonts w:ascii="宋体" w:hAnsi="宋体" w:eastAsia="宋体"/>
                <w:sz w:val="16"/>
              </w:rPr>
              <w:t>喀什地区产品质量检验所</w:t>
            </w:r>
          </w:p>
        </w:tc>
      </w:tr>
      <w:tr w14:paraId="5D7B32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A78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1A8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D6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8B6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12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31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B1D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D718">
            <w:pPr>
              <w:jc w:val="center"/>
            </w:pPr>
            <w:r>
              <w:rPr>
                <w:rFonts w:ascii="宋体" w:hAnsi="宋体" w:eastAsia="宋体"/>
                <w:sz w:val="16"/>
              </w:rPr>
              <w:t>得分</w:t>
            </w:r>
          </w:p>
        </w:tc>
      </w:tr>
      <w:tr w14:paraId="7E3C4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E3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1B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BFC8F">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A5A5">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CD65">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00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86B6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F702">
            <w:pPr>
              <w:jc w:val="center"/>
            </w:pPr>
            <w:r>
              <w:rPr>
                <w:rFonts w:ascii="宋体" w:hAnsi="宋体" w:eastAsia="宋体"/>
                <w:sz w:val="16"/>
              </w:rPr>
              <w:t>10.00分</w:t>
            </w:r>
          </w:p>
        </w:tc>
      </w:tr>
      <w:tr w14:paraId="21252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3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65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81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7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4E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52C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CF6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D581">
            <w:pPr>
              <w:jc w:val="center"/>
            </w:pPr>
            <w:r>
              <w:rPr>
                <w:rFonts w:ascii="宋体" w:hAnsi="宋体" w:eastAsia="宋体"/>
                <w:sz w:val="16"/>
              </w:rPr>
              <w:t>—</w:t>
            </w:r>
          </w:p>
        </w:tc>
      </w:tr>
      <w:tr w14:paraId="2B3A8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B2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27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AEEC5">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ECC9">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4EAC">
            <w:pPr>
              <w:jc w:val="center"/>
            </w:pPr>
            <w:r>
              <w:rPr>
                <w:rFonts w:ascii="宋体" w:hAnsi="宋体" w:eastAsia="宋体"/>
                <w:sz w:val="16"/>
              </w:rPr>
              <w:t>26.80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6FD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969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DFA1">
            <w:pPr>
              <w:jc w:val="center"/>
            </w:pPr>
            <w:r>
              <w:rPr>
                <w:rFonts w:ascii="宋体" w:hAnsi="宋体" w:eastAsia="宋体"/>
                <w:sz w:val="16"/>
              </w:rPr>
              <w:t>—</w:t>
            </w:r>
          </w:p>
        </w:tc>
      </w:tr>
      <w:tr w14:paraId="186030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5DB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29B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14A82">
            <w:pPr>
              <w:jc w:val="center"/>
            </w:pPr>
            <w:r>
              <w:rPr>
                <w:rFonts w:ascii="宋体" w:hAnsi="宋体" w:eastAsia="宋体"/>
                <w:sz w:val="16"/>
              </w:rPr>
              <w:t>实际完成情况</w:t>
            </w:r>
          </w:p>
        </w:tc>
      </w:tr>
      <w:tr w14:paraId="634F33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A22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D26F29">
            <w:pPr>
              <w:jc w:val="both"/>
            </w:pPr>
            <w:r>
              <w:rPr>
                <w:rFonts w:ascii="宋体" w:hAnsi="宋体" w:eastAsia="宋体"/>
                <w:sz w:val="16"/>
              </w:rPr>
              <w:t>根据国家市场监督管理总局关于开展“双随机、一公开”工作要求，地区市场监督管理局下发的</w:t>
            </w:r>
            <w:r>
              <w:rPr>
                <w:rFonts w:hint="eastAsia" w:ascii="宋体" w:hAnsi="宋体"/>
                <w:sz w:val="16"/>
                <w:lang w:eastAsia="zh-CN"/>
              </w:rPr>
              <w:t>“双随机、一公开”</w:t>
            </w:r>
            <w:r>
              <w:rPr>
                <w:rFonts w:ascii="宋体" w:hAnsi="宋体" w:eastAsia="宋体"/>
                <w:sz w:val="16"/>
              </w:rPr>
              <w:t>的抽检方案，依法对全地区200批次工业产品质量安全、使用环节进行监督抽查检验。 1、确保产品质量监督抽查任务的完成。 2、推动“双随机”抽查工作高质量开展和实施。 3、协助</w:t>
            </w:r>
            <w:r>
              <w:rPr>
                <w:rFonts w:hint="eastAsia" w:ascii="宋体" w:hAnsi="宋体"/>
                <w:sz w:val="16"/>
                <w:lang w:eastAsia="zh-CN"/>
              </w:rPr>
              <w:t>区</w:t>
            </w:r>
            <w:r>
              <w:rPr>
                <w:rFonts w:ascii="宋体" w:hAnsi="宋体" w:eastAsia="宋体"/>
                <w:sz w:val="16"/>
              </w:rPr>
              <w:t>市监局加强我区重点产品质量监督管理。4、帮助企业提高产品的质量。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D86F74">
            <w:pPr>
              <w:jc w:val="both"/>
            </w:pPr>
            <w:r>
              <w:rPr>
                <w:rFonts w:hint="eastAsia" w:ascii="宋体" w:hAnsi="宋体"/>
                <w:sz w:val="16"/>
                <w:lang w:eastAsia="zh-CN"/>
              </w:rPr>
              <w:t>“双随机、一公开”</w:t>
            </w:r>
            <w:r>
              <w:rPr>
                <w:rFonts w:ascii="宋体" w:hAnsi="宋体" w:eastAsia="宋体"/>
                <w:sz w:val="16"/>
              </w:rPr>
              <w:t>抽查工作高质量</w:t>
            </w:r>
            <w:r>
              <w:rPr>
                <w:rFonts w:hint="eastAsia" w:ascii="宋体" w:hAnsi="宋体"/>
                <w:sz w:val="16"/>
                <w:lang w:eastAsia="zh-CN"/>
              </w:rPr>
              <w:t>地</w:t>
            </w:r>
            <w:r>
              <w:rPr>
                <w:rFonts w:ascii="宋体" w:hAnsi="宋体" w:eastAsia="宋体"/>
                <w:sz w:val="16"/>
              </w:rPr>
              <w:t>开展；全年完成了314批次的监督抽检</w:t>
            </w:r>
            <w:r>
              <w:rPr>
                <w:rFonts w:hint="eastAsia" w:ascii="宋体" w:hAnsi="宋体"/>
                <w:sz w:val="16"/>
                <w:lang w:eastAsia="zh-CN"/>
              </w:rPr>
              <w:t>任务</w:t>
            </w:r>
            <w:r>
              <w:rPr>
                <w:rFonts w:ascii="宋体" w:hAnsi="宋体" w:eastAsia="宋体"/>
                <w:sz w:val="16"/>
              </w:rPr>
              <w:t>，完成了监督抽查检验工作；将监督抽查检验结果在新疆维吾尔自治区产品质量监督管理系统里录入，使得我区产品得到更好的监督管理，以此</w:t>
            </w:r>
            <w:r>
              <w:rPr>
                <w:rFonts w:hint="eastAsia" w:ascii="宋体" w:hAnsi="宋体"/>
                <w:sz w:val="16"/>
                <w:lang w:eastAsia="zh-CN"/>
              </w:rPr>
              <w:t>能更好地</w:t>
            </w:r>
            <w:r>
              <w:rPr>
                <w:rFonts w:ascii="宋体" w:hAnsi="宋体" w:eastAsia="宋体"/>
                <w:sz w:val="16"/>
              </w:rPr>
              <w:t>监督及帮助企业提高产品的质量。</w:t>
            </w:r>
          </w:p>
        </w:tc>
      </w:tr>
      <w:tr w14:paraId="0A0266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DC7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82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95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BD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CF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AE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6B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08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A6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F3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41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EE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B3D6">
            <w:pPr>
              <w:jc w:val="center"/>
            </w:pPr>
            <w:r>
              <w:rPr>
                <w:rFonts w:ascii="宋体" w:hAnsi="宋体" w:eastAsia="宋体"/>
                <w:sz w:val="16"/>
              </w:rPr>
              <w:t>偏差原因分析及改进措施</w:t>
            </w:r>
          </w:p>
        </w:tc>
      </w:tr>
      <w:tr w14:paraId="0911E0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5FA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D83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2B6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637C">
            <w:pPr>
              <w:jc w:val="center"/>
            </w:pPr>
            <w:r>
              <w:rPr>
                <w:rFonts w:ascii="宋体" w:hAnsi="宋体" w:eastAsia="宋体"/>
                <w:sz w:val="16"/>
              </w:rPr>
              <w:t>抽检人员数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39E8">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1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3A23">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621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98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B6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81EB">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BEBC">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BCD3">
            <w:pPr>
              <w:jc w:val="center"/>
            </w:pPr>
          </w:p>
        </w:tc>
      </w:tr>
      <w:tr w14:paraId="33F7D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64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51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3B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88E0">
            <w:pPr>
              <w:jc w:val="center"/>
            </w:pPr>
            <w:r>
              <w:rPr>
                <w:rFonts w:ascii="宋体" w:hAnsi="宋体" w:eastAsia="宋体"/>
                <w:sz w:val="16"/>
              </w:rPr>
              <w:t>监督抽查检验批次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3CDE">
            <w:pPr>
              <w:jc w:val="center"/>
            </w:pPr>
            <w:r>
              <w:rPr>
                <w:rFonts w:ascii="宋体" w:hAnsi="宋体" w:eastAsia="宋体"/>
                <w:sz w:val="16"/>
              </w:rPr>
              <w:t>&gt;=200批次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E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AD24">
            <w:pPr>
              <w:jc w:val="center"/>
            </w:pPr>
            <w:r>
              <w:rPr>
                <w:rFonts w:ascii="宋体" w:hAnsi="宋体" w:eastAsia="宋体"/>
                <w:sz w:val="16"/>
              </w:rPr>
              <w:t>232批次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34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1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7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2D79">
            <w:pPr>
              <w:jc w:val="center"/>
            </w:pPr>
            <w:r>
              <w:rPr>
                <w:rFonts w:ascii="宋体" w:hAnsi="宋体" w:eastAsia="宋体"/>
                <w:sz w:val="16"/>
              </w:rPr>
              <w:t>=210批次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8E34">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49A2F">
            <w:pPr>
              <w:jc w:val="center"/>
            </w:pPr>
            <w:r>
              <w:rPr>
                <w:rFonts w:ascii="宋体" w:hAnsi="宋体" w:eastAsia="宋体"/>
                <w:sz w:val="16"/>
              </w:rPr>
              <w:t>偏差原因：抽样人员在抽样过程中多抽导致的误差，所以存在偏差。</w:t>
            </w:r>
          </w:p>
        </w:tc>
      </w:tr>
      <w:tr w14:paraId="300B7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07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A9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3D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2B97">
            <w:pPr>
              <w:jc w:val="center"/>
            </w:pPr>
            <w:r>
              <w:rPr>
                <w:rFonts w:ascii="宋体" w:hAnsi="宋体" w:eastAsia="宋体"/>
                <w:sz w:val="16"/>
              </w:rPr>
              <w:t>重点使用计量器具受检率（%）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5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27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1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96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4B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62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49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A9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35D9D">
            <w:pPr>
              <w:jc w:val="center"/>
            </w:pPr>
          </w:p>
        </w:tc>
      </w:tr>
      <w:tr w14:paraId="52BC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90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9EF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2E1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BD47">
            <w:pPr>
              <w:jc w:val="center"/>
            </w:pPr>
            <w:r>
              <w:rPr>
                <w:rFonts w:ascii="宋体" w:hAnsi="宋体" w:eastAsia="宋体"/>
                <w:sz w:val="16"/>
              </w:rPr>
              <w:t>出具检测报告的期限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692D">
            <w:pPr>
              <w:jc w:val="center"/>
            </w:pPr>
            <w:r>
              <w:rPr>
                <w:rFonts w:ascii="宋体" w:hAnsi="宋体" w:eastAsia="宋体"/>
                <w:sz w:val="16"/>
              </w:rPr>
              <w:t>&lt;=15天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291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4B95">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D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A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14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FFAE">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54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C64B">
            <w:pPr>
              <w:jc w:val="center"/>
            </w:pPr>
          </w:p>
        </w:tc>
      </w:tr>
      <w:tr w14:paraId="0E650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C8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28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2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FE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2FD0">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F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534A">
            <w:pPr>
              <w:jc w:val="center"/>
            </w:pPr>
            <w:r>
              <w:rPr>
                <w:rFonts w:ascii="宋体" w:hAnsi="宋体" w:eastAsia="宋体"/>
                <w:sz w:val="16"/>
              </w:rPr>
              <w:t>2023年10月31日前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5B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C0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F8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1583">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6D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08AB2">
            <w:pPr>
              <w:jc w:val="center"/>
            </w:pPr>
          </w:p>
        </w:tc>
      </w:tr>
      <w:tr w14:paraId="37D29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87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A2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77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D061">
            <w:pPr>
              <w:jc w:val="center"/>
            </w:pPr>
            <w:r>
              <w:rPr>
                <w:rFonts w:ascii="宋体" w:hAnsi="宋体" w:eastAsia="宋体"/>
                <w:sz w:val="16"/>
              </w:rPr>
              <w:t>监督抽查检验成本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ECAC">
            <w:pPr>
              <w:jc w:val="center"/>
            </w:pPr>
            <w:r>
              <w:rPr>
                <w:rFonts w:ascii="宋体" w:hAnsi="宋体" w:eastAsia="宋体"/>
                <w:sz w:val="16"/>
              </w:rPr>
              <w:t>&lt;=0.134万元/批次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759D">
            <w:pPr>
              <w:jc w:val="center"/>
            </w:pPr>
            <w:r>
              <w:rPr>
                <w:rFonts w:ascii="宋体" w:hAnsi="宋体" w:eastAsia="宋体"/>
                <w:sz w:val="16"/>
              </w:rPr>
              <w:t>0.115万元/批次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D7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A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7A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DE05">
            <w:pPr>
              <w:jc w:val="center"/>
            </w:pPr>
            <w:r>
              <w:rPr>
                <w:rFonts w:ascii="宋体" w:hAnsi="宋体" w:eastAsia="宋体"/>
                <w:sz w:val="16"/>
              </w:rPr>
              <w:t>=0.128万元/批次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D337">
            <w:pPr>
              <w:jc w:val="center"/>
            </w:pPr>
            <w:r>
              <w:rPr>
                <w:rFonts w:ascii="宋体" w:hAnsi="宋体" w:eastAsia="宋体"/>
                <w:sz w:val="16"/>
              </w:rPr>
              <w:t>17.76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74C22">
            <w:pPr>
              <w:jc w:val="center"/>
            </w:pPr>
            <w:r>
              <w:rPr>
                <w:rFonts w:ascii="宋体" w:hAnsi="宋体" w:eastAsia="宋体"/>
                <w:sz w:val="16"/>
              </w:rPr>
              <w:t>偏差原因：因抽样比预期目标值多抽，导致监督抽查检验成本实际值产生偏差。</w:t>
            </w:r>
          </w:p>
        </w:tc>
      </w:tr>
      <w:tr w14:paraId="1572D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FA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F0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75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9D64">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64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80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26E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83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EB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0E5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24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45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EBD03">
            <w:pPr>
              <w:jc w:val="center"/>
            </w:pPr>
          </w:p>
        </w:tc>
      </w:tr>
      <w:tr w14:paraId="2FB87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8B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DB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A5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62E6">
            <w:pPr>
              <w:jc w:val="center"/>
            </w:pPr>
            <w:r>
              <w:rPr>
                <w:rFonts w:ascii="宋体" w:hAnsi="宋体" w:eastAsia="宋体"/>
                <w:sz w:val="16"/>
              </w:rPr>
              <w:t>对抽检人员的满意度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F4A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7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0D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E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66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B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06B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2B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73B7">
            <w:pPr>
              <w:jc w:val="center"/>
            </w:pPr>
          </w:p>
        </w:tc>
      </w:tr>
      <w:tr w14:paraId="210006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836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B5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30E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CEB9">
            <w:pPr>
              <w:jc w:val="center"/>
            </w:pPr>
            <w:r>
              <w:rPr>
                <w:rFonts w:ascii="宋体" w:hAnsi="宋体" w:eastAsia="宋体"/>
                <w:sz w:val="16"/>
              </w:rPr>
              <w:t>97.51分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709661"/>
        </w:tc>
      </w:tr>
    </w:tbl>
    <w:p w14:paraId="5BCAC583">
      <w:r>
        <w:br w:type="page"/>
      </w:r>
    </w:p>
    <w:tbl>
      <w:tblPr>
        <w:tblStyle w:val="9"/>
        <w:tblW w:w="0" w:type="auto"/>
        <w:tblInd w:w="0" w:type="dxa"/>
        <w:tblLayout w:type="autofit"/>
        <w:tblCellMar>
          <w:top w:w="0" w:type="dxa"/>
          <w:left w:w="108" w:type="dxa"/>
          <w:bottom w:w="0" w:type="dxa"/>
          <w:right w:w="108" w:type="dxa"/>
        </w:tblCellMar>
      </w:tblPr>
      <w:tblGrid>
        <w:gridCol w:w="618"/>
        <w:gridCol w:w="597"/>
        <w:gridCol w:w="598"/>
        <w:gridCol w:w="619"/>
        <w:gridCol w:w="856"/>
        <w:gridCol w:w="598"/>
        <w:gridCol w:w="776"/>
        <w:gridCol w:w="608"/>
        <w:gridCol w:w="598"/>
        <w:gridCol w:w="598"/>
        <w:gridCol w:w="776"/>
        <w:gridCol w:w="630"/>
        <w:gridCol w:w="556"/>
        <w:gridCol w:w="632"/>
      </w:tblGrid>
      <w:tr w14:paraId="35C54702">
        <w:tblPrEx>
          <w:tblCellMar>
            <w:top w:w="0" w:type="dxa"/>
            <w:left w:w="108" w:type="dxa"/>
            <w:bottom w:w="0" w:type="dxa"/>
            <w:right w:w="108" w:type="dxa"/>
          </w:tblCellMar>
        </w:tblPrEx>
        <w:tc>
          <w:tcPr>
            <w:tcW w:w="8848" w:type="dxa"/>
            <w:gridSpan w:val="14"/>
            <w:vAlign w:val="center"/>
          </w:tcPr>
          <w:p w14:paraId="35FA6C52">
            <w:pPr>
              <w:jc w:val="center"/>
            </w:pPr>
            <w:r>
              <w:rPr>
                <w:rFonts w:ascii="宋体" w:hAnsi="宋体" w:eastAsia="宋体"/>
                <w:sz w:val="24"/>
              </w:rPr>
              <w:t>项目支出绩效自评表</w:t>
            </w:r>
          </w:p>
        </w:tc>
      </w:tr>
      <w:tr w14:paraId="6D674A85">
        <w:tblPrEx>
          <w:tblCellMar>
            <w:top w:w="0" w:type="dxa"/>
            <w:left w:w="108" w:type="dxa"/>
            <w:bottom w:w="0" w:type="dxa"/>
            <w:right w:w="108" w:type="dxa"/>
          </w:tblCellMar>
        </w:tblPrEx>
        <w:tc>
          <w:tcPr>
            <w:tcW w:w="8848" w:type="dxa"/>
            <w:gridSpan w:val="14"/>
            <w:vAlign w:val="center"/>
          </w:tcPr>
          <w:p w14:paraId="6F95B5B5">
            <w:pPr>
              <w:jc w:val="center"/>
            </w:pPr>
            <w:r>
              <w:rPr>
                <w:rFonts w:ascii="宋体" w:hAnsi="宋体" w:eastAsia="宋体"/>
                <w:sz w:val="24"/>
              </w:rPr>
              <w:t>(2024年度)</w:t>
            </w:r>
          </w:p>
        </w:tc>
      </w:tr>
      <w:tr w14:paraId="5E13F3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D3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4EB3B3">
            <w:pPr>
              <w:jc w:val="center"/>
            </w:pPr>
            <w:r>
              <w:rPr>
                <w:rFonts w:ascii="宋体" w:hAnsi="宋体" w:eastAsia="宋体"/>
                <w:sz w:val="16"/>
              </w:rPr>
              <w:t>检验检测成本性支出项目</w:t>
            </w:r>
          </w:p>
        </w:tc>
      </w:tr>
      <w:tr w14:paraId="03722F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F0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55488">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C8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5ABF81">
            <w:pPr>
              <w:jc w:val="center"/>
            </w:pPr>
            <w:r>
              <w:rPr>
                <w:rFonts w:ascii="宋体" w:hAnsi="宋体" w:eastAsia="宋体"/>
                <w:sz w:val="16"/>
              </w:rPr>
              <w:t>喀什地区产品质量检验所</w:t>
            </w:r>
          </w:p>
        </w:tc>
      </w:tr>
      <w:tr w14:paraId="5C7327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A8A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AA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4D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47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678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ED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48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B262">
            <w:pPr>
              <w:jc w:val="center"/>
            </w:pPr>
            <w:r>
              <w:rPr>
                <w:rFonts w:ascii="宋体" w:hAnsi="宋体" w:eastAsia="宋体"/>
                <w:sz w:val="16"/>
              </w:rPr>
              <w:t>得分</w:t>
            </w:r>
          </w:p>
        </w:tc>
      </w:tr>
      <w:tr w14:paraId="04EC3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BEB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9C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A2DD">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09757">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820D">
            <w:pPr>
              <w:jc w:val="center"/>
            </w:pPr>
            <w:r>
              <w:rPr>
                <w:rFonts w:ascii="宋体" w:hAnsi="宋体" w:eastAsia="宋体"/>
                <w:sz w:val="16"/>
              </w:rPr>
              <w:t>85.86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B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554D">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C276">
            <w:pPr>
              <w:jc w:val="center"/>
            </w:pPr>
            <w:r>
              <w:rPr>
                <w:rFonts w:ascii="宋体" w:hAnsi="宋体" w:eastAsia="宋体"/>
                <w:sz w:val="16"/>
              </w:rPr>
              <w:t>10.00分</w:t>
            </w:r>
          </w:p>
        </w:tc>
      </w:tr>
      <w:tr w14:paraId="2F7EC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DF4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3C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6F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8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67B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8F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B5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7E87">
            <w:pPr>
              <w:jc w:val="center"/>
            </w:pPr>
            <w:r>
              <w:rPr>
                <w:rFonts w:ascii="宋体" w:hAnsi="宋体" w:eastAsia="宋体"/>
                <w:sz w:val="16"/>
              </w:rPr>
              <w:t>—</w:t>
            </w:r>
          </w:p>
        </w:tc>
      </w:tr>
      <w:tr w14:paraId="088EB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ACA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2BA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08DFB">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F449B">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5693">
            <w:pPr>
              <w:jc w:val="center"/>
            </w:pPr>
            <w:r>
              <w:rPr>
                <w:rFonts w:ascii="宋体" w:hAnsi="宋体" w:eastAsia="宋体"/>
                <w:sz w:val="16"/>
              </w:rPr>
              <w:t>85.86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0CD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81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53E6">
            <w:pPr>
              <w:jc w:val="center"/>
            </w:pPr>
            <w:r>
              <w:rPr>
                <w:rFonts w:ascii="宋体" w:hAnsi="宋体" w:eastAsia="宋体"/>
                <w:sz w:val="16"/>
              </w:rPr>
              <w:t>—</w:t>
            </w:r>
          </w:p>
        </w:tc>
      </w:tr>
      <w:tr w14:paraId="0D2F75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F27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0FE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17118">
            <w:pPr>
              <w:jc w:val="center"/>
            </w:pPr>
            <w:r>
              <w:rPr>
                <w:rFonts w:ascii="宋体" w:hAnsi="宋体" w:eastAsia="宋体"/>
                <w:sz w:val="16"/>
              </w:rPr>
              <w:t>实际完成情况</w:t>
            </w:r>
          </w:p>
        </w:tc>
      </w:tr>
      <w:tr w14:paraId="125CC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18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55A59">
            <w:pPr>
              <w:jc w:val="both"/>
            </w:pPr>
            <w:r>
              <w:rPr>
                <w:rFonts w:ascii="宋体" w:hAnsi="宋体" w:eastAsia="宋体"/>
                <w:sz w:val="16"/>
              </w:rPr>
              <w:t>依据《中华人民共和国产品质量法》，依法对我区生产企业产品开展产品质量委托检验，对产品质量委托检验成本经费申请立项，符合国家、自治区以及喀什地区等对检验检测机构的规划和法律法规。 1、完成全年预计的2400批次的检验任务。 2、确保产品委托检验报告能高效出具； 3、保障业务收入的完成 4、提升业务保障能力。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DE8EB5">
            <w:pPr>
              <w:jc w:val="both"/>
            </w:pPr>
            <w:r>
              <w:rPr>
                <w:rFonts w:ascii="宋体" w:hAnsi="宋体" w:eastAsia="宋体"/>
                <w:sz w:val="16"/>
              </w:rPr>
              <w:t>该项目确保了全年检验报告2583批次的高效出具，完成了全年检测的任务；使报告能在有效的时间内及时出具，业务能力得到保障，使得检验业务收入636万元顺利完成。</w:t>
            </w:r>
          </w:p>
        </w:tc>
      </w:tr>
      <w:tr w14:paraId="7E3089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152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F9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99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D7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7E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BB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ED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3A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23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05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B8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B1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AE856">
            <w:pPr>
              <w:jc w:val="center"/>
            </w:pPr>
            <w:r>
              <w:rPr>
                <w:rFonts w:ascii="宋体" w:hAnsi="宋体" w:eastAsia="宋体"/>
                <w:sz w:val="16"/>
              </w:rPr>
              <w:t>偏差原因分析及改进措施</w:t>
            </w:r>
          </w:p>
        </w:tc>
      </w:tr>
      <w:tr w14:paraId="001A4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506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27DD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64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B5AD">
            <w:pPr>
              <w:jc w:val="center"/>
            </w:pPr>
            <w:r>
              <w:rPr>
                <w:rFonts w:ascii="宋体" w:hAnsi="宋体" w:eastAsia="宋体"/>
                <w:sz w:val="16"/>
              </w:rPr>
              <w:t>全年受托产品检验批次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CDC5">
            <w:pPr>
              <w:jc w:val="center"/>
            </w:pPr>
            <w:r>
              <w:rPr>
                <w:rFonts w:ascii="宋体" w:hAnsi="宋体" w:eastAsia="宋体"/>
                <w:sz w:val="16"/>
              </w:rPr>
              <w:t>&gt;=2400批次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64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51AD">
            <w:pPr>
              <w:jc w:val="center"/>
            </w:pPr>
            <w:r>
              <w:rPr>
                <w:rFonts w:ascii="宋体" w:hAnsi="宋体" w:eastAsia="宋体"/>
                <w:sz w:val="16"/>
              </w:rPr>
              <w:t>2400批次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D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F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33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F516">
            <w:pPr>
              <w:jc w:val="center"/>
            </w:pPr>
            <w:r>
              <w:rPr>
                <w:rFonts w:ascii="宋体" w:hAnsi="宋体" w:eastAsia="宋体"/>
                <w:sz w:val="16"/>
              </w:rPr>
              <w:t>=2583批次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CAA4">
            <w:pPr>
              <w:jc w:val="center"/>
            </w:pPr>
            <w:r>
              <w:rPr>
                <w:rFonts w:ascii="宋体" w:hAnsi="宋体" w:eastAsia="宋体"/>
                <w:sz w:val="16"/>
              </w:rPr>
              <w:t>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1197">
            <w:pPr>
              <w:jc w:val="center"/>
            </w:pPr>
            <w:r>
              <w:rPr>
                <w:rFonts w:ascii="宋体" w:hAnsi="宋体" w:eastAsia="宋体"/>
                <w:sz w:val="16"/>
              </w:rPr>
              <w:t>偏差原因：全年预计检验批次2400批次，因有风险监测及能力比对等检验批次，比预计的超出了183批次，导致了偏差。</w:t>
            </w:r>
          </w:p>
        </w:tc>
      </w:tr>
      <w:tr w14:paraId="6A70E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06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70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3B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C747">
            <w:pPr>
              <w:jc w:val="center"/>
            </w:pPr>
            <w:r>
              <w:rPr>
                <w:rFonts w:ascii="宋体" w:hAnsi="宋体" w:eastAsia="宋体"/>
                <w:sz w:val="16"/>
              </w:rPr>
              <w:t>重点使用计量器具检定率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A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F2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4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11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C2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4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0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77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6DAF">
            <w:pPr>
              <w:jc w:val="center"/>
            </w:pPr>
          </w:p>
        </w:tc>
      </w:tr>
      <w:tr w14:paraId="6B0CD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E6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126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B61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1651">
            <w:pPr>
              <w:jc w:val="center"/>
            </w:pPr>
            <w:r>
              <w:rPr>
                <w:rFonts w:ascii="宋体" w:hAnsi="宋体" w:eastAsia="宋体"/>
                <w:sz w:val="16"/>
              </w:rPr>
              <w:t>出具检测报告的期限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A1BA">
            <w:pPr>
              <w:jc w:val="center"/>
            </w:pPr>
            <w:r>
              <w:rPr>
                <w:rFonts w:ascii="宋体" w:hAnsi="宋体" w:eastAsia="宋体"/>
                <w:sz w:val="16"/>
              </w:rPr>
              <w:t>&lt;=15天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FB7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CA37">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A6E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7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32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FE10">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FBB8">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4AE7">
            <w:pPr>
              <w:jc w:val="center"/>
            </w:pPr>
          </w:p>
        </w:tc>
      </w:tr>
      <w:tr w14:paraId="76DED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1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2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9F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49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D3B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3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CAB0">
            <w:pPr>
              <w:jc w:val="center"/>
            </w:pPr>
            <w:r>
              <w:rPr>
                <w:rFonts w:ascii="宋体" w:hAnsi="宋体" w:eastAsia="宋体"/>
                <w:sz w:val="16"/>
              </w:rPr>
              <w:t>2023年12月30日前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D8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49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89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994C">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EC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7A01">
            <w:pPr>
              <w:jc w:val="center"/>
            </w:pPr>
          </w:p>
        </w:tc>
      </w:tr>
      <w:tr w14:paraId="40B1C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05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CE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F9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E70B">
            <w:pPr>
              <w:jc w:val="center"/>
            </w:pPr>
            <w:r>
              <w:rPr>
                <w:rFonts w:ascii="宋体" w:hAnsi="宋体" w:eastAsia="宋体"/>
                <w:sz w:val="16"/>
              </w:rPr>
              <w:t>检验产品的成本性支出（万元/批次）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BB09">
            <w:pPr>
              <w:jc w:val="center"/>
            </w:pPr>
            <w:r>
              <w:rPr>
                <w:rFonts w:ascii="宋体" w:hAnsi="宋体" w:eastAsia="宋体"/>
                <w:sz w:val="16"/>
              </w:rPr>
              <w:t>&lt;=0.0358万元/批次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5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5824">
            <w:pPr>
              <w:jc w:val="center"/>
            </w:pPr>
            <w:r>
              <w:rPr>
                <w:rFonts w:ascii="宋体" w:hAnsi="宋体" w:eastAsia="宋体"/>
                <w:sz w:val="16"/>
              </w:rPr>
              <w:t>&lt;=0.035万元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67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7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8B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9389">
            <w:pPr>
              <w:jc w:val="center"/>
            </w:pPr>
            <w:r>
              <w:rPr>
                <w:rFonts w:ascii="宋体" w:hAnsi="宋体" w:eastAsia="宋体"/>
                <w:sz w:val="16"/>
              </w:rPr>
              <w:t>=0.0332万元/批次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0639">
            <w:pPr>
              <w:jc w:val="center"/>
            </w:pPr>
            <w:r>
              <w:rPr>
                <w:rFonts w:ascii="宋体" w:hAnsi="宋体" w:eastAsia="宋体"/>
                <w:sz w:val="16"/>
              </w:rPr>
              <w:t>16.47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D6ED">
            <w:pPr>
              <w:jc w:val="center"/>
            </w:pPr>
            <w:r>
              <w:rPr>
                <w:rFonts w:ascii="宋体" w:hAnsi="宋体" w:eastAsia="宋体"/>
                <w:sz w:val="16"/>
              </w:rPr>
              <w:t>偏差原因：因全年受托产品批次比预期多，导致平均成本降低，从而出现偏差，改进措施：精确全年检验计划，精确平均成本，降低偏差。</w:t>
            </w:r>
          </w:p>
        </w:tc>
      </w:tr>
      <w:tr w14:paraId="1AEF1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0B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AD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634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7CE6">
            <w:pPr>
              <w:jc w:val="center"/>
            </w:pPr>
            <w:r>
              <w:rPr>
                <w:rFonts w:ascii="宋体" w:hAnsi="宋体" w:eastAsia="宋体"/>
                <w:sz w:val="16"/>
              </w:rPr>
              <w:t>业务收入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CA49">
            <w:pPr>
              <w:jc w:val="center"/>
            </w:pPr>
            <w:r>
              <w:rPr>
                <w:rFonts w:ascii="宋体" w:hAnsi="宋体" w:eastAsia="宋体"/>
                <w:sz w:val="16"/>
              </w:rPr>
              <w:t>&gt;=450万元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D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EE12">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66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7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F8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8350">
            <w:pPr>
              <w:jc w:val="center"/>
            </w:pPr>
            <w:r>
              <w:rPr>
                <w:rFonts w:ascii="宋体" w:hAnsi="宋体" w:eastAsia="宋体"/>
                <w:sz w:val="16"/>
              </w:rPr>
              <w:t>=636万元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A3DB">
            <w:pPr>
              <w:jc w:val="center"/>
            </w:pPr>
            <w:r>
              <w:rPr>
                <w:rFonts w:ascii="宋体" w:hAnsi="宋体" w:eastAsia="宋体"/>
                <w:sz w:val="16"/>
              </w:rPr>
              <w:t>11.73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9EA5">
            <w:pPr>
              <w:jc w:val="center"/>
            </w:pPr>
            <w:r>
              <w:rPr>
                <w:rFonts w:ascii="宋体" w:hAnsi="宋体" w:eastAsia="宋体"/>
                <w:sz w:val="16"/>
              </w:rPr>
              <w:t>偏差原因：因为“煤改电”检验收入有不确定因素，根据各个县（市）财力的</w:t>
            </w:r>
            <w:r>
              <w:rPr>
                <w:rFonts w:hint="eastAsia" w:ascii="宋体" w:hAnsi="宋体"/>
                <w:sz w:val="16"/>
                <w:lang w:eastAsia="zh-CN"/>
              </w:rPr>
              <w:t>偿还</w:t>
            </w:r>
            <w:r>
              <w:rPr>
                <w:rFonts w:ascii="宋体" w:hAnsi="宋体" w:eastAsia="宋体"/>
                <w:sz w:val="16"/>
              </w:rPr>
              <w:t>情况，导致业务收入指标偏差较大。</w:t>
            </w:r>
          </w:p>
        </w:tc>
      </w:tr>
      <w:tr w14:paraId="5F0A0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77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07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9D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9AD2">
            <w:pPr>
              <w:jc w:val="center"/>
            </w:pPr>
            <w:r>
              <w:rPr>
                <w:rFonts w:ascii="宋体" w:hAnsi="宋体" w:eastAsia="宋体"/>
                <w:sz w:val="16"/>
              </w:rPr>
              <w:t>客户满意度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195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3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693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15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7A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7F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E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6D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89F80">
            <w:pPr>
              <w:jc w:val="center"/>
            </w:pPr>
            <w:r>
              <w:rPr>
                <w:rFonts w:ascii="宋体" w:hAnsi="宋体" w:eastAsia="宋体"/>
                <w:sz w:val="16"/>
              </w:rPr>
              <w:t>偏差原因：客户满意度设置不够精确，产生了偏差。</w:t>
            </w:r>
          </w:p>
        </w:tc>
      </w:tr>
      <w:tr w14:paraId="597A7A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18F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49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C44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A6D4">
            <w:pPr>
              <w:jc w:val="center"/>
            </w:pPr>
            <w:r>
              <w:rPr>
                <w:rFonts w:ascii="宋体" w:hAnsi="宋体" w:eastAsia="宋体"/>
                <w:sz w:val="16"/>
              </w:rPr>
              <w:t>87.44分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4C8217"/>
        </w:tc>
      </w:tr>
    </w:tbl>
    <w:p w14:paraId="44A7EE8F">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96"/>
        <w:gridCol w:w="856"/>
        <w:gridCol w:w="606"/>
        <w:gridCol w:w="630"/>
        <w:gridCol w:w="614"/>
        <w:gridCol w:w="606"/>
        <w:gridCol w:w="606"/>
        <w:gridCol w:w="776"/>
        <w:gridCol w:w="632"/>
        <w:gridCol w:w="574"/>
        <w:gridCol w:w="630"/>
      </w:tblGrid>
      <w:tr w14:paraId="16B99C9E">
        <w:tblPrEx>
          <w:tblCellMar>
            <w:top w:w="0" w:type="dxa"/>
            <w:left w:w="108" w:type="dxa"/>
            <w:bottom w:w="0" w:type="dxa"/>
            <w:right w:w="108" w:type="dxa"/>
          </w:tblCellMar>
        </w:tblPrEx>
        <w:tc>
          <w:tcPr>
            <w:tcW w:w="8848" w:type="dxa"/>
            <w:gridSpan w:val="14"/>
            <w:vAlign w:val="center"/>
          </w:tcPr>
          <w:p w14:paraId="6D66B757">
            <w:pPr>
              <w:jc w:val="center"/>
            </w:pPr>
            <w:r>
              <w:rPr>
                <w:rFonts w:ascii="宋体" w:hAnsi="宋体" w:eastAsia="宋体"/>
                <w:sz w:val="24"/>
              </w:rPr>
              <w:t>项目支出绩效自评表</w:t>
            </w:r>
          </w:p>
        </w:tc>
      </w:tr>
      <w:tr w14:paraId="01F6B765">
        <w:tblPrEx>
          <w:tblCellMar>
            <w:top w:w="0" w:type="dxa"/>
            <w:left w:w="108" w:type="dxa"/>
            <w:bottom w:w="0" w:type="dxa"/>
            <w:right w:w="108" w:type="dxa"/>
          </w:tblCellMar>
        </w:tblPrEx>
        <w:tc>
          <w:tcPr>
            <w:tcW w:w="8848" w:type="dxa"/>
            <w:gridSpan w:val="14"/>
            <w:vAlign w:val="center"/>
          </w:tcPr>
          <w:p w14:paraId="364D5114">
            <w:pPr>
              <w:jc w:val="center"/>
            </w:pPr>
            <w:r>
              <w:rPr>
                <w:rFonts w:ascii="宋体" w:hAnsi="宋体" w:eastAsia="宋体"/>
                <w:sz w:val="24"/>
              </w:rPr>
              <w:t>(2024年度)</w:t>
            </w:r>
          </w:p>
        </w:tc>
      </w:tr>
      <w:tr w14:paraId="0DDCB0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32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5B0853">
            <w:pPr>
              <w:jc w:val="center"/>
            </w:pPr>
            <w:r>
              <w:rPr>
                <w:rFonts w:ascii="宋体" w:hAnsi="宋体" w:eastAsia="宋体"/>
                <w:sz w:val="16"/>
              </w:rPr>
              <w:t>检验检测设备购置项目</w:t>
            </w:r>
          </w:p>
        </w:tc>
      </w:tr>
      <w:tr w14:paraId="232921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FF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023E9">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C3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821606">
            <w:pPr>
              <w:jc w:val="center"/>
            </w:pPr>
            <w:r>
              <w:rPr>
                <w:rFonts w:ascii="宋体" w:hAnsi="宋体" w:eastAsia="宋体"/>
                <w:sz w:val="16"/>
              </w:rPr>
              <w:t>喀什地区产品质量检验所</w:t>
            </w:r>
          </w:p>
        </w:tc>
      </w:tr>
      <w:tr w14:paraId="3205B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734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8E9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20C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31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F6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06A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472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4BBA">
            <w:pPr>
              <w:jc w:val="center"/>
            </w:pPr>
            <w:r>
              <w:rPr>
                <w:rFonts w:ascii="宋体" w:hAnsi="宋体" w:eastAsia="宋体"/>
                <w:sz w:val="16"/>
              </w:rPr>
              <w:t>得分</w:t>
            </w:r>
          </w:p>
        </w:tc>
      </w:tr>
      <w:tr w14:paraId="2151D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E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01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A9C05">
            <w:pPr>
              <w:jc w:val="center"/>
            </w:pPr>
            <w:r>
              <w:rPr>
                <w:rFonts w:ascii="宋体" w:hAnsi="宋体" w:eastAsia="宋体"/>
                <w:sz w:val="16"/>
              </w:rPr>
              <w:t>187.60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92992">
            <w:pPr>
              <w:jc w:val="center"/>
            </w:pPr>
            <w:r>
              <w:rPr>
                <w:rFonts w:ascii="宋体" w:hAnsi="宋体" w:eastAsia="宋体"/>
                <w:sz w:val="16"/>
              </w:rPr>
              <w:t>180.58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D1333">
            <w:pPr>
              <w:jc w:val="center"/>
            </w:pPr>
            <w:r>
              <w:rPr>
                <w:rFonts w:ascii="宋体" w:hAnsi="宋体" w:eastAsia="宋体"/>
                <w:sz w:val="16"/>
              </w:rPr>
              <w:t>180.58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AEC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790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E508">
            <w:pPr>
              <w:jc w:val="center"/>
            </w:pPr>
            <w:r>
              <w:rPr>
                <w:rFonts w:ascii="宋体" w:hAnsi="宋体" w:eastAsia="宋体"/>
                <w:sz w:val="16"/>
              </w:rPr>
              <w:t>10.00分</w:t>
            </w:r>
          </w:p>
        </w:tc>
      </w:tr>
      <w:tr w14:paraId="22CA8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DA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9E5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BE9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DE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F7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49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3AA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3590">
            <w:pPr>
              <w:jc w:val="center"/>
            </w:pPr>
            <w:r>
              <w:rPr>
                <w:rFonts w:ascii="宋体" w:hAnsi="宋体" w:eastAsia="宋体"/>
                <w:sz w:val="16"/>
              </w:rPr>
              <w:t>—</w:t>
            </w:r>
          </w:p>
        </w:tc>
      </w:tr>
      <w:tr w14:paraId="4131D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D8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A06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2F98">
            <w:pPr>
              <w:jc w:val="center"/>
            </w:pPr>
            <w:r>
              <w:rPr>
                <w:rFonts w:ascii="宋体" w:hAnsi="宋体" w:eastAsia="宋体"/>
                <w:sz w:val="16"/>
              </w:rPr>
              <w:t>187.60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FDD0D">
            <w:pPr>
              <w:jc w:val="center"/>
            </w:pPr>
            <w:r>
              <w:rPr>
                <w:rFonts w:ascii="宋体" w:hAnsi="宋体" w:eastAsia="宋体"/>
                <w:sz w:val="16"/>
              </w:rPr>
              <w:t>180.58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9A0FB">
            <w:pPr>
              <w:jc w:val="center"/>
            </w:pPr>
            <w:r>
              <w:rPr>
                <w:rFonts w:ascii="宋体" w:hAnsi="宋体" w:eastAsia="宋体"/>
                <w:sz w:val="16"/>
              </w:rPr>
              <w:t>180.58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05D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F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4A6F">
            <w:pPr>
              <w:jc w:val="center"/>
            </w:pPr>
            <w:r>
              <w:rPr>
                <w:rFonts w:ascii="宋体" w:hAnsi="宋体" w:eastAsia="宋体"/>
                <w:sz w:val="16"/>
              </w:rPr>
              <w:t>—</w:t>
            </w:r>
          </w:p>
        </w:tc>
      </w:tr>
      <w:tr w14:paraId="072E74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AAF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326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4AEB68">
            <w:pPr>
              <w:jc w:val="center"/>
            </w:pPr>
            <w:r>
              <w:rPr>
                <w:rFonts w:ascii="宋体" w:hAnsi="宋体" w:eastAsia="宋体"/>
                <w:sz w:val="16"/>
              </w:rPr>
              <w:t>实际完成情况</w:t>
            </w:r>
          </w:p>
        </w:tc>
      </w:tr>
      <w:tr w14:paraId="3EDC7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8B8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9A771">
            <w:pPr>
              <w:jc w:val="both"/>
            </w:pPr>
            <w:r>
              <w:rPr>
                <w:rFonts w:ascii="宋体" w:hAnsi="宋体" w:eastAsia="宋体"/>
                <w:sz w:val="16"/>
              </w:rPr>
              <w:t>根据</w:t>
            </w:r>
            <w:r>
              <w:rPr>
                <w:rFonts w:hint="eastAsia" w:ascii="宋体" w:hAnsi="宋体"/>
                <w:sz w:val="16"/>
                <w:lang w:eastAsia="zh-CN"/>
              </w:rPr>
              <w:t>《中华人民共和国政府采购法》</w:t>
            </w:r>
            <w:r>
              <w:rPr>
                <w:rFonts w:ascii="宋体" w:hAnsi="宋体" w:eastAsia="宋体"/>
                <w:sz w:val="16"/>
              </w:rPr>
              <w:t>和喀什地区产品质量检验所“十四五”发展规划，购置设备3台，为保障喀什地区化工电器产品的检验工作正常开展，我所亟待</w:t>
            </w:r>
            <w:r>
              <w:rPr>
                <w:rFonts w:hint="eastAsia" w:ascii="宋体" w:hAnsi="宋体"/>
                <w:sz w:val="16"/>
                <w:lang w:eastAsia="zh-CN"/>
              </w:rPr>
              <w:t>更新</w:t>
            </w:r>
            <w:r>
              <w:rPr>
                <w:rFonts w:ascii="宋体" w:hAnsi="宋体" w:eastAsia="宋体"/>
                <w:sz w:val="16"/>
              </w:rPr>
              <w:t>化工的成品油产品方面检测设备，更好地为社会提供准确的检测数据，为社会服务。 1、增加化工、电器等方面的设备检验水平，提高实验室检测能力。 2、确保检测数据的准确度 3、拓展新检验范围。 4、更好地服务地方企业，提高政府服务满意度。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815BD6">
            <w:pPr>
              <w:jc w:val="both"/>
            </w:pPr>
            <w:r>
              <w:rPr>
                <w:rFonts w:ascii="宋体" w:hAnsi="宋体" w:eastAsia="宋体"/>
                <w:sz w:val="16"/>
              </w:rPr>
              <w:t>完成了3台设备购置分别为辛烷值测定仪1台和恒温干燥箱2台；有效</w:t>
            </w:r>
            <w:r>
              <w:rPr>
                <w:rFonts w:hint="eastAsia" w:ascii="宋体" w:hAnsi="宋体"/>
                <w:sz w:val="16"/>
                <w:lang w:eastAsia="zh-CN"/>
              </w:rPr>
              <w:t>地</w:t>
            </w:r>
            <w:r>
              <w:rPr>
                <w:rFonts w:ascii="宋体" w:hAnsi="宋体" w:eastAsia="宋体"/>
                <w:sz w:val="16"/>
              </w:rPr>
              <w:t>解决了喀什地区成品油检测外送的困扰；拓展了检验范围；</w:t>
            </w:r>
            <w:r>
              <w:rPr>
                <w:rFonts w:hint="eastAsia" w:ascii="宋体" w:hAnsi="宋体"/>
                <w:sz w:val="16"/>
                <w:lang w:eastAsia="zh-CN"/>
              </w:rPr>
              <w:t>更好地服务</w:t>
            </w:r>
            <w:r>
              <w:rPr>
                <w:rFonts w:ascii="宋体" w:hAnsi="宋体" w:eastAsia="宋体"/>
                <w:sz w:val="16"/>
              </w:rPr>
              <w:t>当地的企业。</w:t>
            </w:r>
          </w:p>
        </w:tc>
      </w:tr>
      <w:tr w14:paraId="1F15B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326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02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7D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31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25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F0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9B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64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92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6B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15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9C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54BB2">
            <w:pPr>
              <w:jc w:val="center"/>
            </w:pPr>
            <w:r>
              <w:rPr>
                <w:rFonts w:ascii="宋体" w:hAnsi="宋体" w:eastAsia="宋体"/>
                <w:sz w:val="16"/>
              </w:rPr>
              <w:t>偏差原因分析及改进措施</w:t>
            </w:r>
          </w:p>
        </w:tc>
      </w:tr>
      <w:tr w14:paraId="3A9D3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4C3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00A6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D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039A">
            <w:pPr>
              <w:jc w:val="center"/>
            </w:pPr>
            <w:r>
              <w:rPr>
                <w:rFonts w:ascii="宋体" w:hAnsi="宋体" w:eastAsia="宋体"/>
                <w:sz w:val="16"/>
              </w:rPr>
              <w:t>检测设备购置数（台）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C1E2">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A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4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FC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0F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4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66A1">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63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CD71">
            <w:pPr>
              <w:jc w:val="center"/>
            </w:pPr>
          </w:p>
        </w:tc>
      </w:tr>
      <w:tr w14:paraId="42071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46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176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4EB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4A2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4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47C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3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8F0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7B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BD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D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2CC6">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3D8AC">
            <w:pPr>
              <w:jc w:val="center"/>
            </w:pPr>
          </w:p>
        </w:tc>
      </w:tr>
      <w:tr w14:paraId="64121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3A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09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30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568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7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FF7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7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2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1D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9B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4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44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D4DCA">
            <w:pPr>
              <w:jc w:val="center"/>
            </w:pPr>
          </w:p>
        </w:tc>
      </w:tr>
      <w:tr w14:paraId="28AB7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B6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E2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8D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2F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344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8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93A6">
            <w:pPr>
              <w:jc w:val="center"/>
            </w:pPr>
            <w:r>
              <w:rPr>
                <w:rFonts w:ascii="宋体" w:hAnsi="宋体" w:eastAsia="宋体"/>
                <w:sz w:val="16"/>
              </w:rPr>
              <w:t>2023年12月30日前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9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2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05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0C8A">
            <w:pPr>
              <w:jc w:val="center"/>
            </w:pPr>
            <w:r>
              <w:rPr>
                <w:rFonts w:ascii="宋体" w:hAnsi="宋体" w:eastAsia="宋体"/>
                <w:sz w:val="16"/>
              </w:rPr>
              <w:t>=</w:t>
            </w:r>
            <w:r>
              <w:rPr>
                <w:rFonts w:hint="eastAsia" w:ascii="宋体" w:hAnsi="宋体"/>
                <w:sz w:val="16"/>
                <w:lang w:eastAsia="zh-CN"/>
              </w:rPr>
              <w:t>2024年9月12日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B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CACE">
            <w:pPr>
              <w:jc w:val="center"/>
            </w:pPr>
          </w:p>
        </w:tc>
      </w:tr>
      <w:tr w14:paraId="65964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35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40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5C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76FA">
            <w:pPr>
              <w:jc w:val="center"/>
            </w:pPr>
            <w:r>
              <w:rPr>
                <w:rFonts w:ascii="宋体" w:hAnsi="宋体" w:eastAsia="宋体"/>
                <w:sz w:val="16"/>
              </w:rPr>
              <w:t>平均设备成本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210F">
            <w:pPr>
              <w:jc w:val="center"/>
            </w:pPr>
            <w:r>
              <w:rPr>
                <w:rFonts w:ascii="宋体" w:hAnsi="宋体" w:eastAsia="宋体"/>
                <w:sz w:val="16"/>
              </w:rPr>
              <w:t>&lt;=60.193万元/台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4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5866">
            <w:pPr>
              <w:jc w:val="center"/>
            </w:pPr>
            <w:r>
              <w:rPr>
                <w:rFonts w:ascii="宋体" w:hAnsi="宋体" w:eastAsia="宋体"/>
                <w:sz w:val="16"/>
              </w:rPr>
              <w:t>9.286万元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59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F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DD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17F0">
            <w:pPr>
              <w:jc w:val="center"/>
            </w:pPr>
            <w:r>
              <w:rPr>
                <w:rFonts w:ascii="宋体" w:hAnsi="宋体" w:eastAsia="宋体"/>
                <w:sz w:val="16"/>
              </w:rPr>
              <w:t>=60.193万元/台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69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6F37">
            <w:pPr>
              <w:jc w:val="center"/>
            </w:pPr>
          </w:p>
        </w:tc>
      </w:tr>
      <w:tr w14:paraId="119D8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36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71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772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9CB3">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B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FC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7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36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C7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3F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1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92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8A787">
            <w:pPr>
              <w:jc w:val="center"/>
            </w:pPr>
          </w:p>
        </w:tc>
      </w:tr>
      <w:tr w14:paraId="51438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04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DB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FB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B58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6F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378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5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9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FC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F6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D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B2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3952">
            <w:pPr>
              <w:jc w:val="center"/>
            </w:pPr>
          </w:p>
        </w:tc>
      </w:tr>
      <w:tr w14:paraId="3BB8AD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220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3A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612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19B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62F25"/>
        </w:tc>
      </w:tr>
    </w:tbl>
    <w:p w14:paraId="427E2E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D7C8A56">
        <w:tblPrEx>
          <w:tblCellMar>
            <w:top w:w="0" w:type="dxa"/>
            <w:left w:w="108" w:type="dxa"/>
            <w:bottom w:w="0" w:type="dxa"/>
            <w:right w:w="108" w:type="dxa"/>
          </w:tblCellMar>
        </w:tblPrEx>
        <w:tc>
          <w:tcPr>
            <w:tcW w:w="8848" w:type="dxa"/>
            <w:gridSpan w:val="14"/>
            <w:vAlign w:val="center"/>
          </w:tcPr>
          <w:p w14:paraId="00052F5F">
            <w:pPr>
              <w:jc w:val="center"/>
            </w:pPr>
            <w:r>
              <w:rPr>
                <w:rFonts w:ascii="宋体" w:hAnsi="宋体" w:eastAsia="宋体"/>
                <w:sz w:val="24"/>
              </w:rPr>
              <w:t>项目支出绩效自评表</w:t>
            </w:r>
          </w:p>
        </w:tc>
      </w:tr>
      <w:tr w14:paraId="4D4702EA">
        <w:tblPrEx>
          <w:tblCellMar>
            <w:top w:w="0" w:type="dxa"/>
            <w:left w:w="108" w:type="dxa"/>
            <w:bottom w:w="0" w:type="dxa"/>
            <w:right w:w="108" w:type="dxa"/>
          </w:tblCellMar>
        </w:tblPrEx>
        <w:tc>
          <w:tcPr>
            <w:tcW w:w="8848" w:type="dxa"/>
            <w:gridSpan w:val="14"/>
            <w:vAlign w:val="center"/>
          </w:tcPr>
          <w:p w14:paraId="2B0D57D5">
            <w:pPr>
              <w:jc w:val="center"/>
            </w:pPr>
            <w:r>
              <w:rPr>
                <w:rFonts w:ascii="宋体" w:hAnsi="宋体" w:eastAsia="宋体"/>
                <w:sz w:val="24"/>
              </w:rPr>
              <w:t>(2024年度)</w:t>
            </w:r>
          </w:p>
        </w:tc>
      </w:tr>
      <w:tr w14:paraId="6108D1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0F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A227B6">
            <w:pPr>
              <w:jc w:val="center"/>
            </w:pPr>
            <w:r>
              <w:rPr>
                <w:rFonts w:ascii="宋体" w:hAnsi="宋体" w:eastAsia="宋体"/>
                <w:sz w:val="16"/>
              </w:rPr>
              <w:t>检验检测设备购置（山东援疆）项目</w:t>
            </w:r>
          </w:p>
        </w:tc>
      </w:tr>
      <w:tr w14:paraId="1D95C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DF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C70A0">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6E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6AD4A">
            <w:pPr>
              <w:jc w:val="center"/>
            </w:pPr>
            <w:r>
              <w:rPr>
                <w:rFonts w:ascii="宋体" w:hAnsi="宋体" w:eastAsia="宋体"/>
                <w:sz w:val="16"/>
              </w:rPr>
              <w:t>喀什地区产品质量检验所</w:t>
            </w:r>
          </w:p>
        </w:tc>
      </w:tr>
      <w:tr w14:paraId="35EC35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B5A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AA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EE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E5A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56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43B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6AA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8B6A">
            <w:pPr>
              <w:jc w:val="center"/>
            </w:pPr>
            <w:r>
              <w:rPr>
                <w:rFonts w:ascii="宋体" w:hAnsi="宋体" w:eastAsia="宋体"/>
                <w:sz w:val="16"/>
              </w:rPr>
              <w:t>得分</w:t>
            </w:r>
          </w:p>
        </w:tc>
      </w:tr>
      <w:tr w14:paraId="3E043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00F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25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8B6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8A12">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EC2D5">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5F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18C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FCD9">
            <w:pPr>
              <w:jc w:val="center"/>
            </w:pPr>
            <w:r>
              <w:rPr>
                <w:rFonts w:ascii="宋体" w:hAnsi="宋体" w:eastAsia="宋体"/>
                <w:sz w:val="16"/>
              </w:rPr>
              <w:t>10.00分</w:t>
            </w:r>
          </w:p>
        </w:tc>
      </w:tr>
      <w:tr w14:paraId="790FD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43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389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202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A7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82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D0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C4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39FB">
            <w:pPr>
              <w:jc w:val="center"/>
            </w:pPr>
            <w:r>
              <w:rPr>
                <w:rFonts w:ascii="宋体" w:hAnsi="宋体" w:eastAsia="宋体"/>
                <w:sz w:val="16"/>
              </w:rPr>
              <w:t>—</w:t>
            </w:r>
          </w:p>
        </w:tc>
      </w:tr>
      <w:tr w14:paraId="1FFC4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408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E7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0A88">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62A5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EC322">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D4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55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F565">
            <w:pPr>
              <w:jc w:val="center"/>
            </w:pPr>
            <w:r>
              <w:rPr>
                <w:rFonts w:ascii="宋体" w:hAnsi="宋体" w:eastAsia="宋体"/>
                <w:sz w:val="16"/>
              </w:rPr>
              <w:t>—</w:t>
            </w:r>
          </w:p>
        </w:tc>
      </w:tr>
      <w:tr w14:paraId="566A4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289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3CD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282E76">
            <w:pPr>
              <w:jc w:val="center"/>
            </w:pPr>
            <w:r>
              <w:rPr>
                <w:rFonts w:ascii="宋体" w:hAnsi="宋体" w:eastAsia="宋体"/>
                <w:sz w:val="16"/>
              </w:rPr>
              <w:t>实际完成情况</w:t>
            </w:r>
          </w:p>
        </w:tc>
      </w:tr>
      <w:tr w14:paraId="30E82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BBB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D717B">
            <w:pPr>
              <w:jc w:val="both"/>
            </w:pPr>
            <w:r>
              <w:rPr>
                <w:rFonts w:ascii="宋体" w:hAnsi="宋体" w:eastAsia="宋体"/>
                <w:sz w:val="16"/>
              </w:rPr>
              <w:t>根据喀什地区产品质量检验所“十四五”发展规划，山东援疆资金用于购置专用设备2台，分别为差热扫描量热仪，十万分之一天平，该设备可提升机构检测能力，填平喀什地区聚乙烯产品氧化诱导时间的检验的空白，为政府正确决策和向社会提供公正、准确的产品质量数据，在节能方面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C18BE7">
            <w:pPr>
              <w:jc w:val="both"/>
            </w:pPr>
            <w:r>
              <w:rPr>
                <w:rFonts w:hint="eastAsia" w:ascii="宋体" w:hAnsi="宋体"/>
                <w:sz w:val="16"/>
                <w:lang w:eastAsia="zh-CN"/>
              </w:rPr>
              <w:t>截至</w:t>
            </w:r>
            <w:r>
              <w:rPr>
                <w:rFonts w:ascii="宋体" w:hAnsi="宋体" w:eastAsia="宋体"/>
                <w:sz w:val="16"/>
              </w:rPr>
              <w:t>8月31日已完成采购设备2台，分别是十万分之一天平1台6万元，差热扫描量热仪1台12万元；该项目的投入，可提高检测数据的准确度，提升了检测能力。</w:t>
            </w:r>
          </w:p>
        </w:tc>
      </w:tr>
      <w:tr w14:paraId="36F325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9E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14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C4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3D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78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DB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16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1B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A6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70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CB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58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13689">
            <w:pPr>
              <w:jc w:val="center"/>
            </w:pPr>
            <w:r>
              <w:rPr>
                <w:rFonts w:ascii="宋体" w:hAnsi="宋体" w:eastAsia="宋体"/>
                <w:sz w:val="16"/>
              </w:rPr>
              <w:t>偏差原因分析及改进措施</w:t>
            </w:r>
          </w:p>
        </w:tc>
      </w:tr>
      <w:tr w14:paraId="2EB825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BE3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D47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56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89D4">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5B39">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6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857D">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3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E3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B7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2111">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2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A6D4">
            <w:pPr>
              <w:jc w:val="center"/>
            </w:pPr>
          </w:p>
        </w:tc>
      </w:tr>
      <w:tr w14:paraId="33928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C2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511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181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E027">
            <w:pPr>
              <w:jc w:val="center"/>
            </w:pPr>
            <w:r>
              <w:rPr>
                <w:rFonts w:ascii="宋体" w:hAnsi="宋体" w:eastAsia="宋体"/>
                <w:sz w:val="16"/>
              </w:rPr>
              <w:t>网上采购率（%）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E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A7B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E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4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91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EB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5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D1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0338">
            <w:pPr>
              <w:jc w:val="center"/>
            </w:pPr>
          </w:p>
        </w:tc>
      </w:tr>
      <w:tr w14:paraId="198AC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B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FA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C2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168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7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8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B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A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A0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49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B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C1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57C5">
            <w:pPr>
              <w:jc w:val="center"/>
            </w:pPr>
          </w:p>
        </w:tc>
      </w:tr>
      <w:tr w14:paraId="6C274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1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94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CB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5B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63D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58B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B6BF">
            <w:pPr>
              <w:jc w:val="center"/>
            </w:pPr>
            <w:r>
              <w:rPr>
                <w:rFonts w:ascii="宋体" w:hAnsi="宋体" w:eastAsia="宋体"/>
                <w:sz w:val="16"/>
              </w:rPr>
              <w:t>2023年10月30日前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5C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0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4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9DEF">
            <w:pPr>
              <w:jc w:val="center"/>
            </w:pPr>
            <w:r>
              <w:rPr>
                <w:rFonts w:ascii="宋体" w:hAnsi="宋体" w:eastAsia="宋体"/>
                <w:sz w:val="16"/>
              </w:rPr>
              <w:t>=2024年8月9日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D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49E9">
            <w:pPr>
              <w:jc w:val="center"/>
            </w:pPr>
          </w:p>
        </w:tc>
      </w:tr>
      <w:tr w14:paraId="18E59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1A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0B6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F9F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7B41">
            <w:pPr>
              <w:jc w:val="center"/>
            </w:pPr>
            <w:r>
              <w:rPr>
                <w:rFonts w:ascii="宋体" w:hAnsi="宋体" w:eastAsia="宋体"/>
                <w:sz w:val="16"/>
              </w:rPr>
              <w:t>差热扫面量热仪成本（万元/台）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D27F">
            <w:pPr>
              <w:jc w:val="center"/>
            </w:pPr>
            <w:r>
              <w:rPr>
                <w:rFonts w:ascii="宋体" w:hAnsi="宋体" w:eastAsia="宋体"/>
                <w:sz w:val="16"/>
              </w:rPr>
              <w:t>&lt;=12万元/台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D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B8C7">
            <w:pPr>
              <w:jc w:val="center"/>
            </w:pPr>
            <w:r>
              <w:rPr>
                <w:rFonts w:ascii="宋体" w:hAnsi="宋体" w:eastAsia="宋体"/>
                <w:sz w:val="16"/>
              </w:rPr>
              <w:t>38万元/台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4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A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73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CC1D">
            <w:pPr>
              <w:jc w:val="center"/>
            </w:pPr>
            <w:r>
              <w:rPr>
                <w:rFonts w:ascii="宋体" w:hAnsi="宋体" w:eastAsia="宋体"/>
                <w:sz w:val="16"/>
              </w:rPr>
              <w:t>=12万元/台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E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25A14">
            <w:pPr>
              <w:jc w:val="center"/>
            </w:pPr>
          </w:p>
        </w:tc>
      </w:tr>
      <w:tr w14:paraId="291EF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F8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19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0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2556">
            <w:pPr>
              <w:jc w:val="center"/>
            </w:pPr>
            <w:r>
              <w:rPr>
                <w:rFonts w:ascii="宋体" w:hAnsi="宋体" w:eastAsia="宋体"/>
                <w:sz w:val="16"/>
              </w:rPr>
              <w:t>十万分之一天平成本（万元/台）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A95D">
            <w:pPr>
              <w:jc w:val="center"/>
            </w:pPr>
            <w:r>
              <w:rPr>
                <w:rFonts w:ascii="宋体" w:hAnsi="宋体" w:eastAsia="宋体"/>
                <w:sz w:val="16"/>
              </w:rPr>
              <w:t>&lt;=6万元/台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4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5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B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F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BB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2269">
            <w:pPr>
              <w:jc w:val="center"/>
            </w:pPr>
            <w:r>
              <w:rPr>
                <w:rFonts w:ascii="宋体" w:hAnsi="宋体" w:eastAsia="宋体"/>
                <w:sz w:val="16"/>
              </w:rPr>
              <w:t>=6万元/台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8F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9B209">
            <w:pPr>
              <w:jc w:val="center"/>
            </w:pPr>
          </w:p>
        </w:tc>
      </w:tr>
      <w:tr w14:paraId="762FE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B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D2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9F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224A">
            <w:pPr>
              <w:jc w:val="center"/>
            </w:pPr>
            <w:r>
              <w:rPr>
                <w:rFonts w:ascii="宋体" w:hAnsi="宋体" w:eastAsia="宋体"/>
                <w:sz w:val="16"/>
              </w:rPr>
              <w:t>检验能力提升情况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A4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4D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FA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BC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BE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0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CA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3F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4D687">
            <w:pPr>
              <w:jc w:val="center"/>
            </w:pPr>
          </w:p>
        </w:tc>
      </w:tr>
      <w:tr w14:paraId="7CEDC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2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21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9E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CA7C">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C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A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6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3B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A6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CB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1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4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7677">
            <w:pPr>
              <w:jc w:val="center"/>
            </w:pPr>
          </w:p>
        </w:tc>
      </w:tr>
      <w:tr w14:paraId="45074A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B83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58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873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6B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BA7220"/>
        </w:tc>
      </w:tr>
    </w:tbl>
    <w:p w14:paraId="6D6E78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FBC1AF">
        <w:tblPrEx>
          <w:tblCellMar>
            <w:top w:w="0" w:type="dxa"/>
            <w:left w:w="108" w:type="dxa"/>
            <w:bottom w:w="0" w:type="dxa"/>
            <w:right w:w="108" w:type="dxa"/>
          </w:tblCellMar>
        </w:tblPrEx>
        <w:tc>
          <w:tcPr>
            <w:tcW w:w="8848" w:type="dxa"/>
            <w:gridSpan w:val="14"/>
            <w:vAlign w:val="center"/>
          </w:tcPr>
          <w:p w14:paraId="70258238">
            <w:pPr>
              <w:jc w:val="center"/>
            </w:pPr>
            <w:r>
              <w:rPr>
                <w:rFonts w:ascii="宋体" w:hAnsi="宋体" w:eastAsia="宋体"/>
                <w:sz w:val="24"/>
              </w:rPr>
              <w:t>项目支出绩效自评表</w:t>
            </w:r>
          </w:p>
        </w:tc>
      </w:tr>
      <w:tr w14:paraId="6343681E">
        <w:tblPrEx>
          <w:tblCellMar>
            <w:top w:w="0" w:type="dxa"/>
            <w:left w:w="108" w:type="dxa"/>
            <w:bottom w:w="0" w:type="dxa"/>
            <w:right w:w="108" w:type="dxa"/>
          </w:tblCellMar>
        </w:tblPrEx>
        <w:tc>
          <w:tcPr>
            <w:tcW w:w="8848" w:type="dxa"/>
            <w:gridSpan w:val="14"/>
            <w:vAlign w:val="center"/>
          </w:tcPr>
          <w:p w14:paraId="0F7D7D16">
            <w:pPr>
              <w:jc w:val="center"/>
            </w:pPr>
            <w:r>
              <w:rPr>
                <w:rFonts w:ascii="宋体" w:hAnsi="宋体" w:eastAsia="宋体"/>
                <w:sz w:val="24"/>
              </w:rPr>
              <w:t>(2024年度)</w:t>
            </w:r>
          </w:p>
        </w:tc>
      </w:tr>
      <w:tr w14:paraId="321ECC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3C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1FD1BA">
            <w:pPr>
              <w:jc w:val="center"/>
            </w:pPr>
            <w:r>
              <w:rPr>
                <w:rFonts w:ascii="宋体" w:hAnsi="宋体" w:eastAsia="宋体"/>
                <w:sz w:val="16"/>
              </w:rPr>
              <w:t>检验检测设备购置（广东援疆）项目</w:t>
            </w:r>
          </w:p>
        </w:tc>
      </w:tr>
      <w:tr w14:paraId="74ACE1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44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E5409">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86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45A9A">
            <w:pPr>
              <w:jc w:val="center"/>
            </w:pPr>
            <w:r>
              <w:rPr>
                <w:rFonts w:ascii="宋体" w:hAnsi="宋体" w:eastAsia="宋体"/>
                <w:sz w:val="16"/>
              </w:rPr>
              <w:t>喀什地区产品质量检验所</w:t>
            </w:r>
          </w:p>
        </w:tc>
      </w:tr>
      <w:tr w14:paraId="41B55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03D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55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98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40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FE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493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6C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D533">
            <w:pPr>
              <w:jc w:val="center"/>
            </w:pPr>
            <w:r>
              <w:rPr>
                <w:rFonts w:ascii="宋体" w:hAnsi="宋体" w:eastAsia="宋体"/>
                <w:sz w:val="16"/>
              </w:rPr>
              <w:t>得分</w:t>
            </w:r>
          </w:p>
        </w:tc>
      </w:tr>
      <w:tr w14:paraId="77E47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008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07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106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E033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1D0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49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13C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20DD">
            <w:pPr>
              <w:jc w:val="center"/>
            </w:pPr>
            <w:r>
              <w:rPr>
                <w:rFonts w:ascii="宋体" w:hAnsi="宋体" w:eastAsia="宋体"/>
                <w:sz w:val="16"/>
              </w:rPr>
              <w:t>10.00分</w:t>
            </w:r>
          </w:p>
        </w:tc>
      </w:tr>
      <w:tr w14:paraId="4F665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1C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F84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0A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11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5A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BF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D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33E5">
            <w:pPr>
              <w:jc w:val="center"/>
            </w:pPr>
            <w:r>
              <w:rPr>
                <w:rFonts w:ascii="宋体" w:hAnsi="宋体" w:eastAsia="宋体"/>
                <w:sz w:val="16"/>
              </w:rPr>
              <w:t>—</w:t>
            </w:r>
          </w:p>
        </w:tc>
      </w:tr>
      <w:tr w14:paraId="5FD9F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9F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C1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AC9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402B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95C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85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F13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382D">
            <w:pPr>
              <w:jc w:val="center"/>
            </w:pPr>
            <w:r>
              <w:rPr>
                <w:rFonts w:ascii="宋体" w:hAnsi="宋体" w:eastAsia="宋体"/>
                <w:sz w:val="16"/>
              </w:rPr>
              <w:t>—</w:t>
            </w:r>
          </w:p>
        </w:tc>
      </w:tr>
      <w:tr w14:paraId="390998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495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6E5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5ECBD">
            <w:pPr>
              <w:jc w:val="center"/>
            </w:pPr>
            <w:r>
              <w:rPr>
                <w:rFonts w:ascii="宋体" w:hAnsi="宋体" w:eastAsia="宋体"/>
                <w:sz w:val="16"/>
              </w:rPr>
              <w:t>实际完成情况</w:t>
            </w:r>
          </w:p>
        </w:tc>
      </w:tr>
      <w:tr w14:paraId="52ACA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66C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0FDEB">
            <w:pPr>
              <w:jc w:val="both"/>
            </w:pPr>
            <w:r>
              <w:rPr>
                <w:rFonts w:ascii="宋体" w:hAnsi="宋体" w:eastAsia="宋体"/>
                <w:sz w:val="16"/>
              </w:rPr>
              <w:t>根据</w:t>
            </w:r>
            <w:r>
              <w:rPr>
                <w:rFonts w:hint="eastAsia" w:ascii="宋体" w:hAnsi="宋体"/>
                <w:sz w:val="16"/>
                <w:lang w:eastAsia="zh-CN"/>
              </w:rPr>
              <w:t>《中华人民共和国政府采购法》</w:t>
            </w:r>
            <w:r>
              <w:rPr>
                <w:rFonts w:ascii="宋体" w:hAnsi="宋体" w:eastAsia="宋体"/>
                <w:sz w:val="16"/>
              </w:rPr>
              <w:t>和喀什地区产品质量检验所“十四五”发展规划，广东援疆资金购置专用设备1台，用于建筑外门窗检验检测，提高建筑门窗方面的设备检验水平，使项目检验能力提升。购置此设备能解决企业的产品外送导致送检成本费用高的问题；同时保障产品质量检验工作高质量</w:t>
            </w:r>
            <w:r>
              <w:rPr>
                <w:rFonts w:hint="eastAsia" w:ascii="宋体" w:hAnsi="宋体"/>
                <w:sz w:val="16"/>
                <w:lang w:eastAsia="zh-CN"/>
              </w:rPr>
              <w:t>地</w:t>
            </w:r>
            <w:r>
              <w:rPr>
                <w:rFonts w:ascii="宋体" w:hAnsi="宋体" w:eastAsia="宋体"/>
                <w:sz w:val="16"/>
              </w:rPr>
              <w:t>完成；更好地为社会提供准确的检测数据，为社会服务。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6FCE3">
            <w:pPr>
              <w:jc w:val="both"/>
            </w:pPr>
            <w:r>
              <w:rPr>
                <w:rFonts w:ascii="宋体" w:hAnsi="宋体" w:eastAsia="宋体"/>
                <w:sz w:val="16"/>
              </w:rPr>
              <w:t>购置1台25万元的建筑门</w:t>
            </w:r>
            <w:r>
              <w:rPr>
                <w:rFonts w:hint="eastAsia" w:ascii="宋体" w:hAnsi="宋体"/>
                <w:sz w:val="16"/>
                <w:lang w:eastAsia="zh-CN"/>
              </w:rPr>
              <w:t>窗</w:t>
            </w:r>
            <w:r>
              <w:rPr>
                <w:rFonts w:ascii="宋体" w:hAnsi="宋体" w:eastAsia="宋体"/>
                <w:sz w:val="16"/>
              </w:rPr>
              <w:t>检测设备，用于建筑外门窗检验检测，提高建筑门窗方面的设备检验水平，使项目检验能力提升。</w:t>
            </w:r>
          </w:p>
        </w:tc>
      </w:tr>
      <w:tr w14:paraId="11A22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4A7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AD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48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E7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96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73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16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6D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47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C8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73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4D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5191C">
            <w:pPr>
              <w:jc w:val="center"/>
            </w:pPr>
            <w:r>
              <w:rPr>
                <w:rFonts w:ascii="宋体" w:hAnsi="宋体" w:eastAsia="宋体"/>
                <w:sz w:val="16"/>
              </w:rPr>
              <w:t>偏差原因分析及改进措施</w:t>
            </w:r>
          </w:p>
        </w:tc>
      </w:tr>
      <w:tr w14:paraId="51FF04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B44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94D8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44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56E8">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9D13">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D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8E0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C4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F0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68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60BD">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D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516B">
            <w:pPr>
              <w:jc w:val="center"/>
            </w:pPr>
          </w:p>
        </w:tc>
      </w:tr>
      <w:tr w14:paraId="41102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A8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03E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6EE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0790">
            <w:pPr>
              <w:jc w:val="center"/>
            </w:pPr>
            <w:r>
              <w:rPr>
                <w:rFonts w:ascii="宋体" w:hAnsi="宋体" w:eastAsia="宋体"/>
                <w:sz w:val="16"/>
              </w:rPr>
              <w:t>网上采购率（%）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A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5B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6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2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4D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8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1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0E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190AF">
            <w:pPr>
              <w:jc w:val="center"/>
            </w:pPr>
          </w:p>
        </w:tc>
      </w:tr>
      <w:tr w14:paraId="24599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7F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EB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23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819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B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6B2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8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D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5E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83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D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8D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D3F4">
            <w:pPr>
              <w:jc w:val="center"/>
            </w:pPr>
          </w:p>
        </w:tc>
      </w:tr>
      <w:tr w14:paraId="5204F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A5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72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4D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5A38">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1B1E">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F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B296">
            <w:pPr>
              <w:jc w:val="center"/>
            </w:pPr>
            <w:r>
              <w:rPr>
                <w:rFonts w:ascii="宋体" w:hAnsi="宋体" w:eastAsia="宋体"/>
                <w:sz w:val="16"/>
              </w:rPr>
              <w:t>2023年10月30日前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E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6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91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488F">
            <w:pPr>
              <w:jc w:val="center"/>
            </w:pPr>
            <w:r>
              <w:rPr>
                <w:rFonts w:ascii="宋体" w:hAnsi="宋体" w:eastAsia="宋体"/>
                <w:sz w:val="16"/>
              </w:rPr>
              <w:t>=2024年5月24日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2E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22B38">
            <w:pPr>
              <w:jc w:val="center"/>
            </w:pPr>
          </w:p>
        </w:tc>
      </w:tr>
      <w:tr w14:paraId="61A38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37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85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73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8F83">
            <w:pPr>
              <w:jc w:val="center"/>
            </w:pPr>
            <w:r>
              <w:rPr>
                <w:rFonts w:ascii="宋体" w:hAnsi="宋体" w:eastAsia="宋体"/>
                <w:sz w:val="16"/>
              </w:rPr>
              <w:t>购置设备产生成本（万元/台）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0942">
            <w:pPr>
              <w:jc w:val="center"/>
            </w:pPr>
            <w:r>
              <w:rPr>
                <w:rFonts w:ascii="宋体" w:hAnsi="宋体" w:eastAsia="宋体"/>
                <w:sz w:val="16"/>
              </w:rPr>
              <w:t>&lt;=25万元/台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F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BB43">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B4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3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5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E45A">
            <w:pPr>
              <w:jc w:val="center"/>
            </w:pPr>
            <w:r>
              <w:rPr>
                <w:rFonts w:ascii="宋体" w:hAnsi="宋体" w:eastAsia="宋体"/>
                <w:sz w:val="16"/>
              </w:rPr>
              <w:t>=25万元/台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56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B442">
            <w:pPr>
              <w:jc w:val="center"/>
            </w:pPr>
          </w:p>
        </w:tc>
      </w:tr>
      <w:tr w14:paraId="08B4B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20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D6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D9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41AD">
            <w:pPr>
              <w:jc w:val="center"/>
            </w:pPr>
            <w:r>
              <w:rPr>
                <w:rFonts w:ascii="宋体" w:hAnsi="宋体" w:eastAsia="宋体"/>
                <w:sz w:val="16"/>
              </w:rPr>
              <w:t>门窗检测能力提升情况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92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5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97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54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F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A4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48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B4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019C">
            <w:pPr>
              <w:jc w:val="center"/>
            </w:pPr>
          </w:p>
        </w:tc>
      </w:tr>
      <w:tr w14:paraId="62CD4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13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29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CB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F65B">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4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8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D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B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C4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A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2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C9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CBDA9">
            <w:pPr>
              <w:jc w:val="center"/>
            </w:pPr>
          </w:p>
        </w:tc>
      </w:tr>
      <w:tr w14:paraId="4FC338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401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C3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83E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E2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F2308C"/>
        </w:tc>
      </w:tr>
    </w:tbl>
    <w:p w14:paraId="237E1BEC">
      <w:r>
        <w:br w:type="page"/>
      </w:r>
    </w:p>
    <w:p w14:paraId="722734B2">
      <w:pPr>
        <w:spacing w:line="640" w:lineRule="exact"/>
        <w:ind w:firstLine="640"/>
        <w:jc w:val="both"/>
        <w:outlineLvl w:val="2"/>
      </w:pPr>
      <w:r>
        <w:rPr>
          <w:rFonts w:ascii="黑体" w:hAnsi="黑体" w:eastAsia="黑体"/>
          <w:sz w:val="32"/>
        </w:rPr>
        <w:t>十二、其他需说明的事项</w:t>
      </w:r>
    </w:p>
    <w:p w14:paraId="64904E76">
      <w:pPr>
        <w:spacing w:line="580" w:lineRule="exact"/>
        <w:ind w:firstLine="640"/>
        <w:jc w:val="both"/>
      </w:pPr>
      <w:r>
        <w:rPr>
          <w:rFonts w:ascii="仿宋_GB2312" w:hAnsi="仿宋_GB2312" w:eastAsia="仿宋_GB2312"/>
          <w:b w:val="0"/>
          <w:sz w:val="32"/>
        </w:rPr>
        <w:t>本部门无其他需说明的事项。</w:t>
      </w:r>
    </w:p>
    <w:p w14:paraId="4C437CED">
      <w:r>
        <w:br w:type="page"/>
      </w:r>
    </w:p>
    <w:p w14:paraId="4C26C156">
      <w:pPr>
        <w:spacing w:line="240" w:lineRule="auto"/>
        <w:jc w:val="center"/>
        <w:outlineLvl w:val="1"/>
      </w:pPr>
      <w:r>
        <w:rPr>
          <w:rFonts w:ascii="黑体" w:hAnsi="黑体" w:eastAsia="黑体"/>
          <w:sz w:val="32"/>
        </w:rPr>
        <w:t>第三部分 专业名词解释</w:t>
      </w:r>
    </w:p>
    <w:p w14:paraId="123658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E251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6926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7CF2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5D569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440399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F2DEB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E76E9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5343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7B208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7B07F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032B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2F883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40F15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F646AD">
      <w:r>
        <w:br w:type="page"/>
      </w:r>
    </w:p>
    <w:p w14:paraId="77B61ABF">
      <w:pPr>
        <w:spacing w:line="240" w:lineRule="auto"/>
        <w:jc w:val="center"/>
        <w:outlineLvl w:val="1"/>
      </w:pPr>
      <w:r>
        <w:rPr>
          <w:rFonts w:ascii="黑体" w:hAnsi="黑体" w:eastAsia="黑体"/>
          <w:sz w:val="32"/>
        </w:rPr>
        <w:t>第四部分 部门决算报表（见附表）</w:t>
      </w:r>
    </w:p>
    <w:p w14:paraId="33BFFDA3">
      <w:pPr>
        <w:spacing w:line="240" w:lineRule="auto"/>
        <w:ind w:firstLine="640"/>
        <w:jc w:val="both"/>
      </w:pPr>
      <w:r>
        <w:rPr>
          <w:rFonts w:ascii="仿宋_GB2312" w:hAnsi="仿宋_GB2312" w:eastAsia="仿宋_GB2312"/>
          <w:b w:val="0"/>
          <w:sz w:val="32"/>
        </w:rPr>
        <w:t>一、《收入支出决算总表》</w:t>
      </w:r>
    </w:p>
    <w:p w14:paraId="09F3F32A">
      <w:pPr>
        <w:spacing w:line="240" w:lineRule="auto"/>
        <w:ind w:firstLine="640"/>
        <w:jc w:val="both"/>
      </w:pPr>
      <w:r>
        <w:rPr>
          <w:rFonts w:ascii="仿宋_GB2312" w:hAnsi="仿宋_GB2312" w:eastAsia="仿宋_GB2312"/>
          <w:b w:val="0"/>
          <w:sz w:val="32"/>
        </w:rPr>
        <w:t>二、《收入决算表》</w:t>
      </w:r>
    </w:p>
    <w:p w14:paraId="69363AAB">
      <w:pPr>
        <w:spacing w:line="240" w:lineRule="auto"/>
        <w:ind w:firstLine="640"/>
        <w:jc w:val="both"/>
      </w:pPr>
      <w:r>
        <w:rPr>
          <w:rFonts w:ascii="仿宋_GB2312" w:hAnsi="仿宋_GB2312" w:eastAsia="仿宋_GB2312"/>
          <w:b w:val="0"/>
          <w:sz w:val="32"/>
        </w:rPr>
        <w:t>三、《支出决算表》</w:t>
      </w:r>
    </w:p>
    <w:p w14:paraId="4AC370DD">
      <w:pPr>
        <w:spacing w:line="240" w:lineRule="auto"/>
        <w:ind w:firstLine="640"/>
        <w:jc w:val="both"/>
      </w:pPr>
      <w:r>
        <w:rPr>
          <w:rFonts w:ascii="仿宋_GB2312" w:hAnsi="仿宋_GB2312" w:eastAsia="仿宋_GB2312"/>
          <w:b w:val="0"/>
          <w:sz w:val="32"/>
        </w:rPr>
        <w:t>四、《财政拨款收入支出决算总表》</w:t>
      </w:r>
    </w:p>
    <w:p w14:paraId="675CD125">
      <w:pPr>
        <w:spacing w:line="240" w:lineRule="auto"/>
        <w:ind w:firstLine="640"/>
        <w:jc w:val="both"/>
      </w:pPr>
      <w:r>
        <w:rPr>
          <w:rFonts w:ascii="仿宋_GB2312" w:hAnsi="仿宋_GB2312" w:eastAsia="仿宋_GB2312"/>
          <w:b w:val="0"/>
          <w:sz w:val="32"/>
        </w:rPr>
        <w:t>五、《一般公共预算财政拨款支出决算表》</w:t>
      </w:r>
    </w:p>
    <w:p w14:paraId="2DE51DE1">
      <w:pPr>
        <w:spacing w:line="240" w:lineRule="auto"/>
        <w:ind w:firstLine="640"/>
        <w:jc w:val="both"/>
      </w:pPr>
      <w:r>
        <w:rPr>
          <w:rFonts w:ascii="仿宋_GB2312" w:hAnsi="仿宋_GB2312" w:eastAsia="仿宋_GB2312"/>
          <w:b w:val="0"/>
          <w:sz w:val="32"/>
        </w:rPr>
        <w:t>六、《一般公共预算财政拨款基本支出决算表》</w:t>
      </w:r>
    </w:p>
    <w:p w14:paraId="459094AF">
      <w:pPr>
        <w:spacing w:line="240" w:lineRule="auto"/>
        <w:ind w:firstLine="640"/>
        <w:jc w:val="both"/>
      </w:pPr>
      <w:r>
        <w:rPr>
          <w:rFonts w:ascii="仿宋_GB2312" w:hAnsi="仿宋_GB2312" w:eastAsia="仿宋_GB2312"/>
          <w:b w:val="0"/>
          <w:sz w:val="32"/>
        </w:rPr>
        <w:t>七、《政府性基金预算财政拨款收入支出决算表》</w:t>
      </w:r>
    </w:p>
    <w:p w14:paraId="239DBF96">
      <w:pPr>
        <w:spacing w:line="240" w:lineRule="auto"/>
        <w:ind w:firstLine="640"/>
        <w:jc w:val="both"/>
      </w:pPr>
      <w:r>
        <w:rPr>
          <w:rFonts w:ascii="仿宋_GB2312" w:hAnsi="仿宋_GB2312" w:eastAsia="仿宋_GB2312"/>
          <w:b w:val="0"/>
          <w:sz w:val="32"/>
        </w:rPr>
        <w:t>八、《国有资本经营预算财政拨款收入支出决算表》</w:t>
      </w:r>
    </w:p>
    <w:p w14:paraId="455CD2AD">
      <w:pPr>
        <w:spacing w:line="240" w:lineRule="auto"/>
        <w:ind w:firstLine="640"/>
        <w:jc w:val="both"/>
      </w:pPr>
      <w:r>
        <w:rPr>
          <w:rFonts w:ascii="仿宋_GB2312" w:hAnsi="仿宋_GB2312" w:eastAsia="仿宋_GB2312"/>
          <w:b w:val="0"/>
          <w:sz w:val="32"/>
        </w:rPr>
        <w:t>九、《财政拨款“三公”经费支出决算表》</w:t>
      </w:r>
    </w:p>
    <w:p w14:paraId="66D1786D">
      <w:pPr>
        <w:spacing w:line="240" w:lineRule="auto"/>
        <w:ind w:firstLine="640"/>
        <w:jc w:val="both"/>
      </w:pPr>
    </w:p>
    <w:p w14:paraId="4C7B20C5">
      <w:pPr>
        <w:spacing w:line="240" w:lineRule="auto"/>
        <w:ind w:firstLine="640"/>
        <w:jc w:val="both"/>
      </w:pPr>
    </w:p>
    <w:p w14:paraId="5DDB9A1F">
      <w:pPr>
        <w:spacing w:line="240" w:lineRule="auto"/>
        <w:ind w:firstLine="640"/>
        <w:jc w:val="both"/>
      </w:pPr>
    </w:p>
    <w:p w14:paraId="782A6862">
      <w:pPr>
        <w:spacing w:line="240" w:lineRule="auto"/>
        <w:ind w:firstLine="640"/>
        <w:jc w:val="both"/>
      </w:pPr>
    </w:p>
    <w:p w14:paraId="7BD808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C28813-E381-4907-BA88-03E3B96664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F573059-42D6-4668-8DC2-7E892CE051F6}"/>
  </w:font>
  <w:font w:name="仿宋_GB2312">
    <w:panose1 w:val="02010609030101010101"/>
    <w:charset w:val="86"/>
    <w:family w:val="modern"/>
    <w:pitch w:val="default"/>
    <w:sig w:usb0="00000001" w:usb1="080E0000" w:usb2="00000000" w:usb3="00000000" w:csb0="00040000" w:csb1="00000000"/>
    <w:embedRegular r:id="rId3" w:fontKey="{E5149DBA-6268-4D02-A778-EE33C270EA37}"/>
  </w:font>
  <w:font w:name="楷体_GB2312">
    <w:panose1 w:val="02010609030101010101"/>
    <w:charset w:val="86"/>
    <w:family w:val="auto"/>
    <w:pitch w:val="default"/>
    <w:sig w:usb0="00000001" w:usb1="080E0000" w:usb2="00000000" w:usb3="00000000" w:csb0="00040000" w:csb1="00000000"/>
    <w:embedRegular r:id="rId4" w:fontKey="{B03CB5A8-89A0-40B0-BF7A-911CF05384BC}"/>
  </w:font>
  <w:font w:name="WPSEMBED17">
    <w:panose1 w:val="02010609030101010101"/>
    <w:charset w:val="86"/>
    <w:family w:val="auto"/>
    <w:pitch w:val="default"/>
    <w:sig w:usb0="00000001" w:usb1="080E0000" w:usb2="00000000" w:usb3="00000000" w:csb0="00040000" w:csb1="00000000"/>
  </w:font>
  <w:font w:name="WPSEMBED18">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0177A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954D32"/>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E464F4"/>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5257</Words>
  <Characters>6100</Characters>
  <Lines>0</Lines>
  <Paragraphs>0</Paragraphs>
  <TotalTime>6</TotalTime>
  <ScaleCrop>false</ScaleCrop>
  <LinksUpToDate>false</LinksUpToDate>
  <CharactersWithSpaces>6108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2025-09-04T02:15:06Z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