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喀什地区党员教育中心2024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2096C5C">
      <w:r>
        <w:br w:type="page"/>
      </w:r>
    </w:p>
    <w:p w14:paraId="4D139B98">
      <w:pPr>
        <w:spacing w:line="640" w:lineRule="exact"/>
        <w:jc w:val="center"/>
        <w:outlineLvl w:val="1"/>
      </w:pPr>
      <w:r>
        <w:rPr>
          <w:rFonts w:ascii="黑体" w:hAnsi="黑体" w:eastAsia="黑体"/>
          <w:sz w:val="32"/>
        </w:rPr>
        <w:t>第一部分 单位概况</w:t>
      </w:r>
    </w:p>
    <w:p w14:paraId="194A7757">
      <w:pPr>
        <w:spacing w:line="640" w:lineRule="exact"/>
        <w:ind w:firstLine="640"/>
        <w:jc w:val="both"/>
        <w:outlineLvl w:val="2"/>
      </w:pPr>
      <w:r>
        <w:rPr>
          <w:rFonts w:ascii="黑体" w:hAnsi="黑体" w:eastAsia="黑体"/>
          <w:sz w:val="32"/>
        </w:rPr>
        <w:t>一、主要职能</w:t>
      </w:r>
    </w:p>
    <w:p w14:paraId="4FC3657C">
      <w:pPr>
        <w:spacing w:line="580" w:lineRule="exact"/>
        <w:ind w:firstLine="640"/>
        <w:jc w:val="both"/>
      </w:pPr>
      <w:r>
        <w:rPr>
          <w:rFonts w:ascii="仿宋_GB2312" w:hAnsi="仿宋_GB2312" w:eastAsia="仿宋_GB2312"/>
          <w:sz w:val="32"/>
        </w:rPr>
        <w:t>喀什地区党员教育中心主要职能是指导和管理全地区党员干部现代远程教育工作,负责全区各县市、乡镇、行政村、国营农牧场及所属村队远程教育站、终端接收站点的建设规</w:t>
      </w:r>
      <w:r>
        <w:rPr>
          <w:rFonts w:hint="eastAsia" w:ascii="仿宋_GB2312" w:hAnsi="仿宋_GB2312" w:eastAsia="仿宋_GB2312"/>
          <w:sz w:val="32"/>
          <w:lang w:eastAsia="zh-CN"/>
        </w:rPr>
        <w:t>划和业务</w:t>
      </w:r>
      <w:r>
        <w:rPr>
          <w:rFonts w:ascii="仿宋_GB2312" w:hAnsi="仿宋_GB2312" w:eastAsia="仿宋_GB2312"/>
          <w:sz w:val="32"/>
        </w:rPr>
        <w:t>指导、学用活动督查等工作</w:t>
      </w:r>
      <w:r>
        <w:rPr>
          <w:rFonts w:hint="eastAsia" w:ascii="仿宋_GB2312" w:hAnsi="仿宋_GB2312" w:eastAsia="仿宋_GB2312"/>
          <w:sz w:val="32"/>
          <w:lang w:eastAsia="zh-CN"/>
        </w:rPr>
        <w:t>；</w:t>
      </w:r>
      <w:r>
        <w:rPr>
          <w:rFonts w:ascii="仿宋_GB2312" w:hAnsi="仿宋_GB2312" w:eastAsia="仿宋_GB2312"/>
          <w:sz w:val="32"/>
        </w:rPr>
        <w:t>负责全地区电教片的制作、译制、电视展播工作的筹划、协调、制作</w:t>
      </w:r>
      <w:r>
        <w:rPr>
          <w:rFonts w:hint="eastAsia" w:ascii="仿宋_GB2312" w:hAnsi="仿宋_GB2312" w:eastAsia="仿宋_GB2312"/>
          <w:sz w:val="32"/>
          <w:lang w:eastAsia="zh-CN"/>
        </w:rPr>
        <w:t>；</w:t>
      </w:r>
      <w:r>
        <w:rPr>
          <w:rFonts w:ascii="仿宋_GB2312" w:hAnsi="仿宋_GB2312" w:eastAsia="仿宋_GB2312"/>
          <w:sz w:val="32"/>
        </w:rPr>
        <w:t>负责《喀什党建》图片编辑工作；负责全区电教干部的培训工作和电化教育的业务指导工作</w:t>
      </w:r>
      <w:r>
        <w:rPr>
          <w:rFonts w:hint="eastAsia" w:ascii="仿宋_GB2312" w:hAnsi="仿宋_GB2312" w:eastAsia="仿宋_GB2312"/>
          <w:sz w:val="32"/>
          <w:lang w:eastAsia="zh-CN"/>
        </w:rPr>
        <w:t>；</w:t>
      </w:r>
      <w:r>
        <w:rPr>
          <w:rFonts w:ascii="仿宋_GB2312" w:hAnsi="仿宋_GB2312" w:eastAsia="仿宋_GB2312"/>
          <w:sz w:val="32"/>
        </w:rPr>
        <w:t>负责全区“农村党员电教科技工程”的规划、指导实施工作。</w:t>
      </w:r>
    </w:p>
    <w:p w14:paraId="7C0555EC">
      <w:pPr>
        <w:spacing w:line="640" w:lineRule="exact"/>
        <w:ind w:firstLine="640"/>
        <w:jc w:val="both"/>
        <w:outlineLvl w:val="2"/>
      </w:pPr>
      <w:r>
        <w:rPr>
          <w:rFonts w:ascii="黑体" w:hAnsi="黑体" w:eastAsia="黑体"/>
          <w:sz w:val="32"/>
        </w:rPr>
        <w:t>二、机构设置及人员情况</w:t>
      </w:r>
    </w:p>
    <w:p w14:paraId="6B7DA994">
      <w:pPr>
        <w:spacing w:line="580" w:lineRule="exact"/>
        <w:ind w:firstLine="640"/>
        <w:jc w:val="both"/>
      </w:pPr>
      <w:r>
        <w:rPr>
          <w:rFonts w:ascii="仿宋_GB2312" w:hAnsi="仿宋_GB2312" w:eastAsia="仿宋_GB2312"/>
          <w:sz w:val="32"/>
        </w:rPr>
        <w:t>喀什地区党员教育中心2024年度，实有人数12人，其中：在职人员11人，增加0人；离休人员0人，增加0人；退休人员1人,增加1人。</w:t>
      </w:r>
    </w:p>
    <w:p w14:paraId="6510E8B0">
      <w:pPr>
        <w:spacing w:line="580" w:lineRule="exact"/>
        <w:ind w:firstLine="640"/>
        <w:jc w:val="both"/>
      </w:pPr>
      <w:r>
        <w:rPr>
          <w:rFonts w:ascii="仿宋_GB2312" w:hAnsi="仿宋_GB2312" w:eastAsia="仿宋_GB2312"/>
          <w:sz w:val="32"/>
        </w:rPr>
        <w:t>喀什地区党员教育中心无下属预算单位，下设4个科室，分别是：综合科、教学资源科、技术管理培训科、译制部。</w:t>
      </w:r>
    </w:p>
    <w:p w14:paraId="17CD6782">
      <w:r>
        <w:br w:type="page"/>
      </w:r>
    </w:p>
    <w:p w14:paraId="08F886A0">
      <w:pPr>
        <w:spacing w:line="240" w:lineRule="auto"/>
        <w:jc w:val="center"/>
        <w:outlineLvl w:val="1"/>
      </w:pPr>
      <w:r>
        <w:rPr>
          <w:rFonts w:ascii="黑体" w:hAnsi="黑体" w:eastAsia="黑体"/>
          <w:sz w:val="32"/>
        </w:rPr>
        <w:t>第二部分 部门决算情况说明</w:t>
      </w:r>
    </w:p>
    <w:p w14:paraId="4E4AB320">
      <w:pPr>
        <w:spacing w:line="640" w:lineRule="exact"/>
        <w:ind w:firstLine="640"/>
        <w:jc w:val="both"/>
        <w:outlineLvl w:val="2"/>
      </w:pPr>
      <w:r>
        <w:rPr>
          <w:rFonts w:ascii="黑体" w:hAnsi="黑体" w:eastAsia="黑体"/>
          <w:sz w:val="32"/>
        </w:rPr>
        <w:t>一、收入支出决算总体情况说明</w:t>
      </w:r>
    </w:p>
    <w:p w14:paraId="660159D4">
      <w:pPr>
        <w:spacing w:line="580" w:lineRule="exact"/>
        <w:ind w:firstLine="640"/>
        <w:jc w:val="both"/>
      </w:pPr>
      <w:r>
        <w:rPr>
          <w:rFonts w:ascii="仿宋_GB2312" w:hAnsi="仿宋_GB2312" w:eastAsia="仿宋_GB2312"/>
          <w:b/>
          <w:sz w:val="32"/>
        </w:rPr>
        <w:t>2024年度收入总计221.90万元，</w:t>
      </w:r>
      <w:r>
        <w:rPr>
          <w:rFonts w:ascii="仿宋_GB2312" w:hAnsi="仿宋_GB2312" w:eastAsia="仿宋_GB2312"/>
          <w:b w:val="0"/>
          <w:sz w:val="32"/>
        </w:rPr>
        <w:t>其中：本年收入合计221.90万元，使用非财政拨款结余（含专用结余）0.00万元，年初结转和结余0.00万元。</w:t>
      </w:r>
    </w:p>
    <w:p w14:paraId="450BD57D">
      <w:pPr>
        <w:spacing w:line="580" w:lineRule="exact"/>
        <w:ind w:firstLine="640"/>
        <w:jc w:val="both"/>
      </w:pPr>
      <w:r>
        <w:rPr>
          <w:rFonts w:ascii="仿宋_GB2312" w:hAnsi="仿宋_GB2312" w:eastAsia="仿宋_GB2312"/>
          <w:b/>
          <w:sz w:val="32"/>
        </w:rPr>
        <w:t>2024年度支出总计221.90万元，</w:t>
      </w:r>
      <w:r>
        <w:rPr>
          <w:rFonts w:ascii="仿宋_GB2312" w:hAnsi="仿宋_GB2312" w:eastAsia="仿宋_GB2312"/>
          <w:b w:val="0"/>
          <w:sz w:val="32"/>
        </w:rPr>
        <w:t>其中：本年支出合计221.90万元，结余分配0.00万元，年末结转和结余0.00万元。</w:t>
      </w:r>
    </w:p>
    <w:p w14:paraId="4711A004">
      <w:pPr>
        <w:spacing w:line="580" w:lineRule="exact"/>
        <w:ind w:firstLine="640"/>
        <w:jc w:val="both"/>
      </w:pPr>
      <w:r>
        <w:rPr>
          <w:rFonts w:ascii="仿宋_GB2312" w:hAnsi="仿宋_GB2312" w:eastAsia="仿宋_GB2312"/>
          <w:b w:val="0"/>
          <w:sz w:val="32"/>
        </w:rPr>
        <w:t>收入支出总体与上年相比，减少68.83万元，下降23.67%，主要原因是：本年减少了地区党员教育阵地人才支持项目、远程网科普信息员能力提升项目。</w:t>
      </w:r>
    </w:p>
    <w:p w14:paraId="2FED848D">
      <w:pPr>
        <w:spacing w:line="640" w:lineRule="exact"/>
        <w:ind w:firstLine="640"/>
        <w:jc w:val="both"/>
        <w:outlineLvl w:val="2"/>
      </w:pPr>
      <w:r>
        <w:rPr>
          <w:rFonts w:ascii="黑体" w:hAnsi="黑体" w:eastAsia="黑体"/>
          <w:sz w:val="32"/>
        </w:rPr>
        <w:t>二、收入决算情况说明</w:t>
      </w:r>
    </w:p>
    <w:p w14:paraId="3AA1C150">
      <w:pPr>
        <w:spacing w:line="580" w:lineRule="exact"/>
        <w:ind w:firstLine="640"/>
        <w:jc w:val="both"/>
      </w:pPr>
      <w:r>
        <w:rPr>
          <w:rFonts w:ascii="仿宋_GB2312" w:hAnsi="仿宋_GB2312" w:eastAsia="仿宋_GB2312"/>
          <w:b/>
          <w:sz w:val="32"/>
        </w:rPr>
        <w:t>本年收入221.90万元，</w:t>
      </w:r>
      <w:r>
        <w:rPr>
          <w:rFonts w:ascii="仿宋_GB2312" w:hAnsi="仿宋_GB2312" w:eastAsia="仿宋_GB2312"/>
          <w:b w:val="0"/>
          <w:sz w:val="32"/>
        </w:rPr>
        <w:t>其中：财政拨款收入221.90万元，占100.00%；上级补助收入0.00万元，占0.00%；事业收入0.00万元，占0.00%；经营收入0.00万元，占0.00%；附属单位上缴收入0.00万元，占0.00%；其他收入0.00万元，占0.00%。</w:t>
      </w:r>
    </w:p>
    <w:p w14:paraId="1F29F060">
      <w:pPr>
        <w:spacing w:line="640" w:lineRule="exact"/>
        <w:ind w:firstLine="640"/>
        <w:jc w:val="both"/>
        <w:outlineLvl w:val="2"/>
      </w:pPr>
      <w:r>
        <w:rPr>
          <w:rFonts w:ascii="黑体" w:hAnsi="黑体" w:eastAsia="黑体"/>
          <w:sz w:val="32"/>
        </w:rPr>
        <w:t>三、支出决算情况说明</w:t>
      </w:r>
    </w:p>
    <w:p w14:paraId="517D927C">
      <w:pPr>
        <w:spacing w:line="580" w:lineRule="exact"/>
        <w:ind w:firstLine="640"/>
        <w:jc w:val="both"/>
      </w:pPr>
      <w:r>
        <w:rPr>
          <w:rFonts w:ascii="仿宋_GB2312" w:hAnsi="仿宋_GB2312" w:eastAsia="仿宋_GB2312"/>
          <w:b/>
          <w:sz w:val="32"/>
        </w:rPr>
        <w:t>本年支出221.90万元，</w:t>
      </w:r>
      <w:r>
        <w:rPr>
          <w:rFonts w:ascii="仿宋_GB2312" w:hAnsi="仿宋_GB2312" w:eastAsia="仿宋_GB2312"/>
          <w:b w:val="0"/>
          <w:sz w:val="32"/>
        </w:rPr>
        <w:t>其中：基本支出216.90万元，占97.75%；项目支出5.00万元，占2.25%；上缴上级支出0.00万元，占0.00%；经营支出0.00万元，占0.00%；对附属单位补助支出0.00万元，占0.00%。</w:t>
      </w:r>
    </w:p>
    <w:p w14:paraId="15ECEC0B">
      <w:pPr>
        <w:spacing w:line="640" w:lineRule="exact"/>
        <w:ind w:firstLine="640"/>
        <w:jc w:val="both"/>
        <w:outlineLvl w:val="2"/>
      </w:pPr>
      <w:r>
        <w:rPr>
          <w:rFonts w:ascii="黑体" w:hAnsi="黑体" w:eastAsia="黑体"/>
          <w:sz w:val="32"/>
        </w:rPr>
        <w:t>四、财政拨款收入支出决算总体情况说明</w:t>
      </w:r>
    </w:p>
    <w:p w14:paraId="30DEF4BF">
      <w:pPr>
        <w:spacing w:line="580" w:lineRule="exact"/>
        <w:ind w:firstLine="640"/>
        <w:jc w:val="both"/>
      </w:pPr>
      <w:r>
        <w:rPr>
          <w:rFonts w:ascii="仿宋_GB2312" w:hAnsi="仿宋_GB2312" w:eastAsia="仿宋_GB2312"/>
          <w:b/>
          <w:sz w:val="32"/>
        </w:rPr>
        <w:t>2024年度财政拨款收入总计221.90万元，</w:t>
      </w:r>
      <w:r>
        <w:rPr>
          <w:rFonts w:ascii="仿宋_GB2312" w:hAnsi="仿宋_GB2312" w:eastAsia="仿宋_GB2312"/>
          <w:b w:val="0"/>
          <w:sz w:val="32"/>
        </w:rPr>
        <w:t>其中：年初财政拨款结转和结余0.00万元，本年财政拨款收入221.90万元。</w:t>
      </w:r>
      <w:r>
        <w:rPr>
          <w:rFonts w:ascii="仿宋_GB2312" w:hAnsi="仿宋_GB2312" w:eastAsia="仿宋_GB2312"/>
          <w:b/>
          <w:sz w:val="32"/>
        </w:rPr>
        <w:t>财政拨款支出总计221.90万元，</w:t>
      </w:r>
      <w:r>
        <w:rPr>
          <w:rFonts w:ascii="仿宋_GB2312" w:hAnsi="仿宋_GB2312" w:eastAsia="仿宋_GB2312"/>
          <w:b w:val="0"/>
          <w:sz w:val="32"/>
        </w:rPr>
        <w:t>其中：年末财政拨款结转和结余0.00万元，本年财政拨款支出221.90万元。</w:t>
      </w:r>
    </w:p>
    <w:p w14:paraId="05ADD1D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减少53.21万元，下降19.34%，主要原因是：本年减少了地区党员教育阵地人才支持项目、远程</w:t>
      </w:r>
      <w:r>
        <w:rPr>
          <w:rFonts w:hint="eastAsia" w:ascii="仿宋_GB2312" w:hAnsi="仿宋_GB2312" w:eastAsia="仿宋_GB2312"/>
          <w:b w:val="0"/>
          <w:sz w:val="32"/>
          <w:lang w:eastAsia="zh-CN"/>
        </w:rPr>
        <w:t>网络</w:t>
      </w:r>
      <w:r>
        <w:rPr>
          <w:rFonts w:ascii="仿宋_GB2312" w:hAnsi="仿宋_GB2312" w:eastAsia="仿宋_GB2312"/>
          <w:b w:val="0"/>
          <w:sz w:val="32"/>
        </w:rPr>
        <w:t>科普信息员能力提升项目。</w:t>
      </w:r>
      <w:r>
        <w:rPr>
          <w:rFonts w:ascii="仿宋_GB2312" w:hAnsi="仿宋_GB2312" w:eastAsia="仿宋_GB2312"/>
          <w:b/>
          <w:sz w:val="32"/>
        </w:rPr>
        <w:t>与年初预算相比，</w:t>
      </w:r>
      <w:r>
        <w:rPr>
          <w:rFonts w:ascii="仿宋_GB2312" w:hAnsi="仿宋_GB2312" w:eastAsia="仿宋_GB2312"/>
          <w:b w:val="0"/>
          <w:sz w:val="32"/>
        </w:rPr>
        <w:t>年初预算数291.81万元，决算数221.90万元，预决算差异率-23.96%，主要原因是：本年在职人员转退休1人，年中调减人员经费；年中调减联谊活动经费，导致预决算存在差异。</w:t>
      </w:r>
    </w:p>
    <w:p w14:paraId="2379E69E">
      <w:pPr>
        <w:spacing w:line="640" w:lineRule="exact"/>
        <w:ind w:firstLine="640"/>
        <w:jc w:val="both"/>
        <w:outlineLvl w:val="2"/>
      </w:pPr>
      <w:r>
        <w:rPr>
          <w:rFonts w:ascii="黑体" w:hAnsi="黑体" w:eastAsia="黑体"/>
          <w:sz w:val="32"/>
        </w:rPr>
        <w:t>五、一般公共预算财政拨款支出决算情况说明</w:t>
      </w:r>
    </w:p>
    <w:p w14:paraId="2271F925">
      <w:pPr>
        <w:spacing w:line="640" w:lineRule="exact"/>
        <w:ind w:firstLine="640"/>
        <w:jc w:val="both"/>
        <w:outlineLvl w:val="3"/>
      </w:pPr>
      <w:r>
        <w:rPr>
          <w:rFonts w:ascii="楷体_GB2312" w:hAnsi="楷体_GB2312" w:eastAsia="楷体_GB2312"/>
          <w:b/>
          <w:sz w:val="32"/>
        </w:rPr>
        <w:t>（一）一般公共预算财政拨款支出决算总体情况</w:t>
      </w:r>
    </w:p>
    <w:p w14:paraId="5D17CC24">
      <w:pPr>
        <w:spacing w:line="580" w:lineRule="exact"/>
        <w:ind w:firstLine="640"/>
        <w:jc w:val="both"/>
      </w:pPr>
      <w:r>
        <w:rPr>
          <w:rFonts w:ascii="仿宋_GB2312" w:hAnsi="仿宋_GB2312" w:eastAsia="仿宋_GB2312"/>
          <w:b/>
          <w:sz w:val="32"/>
        </w:rPr>
        <w:t>2024年度一般公共预算财政拨款支出221.90万元，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减少53.21万元，下降19.34%，主要原因是：本年减少了地区党员教育阵地人才支持项目、远程</w:t>
      </w:r>
      <w:r>
        <w:rPr>
          <w:rFonts w:hint="eastAsia" w:ascii="仿宋_GB2312" w:hAnsi="仿宋_GB2312" w:eastAsia="仿宋_GB2312"/>
          <w:b w:val="0"/>
          <w:sz w:val="32"/>
          <w:lang w:eastAsia="zh-CN"/>
        </w:rPr>
        <w:t>网络</w:t>
      </w:r>
      <w:r>
        <w:rPr>
          <w:rFonts w:ascii="仿宋_GB2312" w:hAnsi="仿宋_GB2312" w:eastAsia="仿宋_GB2312"/>
          <w:b w:val="0"/>
          <w:sz w:val="32"/>
        </w:rPr>
        <w:t>科普信息员能力提升项目。</w:t>
      </w:r>
      <w:r>
        <w:rPr>
          <w:rFonts w:ascii="仿宋_GB2312" w:hAnsi="仿宋_GB2312" w:eastAsia="仿宋_GB2312"/>
          <w:b/>
          <w:sz w:val="32"/>
        </w:rPr>
        <w:t>与年初预算相比,</w:t>
      </w:r>
      <w:r>
        <w:rPr>
          <w:rFonts w:ascii="仿宋_GB2312" w:hAnsi="仿宋_GB2312" w:eastAsia="仿宋_GB2312"/>
          <w:b w:val="0"/>
          <w:sz w:val="32"/>
        </w:rPr>
        <w:t>年初预算数291.81万元，决算数221.90万元，预决算差异率-23.96%，主要原因是：本年在职人员转退休1人，年中调减人员经费；年中调减联谊活动经费，导致预决算存在差异。</w:t>
      </w:r>
    </w:p>
    <w:p w14:paraId="0502B592">
      <w:pPr>
        <w:spacing w:line="640" w:lineRule="exact"/>
        <w:ind w:firstLine="640"/>
        <w:jc w:val="both"/>
        <w:outlineLvl w:val="3"/>
      </w:pPr>
      <w:r>
        <w:rPr>
          <w:rFonts w:ascii="楷体_GB2312" w:hAnsi="楷体_GB2312" w:eastAsia="楷体_GB2312"/>
          <w:b/>
          <w:sz w:val="32"/>
        </w:rPr>
        <w:t>（二）一般公共预算财政拨款支出决算结构情况</w:t>
      </w:r>
    </w:p>
    <w:p w14:paraId="3C9A8731">
      <w:pPr>
        <w:spacing w:line="580" w:lineRule="exact"/>
        <w:ind w:firstLine="640"/>
        <w:jc w:val="both"/>
      </w:pPr>
      <w:r>
        <w:rPr>
          <w:rFonts w:ascii="仿宋_GB2312" w:hAnsi="仿宋_GB2312" w:eastAsia="仿宋_GB2312"/>
          <w:b w:val="0"/>
          <w:sz w:val="32"/>
        </w:rPr>
        <w:t>1.一般公共服务支出(类)167.06万元,占75.29%。</w:t>
      </w:r>
    </w:p>
    <w:p w14:paraId="34CD834C">
      <w:pPr>
        <w:spacing w:line="580" w:lineRule="exact"/>
        <w:ind w:firstLine="640"/>
        <w:jc w:val="both"/>
      </w:pPr>
      <w:r>
        <w:rPr>
          <w:rFonts w:ascii="仿宋_GB2312" w:hAnsi="仿宋_GB2312" w:eastAsia="仿宋_GB2312"/>
          <w:b w:val="0"/>
          <w:sz w:val="32"/>
        </w:rPr>
        <w:t>2.社会保障和就业支出(类)27.70万元,占12.48%。</w:t>
      </w:r>
    </w:p>
    <w:p w14:paraId="0CEC7F3A">
      <w:pPr>
        <w:spacing w:line="580" w:lineRule="exact"/>
        <w:ind w:firstLine="640"/>
        <w:jc w:val="both"/>
      </w:pPr>
      <w:r>
        <w:rPr>
          <w:rFonts w:ascii="仿宋_GB2312" w:hAnsi="仿宋_GB2312" w:eastAsia="仿宋_GB2312"/>
          <w:b w:val="0"/>
          <w:sz w:val="32"/>
        </w:rPr>
        <w:t>3.卫生健康支出(类)10.38万元,占4.68%。</w:t>
      </w:r>
    </w:p>
    <w:p w14:paraId="6470B159">
      <w:pPr>
        <w:spacing w:line="580" w:lineRule="exact"/>
        <w:ind w:firstLine="640"/>
        <w:jc w:val="both"/>
      </w:pPr>
      <w:r>
        <w:rPr>
          <w:rFonts w:ascii="仿宋_GB2312" w:hAnsi="仿宋_GB2312" w:eastAsia="仿宋_GB2312"/>
          <w:b w:val="0"/>
          <w:sz w:val="32"/>
        </w:rPr>
        <w:t>4.住房保障支出(类)16.77万元,占7.56%。</w:t>
      </w:r>
    </w:p>
    <w:p w14:paraId="0AEEE1C1">
      <w:pPr>
        <w:spacing w:line="640" w:lineRule="exact"/>
        <w:ind w:firstLine="640"/>
        <w:jc w:val="both"/>
        <w:outlineLvl w:val="3"/>
      </w:pPr>
      <w:r>
        <w:rPr>
          <w:rFonts w:ascii="楷体_GB2312" w:hAnsi="楷体_GB2312" w:eastAsia="楷体_GB2312"/>
          <w:b/>
          <w:sz w:val="32"/>
        </w:rPr>
        <w:t>（三）一般公共预算财政拨款支出决算具体情况</w:t>
      </w:r>
    </w:p>
    <w:p w14:paraId="1792B5E6">
      <w:pPr>
        <w:spacing w:line="580" w:lineRule="exact"/>
        <w:ind w:firstLine="640"/>
        <w:jc w:val="both"/>
      </w:pPr>
      <w:r>
        <w:rPr>
          <w:rFonts w:ascii="仿宋_GB2312" w:hAnsi="仿宋_GB2312" w:eastAsia="仿宋_GB2312"/>
          <w:b w:val="0"/>
          <w:sz w:val="32"/>
        </w:rPr>
        <w:t>1.一般公共服务支出(类)组织事务(款)行政运行(项):支出决算数为162.06万元，比上年决算减少46.47万元，下降22.28%,主要原因是：本年减少了地区党员教育阵地人才支持项目。</w:t>
      </w:r>
    </w:p>
    <w:p w14:paraId="64FD69B2">
      <w:pPr>
        <w:spacing w:line="580" w:lineRule="exact"/>
        <w:ind w:firstLine="640"/>
        <w:jc w:val="both"/>
      </w:pPr>
      <w:r>
        <w:rPr>
          <w:rFonts w:ascii="仿宋_GB2312" w:hAnsi="仿宋_GB2312" w:eastAsia="仿宋_GB2312"/>
          <w:b w:val="0"/>
          <w:sz w:val="32"/>
        </w:rPr>
        <w:t>2.一般公共服务支出(类)组织事务(款)一般行政管理事务(项):支出决算数为5.00万元，比上年决算增加0.00万元，增长0.00%,主要原因是：本年党员教育中心业务经费项目与上年相比无变化。</w:t>
      </w:r>
    </w:p>
    <w:p w14:paraId="0A6F2465">
      <w:pPr>
        <w:spacing w:line="580" w:lineRule="exact"/>
        <w:ind w:firstLine="640"/>
        <w:jc w:val="both"/>
      </w:pPr>
      <w:r>
        <w:rPr>
          <w:rFonts w:ascii="仿宋_GB2312" w:hAnsi="仿宋_GB2312" w:eastAsia="仿宋_GB2312"/>
          <w:b w:val="0"/>
          <w:sz w:val="32"/>
        </w:rPr>
        <w:t>3.一般公共服务支出(类)统战事务(款)宗教事务(项):支出决算数为0.00万元，比上年决算减少0.49万元，下降100.00%,主要原因是：本年减少了下乡人员经费。</w:t>
      </w:r>
    </w:p>
    <w:p w14:paraId="548E1060">
      <w:pPr>
        <w:spacing w:line="580" w:lineRule="exact"/>
        <w:ind w:firstLine="640"/>
        <w:jc w:val="both"/>
      </w:pPr>
      <w:r>
        <w:rPr>
          <w:rFonts w:ascii="仿宋_GB2312" w:hAnsi="仿宋_GB2312" w:eastAsia="仿宋_GB2312"/>
          <w:b w:val="0"/>
          <w:sz w:val="32"/>
        </w:rPr>
        <w:t>4.科学技术支出(类)科学技术普及(款)科普活动(项):支出决算数为0.00万元，比上年决算减少2.92万元，下降100.00%,主要原因是：本年减少了远程</w:t>
      </w:r>
      <w:r>
        <w:rPr>
          <w:rFonts w:hint="eastAsia" w:ascii="仿宋_GB2312" w:hAnsi="仿宋_GB2312" w:eastAsia="仿宋_GB2312"/>
          <w:b w:val="0"/>
          <w:sz w:val="32"/>
          <w:lang w:eastAsia="zh-CN"/>
        </w:rPr>
        <w:t>网络</w:t>
      </w:r>
      <w:r>
        <w:rPr>
          <w:rFonts w:ascii="仿宋_GB2312" w:hAnsi="仿宋_GB2312" w:eastAsia="仿宋_GB2312"/>
          <w:b w:val="0"/>
          <w:sz w:val="32"/>
        </w:rPr>
        <w:t>科普信息员能力提升项目。</w:t>
      </w:r>
    </w:p>
    <w:p w14:paraId="3B252CF3">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5.社会保障和就业支出(类)行政事业单位养老支出(款)行政单位离退休(项):支出决算数为0.95万元，比上年决算增加0.95万元，增长100.00%,主要原因是：本年退休人员增加，退休费支出增加。</w:t>
      </w:r>
    </w:p>
    <w:p w14:paraId="7569AA02">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19.35万元，比上年决算减少5.32万元，下降21.56%,主要原因是：本年在职人员转退休，单位基本养老保险缴费较上年减少。</w:t>
      </w:r>
    </w:p>
    <w:p w14:paraId="01D2FD59">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7.社会保障和就业支出(类)行政事业单位养老支出(款)机关事业单位职业年金缴费支出(项):支出决算数为7.39万元，比上年决算增加7.39万元，增长100.00%,主要原因是：本年在职人员转退休，职业年金缴费支出增加。</w:t>
      </w:r>
    </w:p>
    <w:p w14:paraId="606E713D">
      <w:pPr>
        <w:spacing w:line="580" w:lineRule="exact"/>
        <w:ind w:firstLine="640"/>
        <w:jc w:val="both"/>
      </w:pPr>
      <w:r>
        <w:rPr>
          <w:rFonts w:ascii="仿宋_GB2312" w:hAnsi="仿宋_GB2312" w:eastAsia="仿宋_GB2312"/>
          <w:b w:val="0"/>
          <w:sz w:val="32"/>
        </w:rPr>
        <w:t>8.卫生健康支出(类)行政事业单位医疗(款)行政单位医疗(项):支出决算数为8.22万元，比上年决算减少2.21万元，下降21.19%,主要原因是：本年一名在职人员转退休，行政单位医疗减少。</w:t>
      </w:r>
    </w:p>
    <w:p w14:paraId="468607EA">
      <w:pPr>
        <w:spacing w:line="580" w:lineRule="exact"/>
        <w:ind w:firstLine="640"/>
        <w:jc w:val="both"/>
      </w:pPr>
      <w:r>
        <w:rPr>
          <w:rFonts w:ascii="仿宋_GB2312" w:hAnsi="仿宋_GB2312" w:eastAsia="仿宋_GB2312"/>
          <w:b w:val="0"/>
          <w:sz w:val="32"/>
        </w:rPr>
        <w:t>9.卫生健康支出(类)行政事业单位医疗(款)公务员医疗补助(项):支出决算数为2.15万元，比上年决算减少0.70万元，下降24.56%,主要原因是：本年在职人员转退休，公务员医疗补助减少。</w:t>
      </w:r>
    </w:p>
    <w:p w14:paraId="4BC116EB">
      <w:pPr>
        <w:spacing w:line="580" w:lineRule="exact"/>
        <w:ind w:firstLine="640"/>
        <w:jc w:val="both"/>
      </w:pPr>
      <w:r>
        <w:rPr>
          <w:rFonts w:ascii="仿宋_GB2312" w:hAnsi="仿宋_GB2312" w:eastAsia="仿宋_GB2312"/>
          <w:b w:val="0"/>
          <w:sz w:val="32"/>
        </w:rPr>
        <w:t>10.住房保障支出(类)住房改革支出(款)住房公积金(项):支出决算数为16.77万元，比上年决算减少3.45万元，下降17.06%,主要原因是：本年在职人员转退休，住房公积金缴费较上年减少。</w:t>
      </w:r>
    </w:p>
    <w:p w14:paraId="69119D5D">
      <w:pPr>
        <w:spacing w:line="640" w:lineRule="exact"/>
        <w:ind w:firstLine="640"/>
        <w:jc w:val="both"/>
        <w:outlineLvl w:val="2"/>
      </w:pPr>
      <w:r>
        <w:rPr>
          <w:rFonts w:ascii="黑体" w:hAnsi="黑体" w:eastAsia="黑体"/>
          <w:sz w:val="32"/>
        </w:rPr>
        <w:t>六、一般公共预算财政拨款基本支出决算情况说明</w:t>
      </w:r>
    </w:p>
    <w:p w14:paraId="57D7839E">
      <w:pPr>
        <w:spacing w:line="580" w:lineRule="exact"/>
        <w:ind w:firstLine="640"/>
        <w:jc w:val="both"/>
      </w:pPr>
      <w:r>
        <w:rPr>
          <w:rFonts w:ascii="仿宋_GB2312" w:hAnsi="仿宋_GB2312" w:eastAsia="仿宋_GB2312"/>
          <w:b w:val="0"/>
          <w:sz w:val="32"/>
        </w:rPr>
        <w:t>2024年度一般公共预算财政拨款基本支出216.90万元，其中：</w:t>
      </w:r>
      <w:r>
        <w:rPr>
          <w:rFonts w:ascii="仿宋_GB2312" w:hAnsi="仿宋_GB2312" w:eastAsia="仿宋_GB2312"/>
          <w:b/>
          <w:sz w:val="32"/>
        </w:rPr>
        <w:t>人员经费205.50万元，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包括：基本工资、津贴补贴、奖金、机关事业单位基本养老保险缴费、职业年金缴费、职工基本医疗保险缴费、公务员医疗补助缴费、其他社会保障缴费、住房公积金、退休费。</w:t>
      </w:r>
    </w:p>
    <w:p w14:paraId="008256CF">
      <w:pPr>
        <w:spacing w:line="580" w:lineRule="exact"/>
        <w:ind w:firstLine="640"/>
        <w:jc w:val="both"/>
      </w:pPr>
      <w:r>
        <w:rPr>
          <w:rFonts w:ascii="仿宋_GB2312" w:hAnsi="仿宋_GB2312" w:eastAsia="仿宋_GB2312"/>
          <w:b/>
          <w:sz w:val="32"/>
        </w:rPr>
        <w:t>公用经费11.40万元，</w:t>
      </w:r>
      <w:r>
        <w:rPr>
          <w:rFonts w:ascii="仿宋_GB2312" w:hAnsi="仿宋_GB2312" w:eastAsia="仿宋_GB2312"/>
          <w:b w:val="0"/>
          <w:sz w:val="32"/>
        </w:rPr>
        <w:t>包括：办公费、电费、邮电费、取暖费、差旅费、专用材料费、工会经费、其他交通费用、其他商品和服务支出。</w:t>
      </w:r>
    </w:p>
    <w:p w14:paraId="787DE581">
      <w:pPr>
        <w:spacing w:line="640" w:lineRule="exact"/>
        <w:ind w:firstLine="640"/>
        <w:jc w:val="both"/>
        <w:outlineLvl w:val="2"/>
      </w:pPr>
      <w:r>
        <w:rPr>
          <w:rFonts w:ascii="黑体" w:hAnsi="黑体" w:eastAsia="黑体"/>
          <w:sz w:val="32"/>
        </w:rPr>
        <w:t>七、政府性基金预算财政拨款收入支出决算情况说明</w:t>
      </w:r>
    </w:p>
    <w:p w14:paraId="41DAAE9D">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543D203">
      <w:pPr>
        <w:spacing w:line="640" w:lineRule="exact"/>
        <w:ind w:firstLine="640"/>
        <w:jc w:val="both"/>
        <w:outlineLvl w:val="2"/>
      </w:pPr>
      <w:r>
        <w:rPr>
          <w:rFonts w:ascii="黑体" w:hAnsi="黑体" w:eastAsia="黑体"/>
          <w:sz w:val="32"/>
        </w:rPr>
        <w:t>八、国有资本经营预算财政拨款收入支出决算情况说明</w:t>
      </w:r>
    </w:p>
    <w:p w14:paraId="0647B87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9570798">
      <w:pPr>
        <w:spacing w:line="640" w:lineRule="exact"/>
        <w:ind w:firstLine="640"/>
        <w:jc w:val="both"/>
        <w:outlineLvl w:val="2"/>
      </w:pPr>
      <w:r>
        <w:rPr>
          <w:rFonts w:ascii="黑体" w:hAnsi="黑体" w:eastAsia="黑体"/>
          <w:sz w:val="32"/>
        </w:rPr>
        <w:t>九、财政拨款“三公”经费支出决算情况说明</w:t>
      </w:r>
    </w:p>
    <w:p w14:paraId="302FCA35">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33D19361">
      <w:pPr>
        <w:spacing w:line="580" w:lineRule="exact"/>
        <w:ind w:firstLine="640"/>
        <w:jc w:val="both"/>
      </w:pPr>
      <w:r>
        <w:rPr>
          <w:rFonts w:ascii="仿宋_GB2312" w:hAnsi="仿宋_GB2312" w:eastAsia="仿宋_GB2312"/>
          <w:b/>
          <w:sz w:val="32"/>
        </w:rPr>
        <w:t>具体情况如下：</w:t>
      </w:r>
    </w:p>
    <w:p w14:paraId="71DEED3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409637E">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3EDDBD0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B874B4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C721F70">
      <w:pPr>
        <w:spacing w:line="640" w:lineRule="exact"/>
        <w:ind w:firstLine="640"/>
        <w:jc w:val="both"/>
        <w:outlineLvl w:val="2"/>
      </w:pPr>
      <w:r>
        <w:rPr>
          <w:rFonts w:ascii="黑体" w:hAnsi="黑体" w:eastAsia="黑体"/>
          <w:sz w:val="32"/>
        </w:rPr>
        <w:t>十、其他重要事项的情况说明</w:t>
      </w:r>
    </w:p>
    <w:p w14:paraId="7D51190D">
      <w:pPr>
        <w:spacing w:line="640" w:lineRule="exact"/>
        <w:ind w:firstLine="640"/>
        <w:jc w:val="both"/>
        <w:outlineLvl w:val="3"/>
      </w:pPr>
      <w:r>
        <w:rPr>
          <w:rFonts w:ascii="楷体_GB2312" w:hAnsi="楷体_GB2312" w:eastAsia="楷体_GB2312"/>
          <w:b/>
          <w:sz w:val="32"/>
        </w:rPr>
        <w:t>（一）机关运行经费及公用经费支出情况</w:t>
      </w:r>
    </w:p>
    <w:p w14:paraId="6551FF58">
      <w:pPr>
        <w:spacing w:line="580" w:lineRule="exact"/>
        <w:ind w:firstLine="640"/>
        <w:jc w:val="both"/>
      </w:pPr>
      <w:r>
        <w:rPr>
          <w:rFonts w:ascii="仿宋_GB2312" w:hAnsi="仿宋_GB2312" w:eastAsia="仿宋_GB2312"/>
          <w:b w:val="0"/>
          <w:sz w:val="32"/>
        </w:rPr>
        <w:t>2024年度喀什地区党员教育中心（行政单位和参照公务员法管理事业单位）机关运行经费支出11.40万元，比上年增加0.47万元，增长4.30%，主要原因是：本年补充办公用品，导致机关运行经费较上年略有增加。</w:t>
      </w:r>
    </w:p>
    <w:p w14:paraId="04338CB4">
      <w:pPr>
        <w:spacing w:line="640" w:lineRule="exact"/>
        <w:ind w:firstLine="640"/>
        <w:jc w:val="both"/>
        <w:outlineLvl w:val="3"/>
      </w:pPr>
      <w:r>
        <w:rPr>
          <w:rFonts w:ascii="楷体_GB2312" w:hAnsi="楷体_GB2312" w:eastAsia="楷体_GB2312"/>
          <w:b/>
          <w:sz w:val="32"/>
        </w:rPr>
        <w:t>（二）政府采购情况</w:t>
      </w:r>
    </w:p>
    <w:p w14:paraId="5B3C2EC3">
      <w:pPr>
        <w:spacing w:line="580" w:lineRule="exact"/>
        <w:ind w:firstLine="640"/>
        <w:jc w:val="both"/>
      </w:pPr>
      <w:r>
        <w:rPr>
          <w:rFonts w:ascii="仿宋_GB2312" w:hAnsi="仿宋_GB2312" w:eastAsia="仿宋_GB2312"/>
          <w:b w:val="0"/>
          <w:sz w:val="32"/>
        </w:rPr>
        <w:t>2024年度政府采购支出总额8.17万元，其中：政府采购货物支出5.02万元、政府采购工程支出0.00万元、政府采购服务支出3.15万元。</w:t>
      </w:r>
    </w:p>
    <w:p w14:paraId="39271670">
      <w:pPr>
        <w:spacing w:line="580" w:lineRule="exact"/>
        <w:ind w:firstLine="640"/>
        <w:jc w:val="both"/>
      </w:pPr>
      <w:r>
        <w:rPr>
          <w:rFonts w:ascii="仿宋_GB2312" w:hAnsi="仿宋_GB2312" w:eastAsia="仿宋_GB2312"/>
          <w:b w:val="0"/>
          <w:sz w:val="32"/>
        </w:rPr>
        <w:t>授予中小企业合同金额6.17万元，占政府采购支出总额的75.52%，其中：授予小微企业合同金额6.17万元，占政府采购支出总额的75.52%。</w:t>
      </w:r>
    </w:p>
    <w:p w14:paraId="735FA294">
      <w:pPr>
        <w:spacing w:line="640" w:lineRule="exact"/>
        <w:ind w:firstLine="640"/>
        <w:jc w:val="both"/>
        <w:outlineLvl w:val="3"/>
      </w:pPr>
      <w:r>
        <w:rPr>
          <w:rFonts w:ascii="楷体_GB2312" w:hAnsi="楷体_GB2312" w:eastAsia="楷体_GB2312"/>
          <w:b/>
          <w:sz w:val="32"/>
        </w:rPr>
        <w:t>（三）国有资产占用情况说明</w:t>
      </w:r>
    </w:p>
    <w:p w14:paraId="471EBF01">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712B1A91">
      <w:pPr>
        <w:spacing w:line="640" w:lineRule="exact"/>
        <w:ind w:firstLine="640"/>
        <w:jc w:val="both"/>
        <w:outlineLvl w:val="2"/>
      </w:pPr>
      <w:r>
        <w:rPr>
          <w:rFonts w:ascii="黑体" w:hAnsi="黑体" w:eastAsia="黑体"/>
          <w:sz w:val="32"/>
        </w:rPr>
        <w:t>十一、预算绩效的情况说明</w:t>
      </w:r>
    </w:p>
    <w:p w14:paraId="5F2ED6C5">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221.90万元，实际执行总额221.90万元；预算绩效评价项目1个，全年预算数5.00万元，全年执行数5.00万元。预算绩效管理取得的成效：一是对全区党员教育工作情况</w:t>
      </w:r>
      <w:bookmarkStart w:id="0" w:name="_GoBack"/>
      <w:r>
        <w:rPr>
          <w:rFonts w:ascii="仿宋_GB2312" w:hAnsi="仿宋_GB2312" w:eastAsia="仿宋_GB2312"/>
          <w:b w:val="0"/>
          <w:sz w:val="32"/>
        </w:rPr>
        <w:t>进行3次指导调研，了解掌握基层党员教育工作开展的难点、痛点，使基层党员群众真正受到教育、得实惠。二是充分利用现代远程教育技</w:t>
      </w:r>
      <w:bookmarkEnd w:id="0"/>
      <w:r>
        <w:rPr>
          <w:rFonts w:ascii="仿宋_GB2312" w:hAnsi="仿宋_GB2312" w:eastAsia="仿宋_GB2312"/>
          <w:b w:val="0"/>
          <w:sz w:val="32"/>
        </w:rPr>
        <w:t>术手段和教学资源开展贫困村党支部培训，对农村党员干部进行政治理论、政策法规、实用技术、科技常识等方面的教育，有助于农村干部提高对党的认识和理解，</w:t>
      </w:r>
      <w:r>
        <w:rPr>
          <w:rFonts w:hint="eastAsia" w:ascii="仿宋_GB2312" w:hAnsi="仿宋_GB2312" w:eastAsia="仿宋_GB2312"/>
          <w:b w:val="0"/>
          <w:sz w:val="32"/>
          <w:lang w:eastAsia="zh-CN"/>
        </w:rPr>
        <w:t>更好地</w:t>
      </w:r>
      <w:r>
        <w:rPr>
          <w:rFonts w:ascii="仿宋_GB2312" w:hAnsi="仿宋_GB2312" w:eastAsia="仿宋_GB2312"/>
          <w:b w:val="0"/>
          <w:sz w:val="32"/>
        </w:rPr>
        <w:t>指导党员的工作效益，努力培养大批有觉悟、懂科技、善经营、会管理的新型农村劳动者。发现的问题及原因：一是2024年按照自治区要求开展了站点“四进”工作，增加了总站点数量，导致站点培训党员数量增多；二是在项目实施的前期，对相关方面调查研究和综合论证做的还不够对项目预算资金精细预测和规划不够科学，设置绩效目标不够精准，年初目标值设置偏低。下一步改进措施：一是要加强与自治区党员教育中心的沟通交流，年初时精准预算，合理设置指标值；二是加强工作调研，合理设置项目目标；三是加强经验总结，制定业务类项目共性指标体系；四是制定完善的实施方案，并根据项目实施方案科学化、精准化做好项目预算和绩效目标设置，严格执行资金管理办法和财政资金管理制度等稳步推进工作。具体附整体支出绩效自评表，项目支出绩效自评表和评价报告。</w:t>
      </w:r>
    </w:p>
    <w:p w14:paraId="09135418">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318"/>
        <w:gridCol w:w="665"/>
        <w:gridCol w:w="983"/>
        <w:gridCol w:w="983"/>
        <w:gridCol w:w="983"/>
      </w:tblGrid>
      <w:tr w14:paraId="0FCCA536">
        <w:tblPrEx>
          <w:tblCellMar>
            <w:top w:w="0" w:type="dxa"/>
            <w:left w:w="108" w:type="dxa"/>
            <w:bottom w:w="0" w:type="dxa"/>
            <w:right w:w="108" w:type="dxa"/>
          </w:tblCellMar>
        </w:tblPrEx>
        <w:tc>
          <w:tcPr>
            <w:tcW w:w="8847" w:type="dxa"/>
            <w:gridSpan w:val="10"/>
            <w:vAlign w:val="center"/>
          </w:tcPr>
          <w:p w14:paraId="5030145E">
            <w:pPr>
              <w:jc w:val="center"/>
            </w:pPr>
            <w:r>
              <w:rPr>
                <w:rFonts w:ascii="宋体" w:hAnsi="宋体" w:eastAsia="宋体"/>
                <w:sz w:val="24"/>
              </w:rPr>
              <w:t>单位整体支出绩效自评表</w:t>
            </w:r>
          </w:p>
        </w:tc>
      </w:tr>
      <w:tr w14:paraId="753DC409">
        <w:tblPrEx>
          <w:tblCellMar>
            <w:top w:w="0" w:type="dxa"/>
            <w:left w:w="108" w:type="dxa"/>
            <w:bottom w:w="0" w:type="dxa"/>
            <w:right w:w="108" w:type="dxa"/>
          </w:tblCellMar>
        </w:tblPrEx>
        <w:tc>
          <w:tcPr>
            <w:tcW w:w="8847" w:type="dxa"/>
            <w:gridSpan w:val="10"/>
            <w:vAlign w:val="center"/>
          </w:tcPr>
          <w:p w14:paraId="2F5DACC8">
            <w:pPr>
              <w:jc w:val="center"/>
            </w:pPr>
            <w:r>
              <w:rPr>
                <w:rFonts w:ascii="宋体" w:hAnsi="宋体" w:eastAsia="宋体"/>
                <w:sz w:val="24"/>
              </w:rPr>
              <w:t>（2024年度）</w:t>
            </w:r>
          </w:p>
        </w:tc>
      </w:tr>
      <w:tr w14:paraId="56E505D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B3D67E">
            <w:pPr>
              <w:jc w:val="center"/>
            </w:pPr>
            <w:r>
              <w:rPr>
                <w:rFonts w:ascii="宋体" w:hAnsi="宋体" w:eastAsia="宋体"/>
                <w:sz w:val="16"/>
              </w:rPr>
              <w:t>单位名称</w:t>
            </w:r>
          </w:p>
        </w:tc>
        <w:tc>
          <w:tcPr>
            <w:tcW w:w="7864"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53DCB8F7">
            <w:pPr>
              <w:jc w:val="center"/>
            </w:pPr>
            <w:r>
              <w:rPr>
                <w:rFonts w:ascii="宋体" w:hAnsi="宋体" w:eastAsia="宋体"/>
                <w:sz w:val="16"/>
              </w:rPr>
              <w:t>喀什地区党员教育中心</w:t>
            </w:r>
          </w:p>
        </w:tc>
      </w:tr>
      <w:tr w14:paraId="0EEA032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9B363C">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35F241">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5ED64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D9EC0E">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DF1AA0">
            <w:pPr>
              <w:jc w:val="center"/>
            </w:pPr>
            <w:r>
              <w:rPr>
                <w:rFonts w:ascii="宋体" w:hAnsi="宋体" w:eastAsia="宋体"/>
                <w:sz w:val="16"/>
              </w:rPr>
              <w:t>执行数</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C2EFB">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7757E0">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1C408">
            <w:pPr>
              <w:jc w:val="center"/>
            </w:pPr>
            <w:r>
              <w:rPr>
                <w:rFonts w:ascii="宋体" w:hAnsi="宋体" w:eastAsia="宋体"/>
                <w:sz w:val="16"/>
              </w:rPr>
              <w:t>得分</w:t>
            </w:r>
          </w:p>
        </w:tc>
      </w:tr>
      <w:tr w14:paraId="5383473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0DF2B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05B38D">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C98155">
            <w:pPr>
              <w:jc w:val="center"/>
            </w:pPr>
            <w:r>
              <w:rPr>
                <w:rFonts w:ascii="宋体" w:hAnsi="宋体" w:eastAsia="宋体"/>
                <w:sz w:val="16"/>
              </w:rPr>
              <w:t>291.81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5A3CD0">
            <w:pPr>
              <w:jc w:val="center"/>
            </w:pPr>
            <w:r>
              <w:rPr>
                <w:rFonts w:ascii="宋体" w:hAnsi="宋体" w:eastAsia="宋体"/>
                <w:sz w:val="16"/>
              </w:rPr>
              <w:t>221.90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BF06C3">
            <w:pPr>
              <w:jc w:val="center"/>
            </w:pPr>
            <w:r>
              <w:rPr>
                <w:rFonts w:ascii="宋体" w:hAnsi="宋体" w:eastAsia="宋体"/>
                <w:sz w:val="16"/>
              </w:rPr>
              <w:t>221.90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8BF6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587A32">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53B3C">
            <w:pPr>
              <w:jc w:val="center"/>
            </w:pPr>
            <w:r>
              <w:rPr>
                <w:rFonts w:ascii="宋体" w:hAnsi="宋体" w:eastAsia="宋体"/>
                <w:sz w:val="16"/>
              </w:rPr>
              <w:t>10</w:t>
            </w:r>
          </w:p>
        </w:tc>
      </w:tr>
      <w:tr w14:paraId="3BA6CD2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02602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6C6625">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EE44C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467B6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7C9207">
            <w:pPr>
              <w:jc w:val="center"/>
            </w:pPr>
            <w:r>
              <w:rPr>
                <w:rFonts w:ascii="宋体" w:hAnsi="宋体" w:eastAsia="宋体"/>
                <w:sz w:val="16"/>
              </w:rPr>
              <w:t>0.00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F828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B425D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AFE36">
            <w:pPr>
              <w:jc w:val="center"/>
            </w:pPr>
            <w:r>
              <w:rPr>
                <w:rFonts w:ascii="宋体" w:hAnsi="宋体" w:eastAsia="宋体"/>
                <w:sz w:val="16"/>
              </w:rPr>
              <w:t>—</w:t>
            </w:r>
          </w:p>
        </w:tc>
      </w:tr>
      <w:tr w14:paraId="19CFAB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4B583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4A8BD1">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E1525F">
            <w:pPr>
              <w:jc w:val="center"/>
            </w:pPr>
            <w:r>
              <w:rPr>
                <w:rFonts w:ascii="宋体" w:hAnsi="宋体" w:eastAsia="宋体"/>
                <w:sz w:val="16"/>
              </w:rPr>
              <w:t>291.81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7BF8F1">
            <w:pPr>
              <w:jc w:val="center"/>
            </w:pPr>
            <w:r>
              <w:rPr>
                <w:rFonts w:ascii="宋体" w:hAnsi="宋体" w:eastAsia="宋体"/>
                <w:sz w:val="16"/>
              </w:rPr>
              <w:t>221.90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79970A">
            <w:pPr>
              <w:jc w:val="center"/>
            </w:pPr>
            <w:r>
              <w:rPr>
                <w:rFonts w:ascii="宋体" w:hAnsi="宋体" w:eastAsia="宋体"/>
                <w:sz w:val="16"/>
              </w:rPr>
              <w:t>221.90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F53E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D29FC0">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8F58C">
            <w:pPr>
              <w:jc w:val="center"/>
            </w:pPr>
            <w:r>
              <w:rPr>
                <w:rFonts w:ascii="宋体" w:hAnsi="宋体" w:eastAsia="宋体"/>
                <w:sz w:val="16"/>
              </w:rPr>
              <w:t>—</w:t>
            </w:r>
          </w:p>
        </w:tc>
      </w:tr>
      <w:tr w14:paraId="28EEE5C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C85B4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A6C7FF">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D7510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5FDCC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4677A3">
            <w:pPr>
              <w:jc w:val="center"/>
            </w:pPr>
            <w:r>
              <w:rPr>
                <w:rFonts w:ascii="宋体" w:hAnsi="宋体" w:eastAsia="宋体"/>
                <w:sz w:val="16"/>
              </w:rPr>
              <w:t>0.00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AED8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42F4C4">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D0236">
            <w:pPr>
              <w:jc w:val="center"/>
            </w:pPr>
            <w:r>
              <w:rPr>
                <w:rFonts w:ascii="宋体" w:hAnsi="宋体" w:eastAsia="宋体"/>
                <w:sz w:val="16"/>
              </w:rPr>
              <w:t>—</w:t>
            </w:r>
          </w:p>
        </w:tc>
      </w:tr>
      <w:tr w14:paraId="4D97B62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34CE67">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0406591">
            <w:pPr>
              <w:jc w:val="center"/>
            </w:pPr>
            <w:r>
              <w:rPr>
                <w:rFonts w:ascii="宋体" w:hAnsi="宋体" w:eastAsia="宋体"/>
                <w:sz w:val="16"/>
              </w:rPr>
              <w:t>预期目标</w:t>
            </w:r>
          </w:p>
        </w:tc>
        <w:tc>
          <w:tcPr>
            <w:tcW w:w="491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463E79">
            <w:pPr>
              <w:jc w:val="center"/>
            </w:pPr>
            <w:r>
              <w:rPr>
                <w:rFonts w:ascii="宋体" w:hAnsi="宋体" w:eastAsia="宋体"/>
                <w:sz w:val="16"/>
              </w:rPr>
              <w:t>实际完成情况</w:t>
            </w:r>
          </w:p>
        </w:tc>
      </w:tr>
      <w:tr w14:paraId="057529F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1435A7"/>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27AB212">
            <w:pPr>
              <w:jc w:val="both"/>
            </w:pPr>
            <w:r>
              <w:rPr>
                <w:rFonts w:ascii="宋体" w:hAnsi="宋体" w:eastAsia="宋体"/>
                <w:sz w:val="16"/>
              </w:rPr>
              <w:t>喀什地区党员教育中心紧紧围绕《2024年自治区党员教育工作要点》要求，结合自治区党委和地委组织工作会议、组织部长会议精神，</w:t>
            </w:r>
            <w:r>
              <w:rPr>
                <w:rFonts w:hint="eastAsia" w:ascii="宋体" w:hAnsi="宋体"/>
                <w:sz w:val="16"/>
                <w:lang w:eastAsia="zh-CN"/>
              </w:rPr>
              <w:t>坚持以习近平新时代中国特色社会</w:t>
            </w:r>
            <w:r>
              <w:rPr>
                <w:rFonts w:ascii="宋体" w:hAnsi="宋体" w:eastAsia="宋体"/>
                <w:sz w:val="16"/>
              </w:rPr>
              <w:t>主义思想为指导，抓实基层党员教育基础性工作，推动地区党员教育工作上台阶。持续抓好党员（远程）教育站点常态化运行管理工作，全年新增党员（远程）教育站点数量1847个，依托站点培训党员数量791.6万人，发挥好党员（远程）教育平台经常性教育作用，持续充实理论政策教育、红色教育、国家通用语言教育等优质课件，教育引导广大党员干部铸牢中华民族共同体意识。拍摄制作党员教育资源片100部，利用“喀什党员先锋号”微信公众号宣传党的二十大精神学习内容数量大于50篇，依托“一网三号”扩大宣传效果，提升党员教育培训质效。开展喀什地区党员教育业务骨干培训2次，以学习贯彻习近平新时代中国特色社会主义思想、党的二十大精神为主题抓好重点培训，举办党员、站点管理员等重点培训班，示范带动县市普遍培训，乡镇兜底培训。用好“线上+线下”“主课堂+分课堂”模式，利用优质资源，以点带面，辐射培训更多基层党员干部，提升理论素养、业务能力。</w:t>
            </w:r>
          </w:p>
        </w:tc>
        <w:tc>
          <w:tcPr>
            <w:tcW w:w="491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A64BE8">
            <w:pPr>
              <w:jc w:val="both"/>
            </w:pPr>
            <w:r>
              <w:rPr>
                <w:rFonts w:ascii="宋体" w:hAnsi="宋体" w:eastAsia="宋体"/>
                <w:sz w:val="16"/>
              </w:rPr>
              <w:t>紧紧围绕《2024年自治区党员教育工作要点</w:t>
            </w:r>
            <w:r>
              <w:rPr>
                <w:rFonts w:hint="eastAsia" w:ascii="宋体" w:hAnsi="宋体"/>
                <w:sz w:val="16"/>
                <w:lang w:eastAsia="zh-CN"/>
              </w:rPr>
              <w:t>》《</w:t>
            </w:r>
            <w:r>
              <w:rPr>
                <w:rFonts w:ascii="宋体" w:hAnsi="宋体" w:eastAsia="宋体"/>
                <w:sz w:val="16"/>
              </w:rPr>
              <w:t>自治区党委组织部关于印发2024年自治区党员教育培训示范班计划的通知》，结合自治区党委和地委组织工作会议、组织部长会议精神，</w:t>
            </w:r>
            <w:r>
              <w:rPr>
                <w:rFonts w:hint="eastAsia" w:ascii="宋体" w:hAnsi="宋体"/>
                <w:sz w:val="16"/>
                <w:lang w:eastAsia="zh-CN"/>
              </w:rPr>
              <w:t>坚持以习近平新时代中国特色社会</w:t>
            </w:r>
            <w:r>
              <w:rPr>
                <w:rFonts w:ascii="宋体" w:hAnsi="宋体" w:eastAsia="宋体"/>
                <w:sz w:val="16"/>
              </w:rPr>
              <w:t>主义思想为指导，抓实基层党员教育基础性工作，推动地区党员教育工作上台阶。持续抓好党员（远程）教育站点常态化运行管理工作，全年新增党员（远程）教育站点数量23个，依托站点培训党员数量613万人次，发挥好党员（远程）教育平台经常性教育作用，持续充实理论政策教育、红色教育、国家通用语言教育等优质课件，教育引导广大党员干部铸牢中华民族共同体意识。拍摄制作党员教育资源片105部，通过“一网三号”党建信息平台，累计发布71余篇宣传党的二十大精神、巩固拓展主题教育成果等学习内容，扩大宣传效果，提升党员教育培训质效。开展喀什地区党员教育业务骨干培训2次，以学习贯彻习近平新时代中国特色社会主义思想、党的二十大精神为主题抓好重点培训，举办党员、站点管理员等重点培训班，示范带动县市普遍培训，乡镇兜底培训。用好“线上+线下”“主课堂+分课堂”模式，利用优质资源，以点带面，辐射培训更多基层党员干部，提升理论素养、业务能力。</w:t>
            </w:r>
          </w:p>
        </w:tc>
      </w:tr>
      <w:tr w14:paraId="714D128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B82C7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EF0C91">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E723B7">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8874A6">
            <w:pPr>
              <w:jc w:val="center"/>
            </w:pPr>
            <w:r>
              <w:rPr>
                <w:rFonts w:ascii="宋体" w:hAnsi="宋体" w:eastAsia="宋体"/>
                <w:sz w:val="16"/>
              </w:rPr>
              <w:t>指标值</w:t>
            </w:r>
          </w:p>
        </w:tc>
        <w:tc>
          <w:tcPr>
            <w:tcW w:w="13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22082">
            <w:pPr>
              <w:jc w:val="center"/>
            </w:pPr>
            <w:r>
              <w:rPr>
                <w:rFonts w:ascii="宋体" w:hAnsi="宋体" w:eastAsia="宋体"/>
                <w:sz w:val="16"/>
              </w:rPr>
              <w:t>指标值设定依据</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14:paraId="5E7B6EDD">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159F6D">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86B9ED">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DEB618">
            <w:pPr>
              <w:jc w:val="center"/>
            </w:pPr>
            <w:r>
              <w:rPr>
                <w:rFonts w:ascii="宋体" w:hAnsi="宋体" w:eastAsia="宋体"/>
                <w:sz w:val="16"/>
              </w:rPr>
              <w:t>得分</w:t>
            </w:r>
          </w:p>
        </w:tc>
      </w:tr>
      <w:tr w14:paraId="0F8358F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60B256">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5C62F1">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C109F2">
            <w:pPr>
              <w:jc w:val="center"/>
            </w:pPr>
            <w:r>
              <w:rPr>
                <w:rFonts w:ascii="宋体" w:hAnsi="宋体" w:eastAsia="宋体"/>
                <w:sz w:val="16"/>
              </w:rPr>
              <w:t>依托站点培训党员群众数量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6DCD37">
            <w:pPr>
              <w:jc w:val="center"/>
            </w:pPr>
            <w:r>
              <w:rPr>
                <w:rFonts w:ascii="宋体" w:hAnsi="宋体" w:eastAsia="宋体"/>
                <w:sz w:val="16"/>
              </w:rPr>
              <w:t>&gt;=600万人次</w:t>
            </w:r>
          </w:p>
        </w:tc>
        <w:tc>
          <w:tcPr>
            <w:tcW w:w="13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03050">
            <w:pPr>
              <w:jc w:val="center"/>
            </w:pPr>
            <w:r>
              <w:rPr>
                <w:rFonts w:ascii="宋体" w:hAnsi="宋体" w:eastAsia="宋体"/>
                <w:sz w:val="16"/>
              </w:rPr>
              <w:t>依据是《喀什地区党员教育中心2023年工作开展情况及2024年工作计划》</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14:paraId="67CCE65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5FAC60">
            <w:pPr>
              <w:jc w:val="center"/>
            </w:pPr>
            <w:r>
              <w:rPr>
                <w:rFonts w:ascii="宋体" w:hAnsi="宋体" w:eastAsia="宋体"/>
                <w:sz w:val="16"/>
              </w:rPr>
              <w:t>613万人次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F8D3AC">
            <w:pPr>
              <w:jc w:val="center"/>
            </w:pPr>
            <w:r>
              <w:rPr>
                <w:rFonts w:ascii="宋体" w:hAnsi="宋体" w:eastAsia="宋体"/>
                <w:sz w:val="16"/>
              </w:rPr>
              <w:t>102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CA6920">
            <w:pPr>
              <w:jc w:val="center"/>
            </w:pPr>
            <w:r>
              <w:rPr>
                <w:rFonts w:ascii="宋体" w:hAnsi="宋体" w:eastAsia="宋体"/>
                <w:sz w:val="16"/>
              </w:rPr>
              <w:t>20</w:t>
            </w:r>
          </w:p>
        </w:tc>
      </w:tr>
      <w:tr w14:paraId="662EEBB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4F427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A827D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AF1DB7">
            <w:pPr>
              <w:jc w:val="center"/>
            </w:pPr>
            <w:r>
              <w:rPr>
                <w:rFonts w:ascii="宋体" w:hAnsi="宋体" w:eastAsia="宋体"/>
                <w:sz w:val="16"/>
              </w:rPr>
              <w:t>拍摄制作党员教育资源片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7CBE8E">
            <w:pPr>
              <w:jc w:val="center"/>
            </w:pPr>
            <w:r>
              <w:rPr>
                <w:rFonts w:ascii="宋体" w:hAnsi="宋体" w:eastAsia="宋体"/>
                <w:sz w:val="16"/>
              </w:rPr>
              <w:t>&gt;=100部</w:t>
            </w:r>
          </w:p>
        </w:tc>
        <w:tc>
          <w:tcPr>
            <w:tcW w:w="13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5E8B1">
            <w:pPr>
              <w:jc w:val="center"/>
            </w:pPr>
            <w:r>
              <w:rPr>
                <w:rFonts w:ascii="宋体" w:hAnsi="宋体" w:eastAsia="宋体"/>
                <w:sz w:val="16"/>
              </w:rPr>
              <w:t>依据是《喀什地区党员教育中心2023年工作开展情况及2024年工作计划》</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14:paraId="1F7AB92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290127">
            <w:pPr>
              <w:jc w:val="center"/>
            </w:pPr>
            <w:r>
              <w:rPr>
                <w:rFonts w:ascii="宋体" w:hAnsi="宋体" w:eastAsia="宋体"/>
                <w:sz w:val="16"/>
              </w:rPr>
              <w:t>105部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195266">
            <w:pPr>
              <w:jc w:val="center"/>
            </w:pPr>
            <w:r>
              <w:rPr>
                <w:rFonts w:ascii="宋体" w:hAnsi="宋体" w:eastAsia="宋体"/>
                <w:sz w:val="16"/>
              </w:rPr>
              <w:t>105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2AB1B2">
            <w:pPr>
              <w:jc w:val="center"/>
            </w:pPr>
            <w:r>
              <w:rPr>
                <w:rFonts w:ascii="宋体" w:hAnsi="宋体" w:eastAsia="宋体"/>
                <w:sz w:val="16"/>
              </w:rPr>
              <w:t>10</w:t>
            </w:r>
          </w:p>
        </w:tc>
      </w:tr>
      <w:tr w14:paraId="1EE4769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51D34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FC200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0236E7">
            <w:pPr>
              <w:jc w:val="center"/>
            </w:pPr>
            <w:r>
              <w:rPr>
                <w:rFonts w:ascii="宋体" w:hAnsi="宋体" w:eastAsia="宋体"/>
                <w:sz w:val="16"/>
              </w:rPr>
              <w:t>全年新增党员（远程）教育站点数量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03AE21">
            <w:pPr>
              <w:jc w:val="center"/>
            </w:pPr>
            <w:r>
              <w:rPr>
                <w:rFonts w:ascii="宋体" w:hAnsi="宋体" w:eastAsia="宋体"/>
                <w:sz w:val="16"/>
              </w:rPr>
              <w:t>&gt;=23个</w:t>
            </w:r>
          </w:p>
        </w:tc>
        <w:tc>
          <w:tcPr>
            <w:tcW w:w="13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BD65A">
            <w:pPr>
              <w:jc w:val="center"/>
            </w:pPr>
            <w:r>
              <w:rPr>
                <w:rFonts w:ascii="宋体" w:hAnsi="宋体" w:eastAsia="宋体"/>
                <w:sz w:val="16"/>
              </w:rPr>
              <w:t>依据是《喀什地区党员教育中心2023年工作开展情况及2024年工作计划》</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14:paraId="46268C6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4B05C1">
            <w:pPr>
              <w:jc w:val="center"/>
            </w:pPr>
            <w:r>
              <w:rPr>
                <w:rFonts w:ascii="宋体" w:hAnsi="宋体" w:eastAsia="宋体"/>
                <w:sz w:val="16"/>
              </w:rPr>
              <w:t>23个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4D69D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5EEB61">
            <w:pPr>
              <w:jc w:val="center"/>
            </w:pPr>
            <w:r>
              <w:rPr>
                <w:rFonts w:ascii="宋体" w:hAnsi="宋体" w:eastAsia="宋体"/>
                <w:sz w:val="16"/>
              </w:rPr>
              <w:t>20</w:t>
            </w:r>
          </w:p>
        </w:tc>
      </w:tr>
      <w:tr w14:paraId="27674C0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B7B92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EA3BF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BFA021">
            <w:pPr>
              <w:jc w:val="center"/>
            </w:pPr>
            <w:r>
              <w:rPr>
                <w:rFonts w:ascii="宋体" w:hAnsi="宋体" w:eastAsia="宋体"/>
                <w:sz w:val="16"/>
              </w:rPr>
              <w:t>开展喀什地区党员教育业务骨干培训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E9BE27">
            <w:pPr>
              <w:jc w:val="center"/>
            </w:pPr>
            <w:r>
              <w:rPr>
                <w:rFonts w:ascii="宋体" w:hAnsi="宋体" w:eastAsia="宋体"/>
                <w:sz w:val="16"/>
              </w:rPr>
              <w:t>&gt;=2次</w:t>
            </w:r>
          </w:p>
        </w:tc>
        <w:tc>
          <w:tcPr>
            <w:tcW w:w="13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7E6C8B">
            <w:pPr>
              <w:jc w:val="center"/>
            </w:pPr>
            <w:r>
              <w:rPr>
                <w:rFonts w:ascii="宋体" w:hAnsi="宋体" w:eastAsia="宋体"/>
                <w:sz w:val="16"/>
              </w:rPr>
              <w:t>依据是《喀什地区党员教育中心2023年工作开展情况及2024年工作计划》</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14:paraId="655084E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3C1DCC">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78474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1F9DBD">
            <w:pPr>
              <w:jc w:val="center"/>
            </w:pPr>
            <w:r>
              <w:rPr>
                <w:rFonts w:ascii="宋体" w:hAnsi="宋体" w:eastAsia="宋体"/>
                <w:sz w:val="16"/>
              </w:rPr>
              <w:t>20</w:t>
            </w:r>
          </w:p>
        </w:tc>
      </w:tr>
      <w:tr w14:paraId="6371BB0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02BBE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8CA59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8C48AA">
            <w:pPr>
              <w:jc w:val="center"/>
            </w:pPr>
            <w:r>
              <w:rPr>
                <w:rFonts w:ascii="宋体" w:hAnsi="宋体" w:eastAsia="宋体"/>
                <w:sz w:val="16"/>
              </w:rPr>
              <w:t>利用“喀什党员先锋号”微信公众号宣传党的精神学习内容数量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5E9567">
            <w:pPr>
              <w:jc w:val="center"/>
            </w:pPr>
            <w:r>
              <w:rPr>
                <w:rFonts w:ascii="宋体" w:hAnsi="宋体" w:eastAsia="宋体"/>
                <w:sz w:val="16"/>
              </w:rPr>
              <w:t>&gt;=50篇</w:t>
            </w:r>
          </w:p>
        </w:tc>
        <w:tc>
          <w:tcPr>
            <w:tcW w:w="13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F0285">
            <w:pPr>
              <w:jc w:val="center"/>
            </w:pPr>
            <w:r>
              <w:rPr>
                <w:rFonts w:ascii="宋体" w:hAnsi="宋体" w:eastAsia="宋体"/>
                <w:sz w:val="16"/>
              </w:rPr>
              <w:t>依据是《喀什地区党员教育中心2023年工作开展情况及2024年工作计划》</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14:paraId="5268280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7CC5CA">
            <w:pPr>
              <w:jc w:val="center"/>
            </w:pPr>
            <w:r>
              <w:rPr>
                <w:rFonts w:ascii="宋体" w:hAnsi="宋体" w:eastAsia="宋体"/>
                <w:sz w:val="16"/>
              </w:rPr>
              <w:t>71篇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A1A303">
            <w:pPr>
              <w:jc w:val="center"/>
            </w:pPr>
            <w:r>
              <w:rPr>
                <w:rFonts w:ascii="宋体" w:hAnsi="宋体" w:eastAsia="宋体"/>
                <w:sz w:val="16"/>
              </w:rPr>
              <w:t>142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EF1C09">
            <w:pPr>
              <w:jc w:val="center"/>
            </w:pPr>
            <w:r>
              <w:rPr>
                <w:rFonts w:ascii="宋体" w:hAnsi="宋体" w:eastAsia="宋体"/>
                <w:sz w:val="16"/>
              </w:rPr>
              <w:t>20</w:t>
            </w:r>
          </w:p>
        </w:tc>
      </w:tr>
    </w:tbl>
    <w:p w14:paraId="5334353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02A01F26">
        <w:tblPrEx>
          <w:tblCellMar>
            <w:top w:w="0" w:type="dxa"/>
            <w:left w:w="108" w:type="dxa"/>
            <w:bottom w:w="0" w:type="dxa"/>
            <w:right w:w="108" w:type="dxa"/>
          </w:tblCellMar>
        </w:tblPrEx>
        <w:tc>
          <w:tcPr>
            <w:tcW w:w="8848" w:type="dxa"/>
            <w:gridSpan w:val="14"/>
            <w:vAlign w:val="center"/>
          </w:tcPr>
          <w:p w14:paraId="6CFAE965">
            <w:pPr>
              <w:jc w:val="center"/>
            </w:pPr>
            <w:r>
              <w:rPr>
                <w:rFonts w:ascii="宋体" w:hAnsi="宋体" w:eastAsia="宋体"/>
                <w:sz w:val="24"/>
              </w:rPr>
              <w:t>项目支出绩效自评表</w:t>
            </w:r>
          </w:p>
        </w:tc>
      </w:tr>
      <w:tr w14:paraId="127F8072">
        <w:tblPrEx>
          <w:tblCellMar>
            <w:top w:w="0" w:type="dxa"/>
            <w:left w:w="108" w:type="dxa"/>
            <w:bottom w:w="0" w:type="dxa"/>
            <w:right w:w="108" w:type="dxa"/>
          </w:tblCellMar>
        </w:tblPrEx>
        <w:tc>
          <w:tcPr>
            <w:tcW w:w="8848" w:type="dxa"/>
            <w:gridSpan w:val="14"/>
            <w:vAlign w:val="center"/>
          </w:tcPr>
          <w:p w14:paraId="2F21A5AD">
            <w:pPr>
              <w:jc w:val="center"/>
            </w:pPr>
            <w:r>
              <w:rPr>
                <w:rFonts w:ascii="宋体" w:hAnsi="宋体" w:eastAsia="宋体"/>
                <w:sz w:val="24"/>
              </w:rPr>
              <w:t>(2024年度)</w:t>
            </w:r>
          </w:p>
        </w:tc>
      </w:tr>
      <w:tr w14:paraId="5580EBF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F24F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7092BC7">
            <w:pPr>
              <w:jc w:val="center"/>
            </w:pPr>
            <w:r>
              <w:rPr>
                <w:rFonts w:ascii="宋体" w:hAnsi="宋体" w:eastAsia="宋体"/>
                <w:sz w:val="16"/>
              </w:rPr>
              <w:t>党员教育中心业务经费项目</w:t>
            </w:r>
          </w:p>
        </w:tc>
      </w:tr>
      <w:tr w14:paraId="4F2459E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9B88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ABE646">
            <w:pPr>
              <w:jc w:val="center"/>
            </w:pPr>
            <w:r>
              <w:rPr>
                <w:rFonts w:ascii="宋体" w:hAnsi="宋体" w:eastAsia="宋体"/>
                <w:sz w:val="16"/>
              </w:rPr>
              <w:t>喀什地委组织部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5A23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EB85BE">
            <w:pPr>
              <w:jc w:val="center"/>
            </w:pPr>
            <w:r>
              <w:rPr>
                <w:rFonts w:ascii="宋体" w:hAnsi="宋体" w:eastAsia="宋体"/>
                <w:sz w:val="16"/>
              </w:rPr>
              <w:t>喀什地区党员教育中心</w:t>
            </w:r>
          </w:p>
        </w:tc>
      </w:tr>
      <w:tr w14:paraId="6D11E36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44245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224B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0821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E3D2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25ED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07A0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EDA3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B95CE">
            <w:pPr>
              <w:jc w:val="center"/>
            </w:pPr>
            <w:r>
              <w:rPr>
                <w:rFonts w:ascii="宋体" w:hAnsi="宋体" w:eastAsia="宋体"/>
                <w:sz w:val="16"/>
              </w:rPr>
              <w:t>得分</w:t>
            </w:r>
          </w:p>
        </w:tc>
      </w:tr>
      <w:tr w14:paraId="1E65B7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0BC19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5D73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294B2">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8BC0C">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DC9E6">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0397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4F30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860C2">
            <w:pPr>
              <w:jc w:val="center"/>
            </w:pPr>
            <w:r>
              <w:rPr>
                <w:rFonts w:ascii="宋体" w:hAnsi="宋体" w:eastAsia="宋体"/>
                <w:sz w:val="16"/>
              </w:rPr>
              <w:t>10.00分</w:t>
            </w:r>
          </w:p>
        </w:tc>
      </w:tr>
      <w:tr w14:paraId="599B80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F49DF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375D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680C8">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3945B">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57901">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D61D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E89B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48A6B">
            <w:pPr>
              <w:jc w:val="center"/>
            </w:pPr>
            <w:r>
              <w:rPr>
                <w:rFonts w:ascii="宋体" w:hAnsi="宋体" w:eastAsia="宋体"/>
                <w:sz w:val="16"/>
              </w:rPr>
              <w:t>—</w:t>
            </w:r>
          </w:p>
        </w:tc>
      </w:tr>
      <w:tr w14:paraId="22B966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DD327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F627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A7DE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6618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B3FD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1413D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341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69E84">
            <w:pPr>
              <w:jc w:val="center"/>
            </w:pPr>
            <w:r>
              <w:rPr>
                <w:rFonts w:ascii="宋体" w:hAnsi="宋体" w:eastAsia="宋体"/>
                <w:sz w:val="16"/>
              </w:rPr>
              <w:t>—</w:t>
            </w:r>
          </w:p>
        </w:tc>
      </w:tr>
      <w:tr w14:paraId="778263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28552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99C66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4E01ED">
            <w:pPr>
              <w:jc w:val="center"/>
            </w:pPr>
            <w:r>
              <w:rPr>
                <w:rFonts w:ascii="宋体" w:hAnsi="宋体" w:eastAsia="宋体"/>
                <w:sz w:val="16"/>
              </w:rPr>
              <w:t>实际完成情况</w:t>
            </w:r>
          </w:p>
        </w:tc>
      </w:tr>
      <w:tr w14:paraId="27E540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5CAFD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C61DCD">
            <w:pPr>
              <w:jc w:val="both"/>
            </w:pPr>
            <w:r>
              <w:rPr>
                <w:rFonts w:ascii="宋体" w:hAnsi="宋体" w:eastAsia="宋体"/>
                <w:sz w:val="16"/>
              </w:rPr>
              <w:t>保障单位党员教育业务工作正常开展。包括下县指导基层党员教育工作租车、住宿等，并对喀什党建网进行维修维护，购买一批办公用品，保障单位办公需求。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BDBD27">
            <w:pPr>
              <w:jc w:val="both"/>
            </w:pPr>
            <w:r>
              <w:rPr>
                <w:rFonts w:ascii="宋体" w:hAnsi="宋体" w:eastAsia="宋体"/>
                <w:sz w:val="16"/>
              </w:rPr>
              <w:t>党员教育中心业务经费项目，预算金额为5万元，执行金额为5万元，主要用于本单位对全区党员教育工作进行2次指导调研，了解掌握基层党员教育工作开展的难点、痛点，使基层党员群众真正受到教育、</w:t>
            </w:r>
            <w:r>
              <w:rPr>
                <w:rFonts w:hint="eastAsia" w:ascii="宋体" w:hAnsi="宋体"/>
                <w:sz w:val="16"/>
                <w:lang w:eastAsia="zh-CN"/>
              </w:rPr>
              <w:t>得到</w:t>
            </w:r>
            <w:r>
              <w:rPr>
                <w:rFonts w:ascii="宋体" w:hAnsi="宋体" w:eastAsia="宋体"/>
                <w:sz w:val="16"/>
              </w:rPr>
              <w:t>实惠，极大提升了基层党员教育工作人员满意度。为保障单位党员教育业务工作正常开展，并对喀什党建网进行维修维护，满足喀什地区各族人民群众对党务知识的需求。购买复印纸、硒鼓碳粉等办公用品，以此保障单位日常办公需求。</w:t>
            </w:r>
          </w:p>
        </w:tc>
      </w:tr>
      <w:tr w14:paraId="4B0A58F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A62FF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34C3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BE57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71C0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8D95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6816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071F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9E2E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30B5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C664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1BEB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B05F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2BEB5">
            <w:pPr>
              <w:jc w:val="center"/>
            </w:pPr>
            <w:r>
              <w:rPr>
                <w:rFonts w:ascii="宋体" w:hAnsi="宋体" w:eastAsia="宋体"/>
                <w:sz w:val="16"/>
              </w:rPr>
              <w:t>偏差原因分析及改进措施</w:t>
            </w:r>
          </w:p>
        </w:tc>
      </w:tr>
      <w:tr w14:paraId="431E037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0DACB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C65DB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441DA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8C326">
            <w:pPr>
              <w:jc w:val="center"/>
            </w:pPr>
            <w:r>
              <w:rPr>
                <w:rFonts w:ascii="宋体" w:hAnsi="宋体" w:eastAsia="宋体"/>
                <w:sz w:val="16"/>
              </w:rPr>
              <w:t>组织开展全区党员教育指导工作次数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B56B1">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A57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CB2EA">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B66F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C52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251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2319F">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B0489">
            <w:pPr>
              <w:jc w:val="center"/>
            </w:pPr>
            <w:r>
              <w:rPr>
                <w:rFonts w:ascii="宋体" w:hAnsi="宋体" w:eastAsia="宋体"/>
                <w:sz w:val="16"/>
              </w:rPr>
              <w:t>0.83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B6F92">
            <w:pPr>
              <w:jc w:val="center"/>
            </w:pPr>
            <w:r>
              <w:rPr>
                <w:rFonts w:ascii="宋体" w:hAnsi="宋体" w:eastAsia="宋体"/>
                <w:sz w:val="16"/>
              </w:rPr>
              <w:t>偏差原因：2024年因为单位人手不足的情况，地区站点升级改造、各类层级党员培训任务重，故组织开展全区党员教育指导工作任务未能如期达到既定目标值；改进建议：在年初设置绩效目标值时要结合实际工作需求，合理设置绩效目标值。同时，在工作中要做到统筹谋划，合理高效</w:t>
            </w:r>
            <w:r>
              <w:rPr>
                <w:rFonts w:hint="eastAsia" w:ascii="宋体" w:hAnsi="宋体"/>
                <w:sz w:val="16"/>
                <w:lang w:eastAsia="zh-CN"/>
              </w:rPr>
              <w:t>地</w:t>
            </w:r>
            <w:r>
              <w:rPr>
                <w:rFonts w:ascii="宋体" w:hAnsi="宋体" w:eastAsia="宋体"/>
                <w:sz w:val="16"/>
              </w:rPr>
              <w:t>工作，按时保质保量</w:t>
            </w:r>
            <w:r>
              <w:rPr>
                <w:rFonts w:hint="eastAsia" w:ascii="宋体" w:hAnsi="宋体"/>
                <w:sz w:val="16"/>
                <w:lang w:eastAsia="zh-CN"/>
              </w:rPr>
              <w:t>地</w:t>
            </w:r>
            <w:r>
              <w:rPr>
                <w:rFonts w:ascii="宋体" w:hAnsi="宋体" w:eastAsia="宋体"/>
                <w:sz w:val="16"/>
              </w:rPr>
              <w:t>完成工作任务。</w:t>
            </w:r>
          </w:p>
        </w:tc>
      </w:tr>
      <w:tr w14:paraId="277A07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8CA6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820C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1737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877C2">
            <w:pPr>
              <w:jc w:val="center"/>
            </w:pPr>
            <w:r>
              <w:rPr>
                <w:rFonts w:ascii="宋体" w:hAnsi="宋体" w:eastAsia="宋体"/>
                <w:sz w:val="16"/>
              </w:rPr>
              <w:t>网站、平台及其他设备维修维护次数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ACA0A">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011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D91F6">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3895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1CC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581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59900">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F332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A7CF9">
            <w:pPr>
              <w:jc w:val="center"/>
            </w:pPr>
          </w:p>
        </w:tc>
      </w:tr>
      <w:tr w14:paraId="75C6EB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58BC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DFE6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1092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FD437">
            <w:pPr>
              <w:jc w:val="center"/>
            </w:pPr>
            <w:r>
              <w:rPr>
                <w:rFonts w:ascii="宋体" w:hAnsi="宋体" w:eastAsia="宋体"/>
                <w:sz w:val="16"/>
              </w:rPr>
              <w:t>购置办公用品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DA639">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F6A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56C64">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C144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44EA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37ED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25940">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42AF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9822C">
            <w:pPr>
              <w:jc w:val="center"/>
            </w:pPr>
          </w:p>
        </w:tc>
      </w:tr>
      <w:tr w14:paraId="4E41CB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2354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12162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BE207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0F4F0">
            <w:pPr>
              <w:jc w:val="center"/>
            </w:pPr>
            <w:r>
              <w:rPr>
                <w:rFonts w:ascii="宋体" w:hAnsi="宋体" w:eastAsia="宋体"/>
                <w:sz w:val="16"/>
              </w:rPr>
              <w:t>检修维护合格率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15A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66D0B">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B36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3843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A09E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3A2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9E8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A8D8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DE491">
            <w:pPr>
              <w:jc w:val="center"/>
            </w:pPr>
          </w:p>
        </w:tc>
      </w:tr>
      <w:tr w14:paraId="38BF90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D387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FE78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9364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F94DC">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217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7C15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F7A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58A7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59AB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54C4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22B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7E6A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1D970F">
            <w:pPr>
              <w:jc w:val="center"/>
            </w:pPr>
          </w:p>
        </w:tc>
      </w:tr>
      <w:tr w14:paraId="3C3249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8914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01B77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6F455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911B1">
            <w:pPr>
              <w:jc w:val="center"/>
            </w:pPr>
            <w:r>
              <w:rPr>
                <w:rFonts w:ascii="宋体" w:hAnsi="宋体" w:eastAsia="宋体"/>
                <w:sz w:val="16"/>
              </w:rPr>
              <w:t>检修维护及时率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437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F81E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53A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7E03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934F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C97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B3B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F5CA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A766A">
            <w:pPr>
              <w:jc w:val="center"/>
            </w:pPr>
          </w:p>
        </w:tc>
      </w:tr>
      <w:tr w14:paraId="5F6CEA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BC6D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BDC3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40FA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38BBC">
            <w:pPr>
              <w:jc w:val="center"/>
            </w:pPr>
            <w:r>
              <w:rPr>
                <w:rFonts w:ascii="宋体" w:hAnsi="宋体" w:eastAsia="宋体"/>
                <w:sz w:val="16"/>
              </w:rPr>
              <w:t>采购及时率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AC6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C5C57">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956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6DBE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5CD8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408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77D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10E7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7199C">
            <w:pPr>
              <w:jc w:val="center"/>
            </w:pPr>
          </w:p>
        </w:tc>
      </w:tr>
      <w:tr w14:paraId="4E89DD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B10B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BBB9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61CF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77BF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8C3DF">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886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56D74">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15D9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452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5D3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4E1FC">
            <w:pPr>
              <w:jc w:val="center"/>
            </w:pPr>
            <w:r>
              <w:rPr>
                <w:rFonts w:ascii="宋体" w:hAnsi="宋体" w:eastAsia="宋体"/>
                <w:sz w:val="16"/>
              </w:rPr>
              <w:t>=2024年12月16日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757F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77FCF">
            <w:pPr>
              <w:jc w:val="center"/>
            </w:pPr>
          </w:p>
        </w:tc>
      </w:tr>
      <w:tr w14:paraId="1F1D38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6AF3B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8BC0B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12273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72F22">
            <w:pPr>
              <w:jc w:val="center"/>
            </w:pPr>
            <w:r>
              <w:rPr>
                <w:rFonts w:ascii="宋体" w:hAnsi="宋体" w:eastAsia="宋体"/>
                <w:sz w:val="16"/>
              </w:rPr>
              <w:t>开展党员教育工作费用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4A928">
            <w:pPr>
              <w:jc w:val="center"/>
            </w:pPr>
            <w:r>
              <w:rPr>
                <w:rFonts w:ascii="宋体" w:hAnsi="宋体" w:eastAsia="宋体"/>
                <w:sz w:val="16"/>
              </w:rPr>
              <w:t>&lt;=0.50万元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1509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0599E">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A70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678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9BCB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A91E1">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EAF3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7C7B52">
            <w:pPr>
              <w:jc w:val="center"/>
            </w:pPr>
          </w:p>
        </w:tc>
      </w:tr>
      <w:tr w14:paraId="184980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3C80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9108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B7A4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FFCA7">
            <w:pPr>
              <w:jc w:val="center"/>
            </w:pPr>
            <w:r>
              <w:rPr>
                <w:rFonts w:ascii="宋体" w:hAnsi="宋体" w:eastAsia="宋体"/>
                <w:sz w:val="16"/>
              </w:rPr>
              <w:t>保障中心工作正常运转费用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CE08D">
            <w:pPr>
              <w:jc w:val="center"/>
            </w:pPr>
            <w:r>
              <w:rPr>
                <w:rFonts w:ascii="宋体" w:hAnsi="宋体" w:eastAsia="宋体"/>
                <w:sz w:val="16"/>
              </w:rPr>
              <w:t>&lt;=4.50万元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73F1B">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D0B39">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139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58A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7CC4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DF7A6">
            <w:pPr>
              <w:jc w:val="center"/>
            </w:pPr>
            <w:r>
              <w:rPr>
                <w:rFonts w:ascii="宋体" w:hAnsi="宋体" w:eastAsia="宋体"/>
                <w:sz w:val="16"/>
              </w:rPr>
              <w:t>=4.5万元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17C5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4CADE">
            <w:pPr>
              <w:jc w:val="center"/>
            </w:pPr>
          </w:p>
        </w:tc>
      </w:tr>
      <w:tr w14:paraId="7C2CCA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E4AA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0D0E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90A5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C2CFF">
            <w:pPr>
              <w:jc w:val="center"/>
            </w:pPr>
            <w:r>
              <w:rPr>
                <w:rFonts w:ascii="宋体" w:hAnsi="宋体" w:eastAsia="宋体"/>
                <w:sz w:val="16"/>
              </w:rPr>
              <w:t>网站使用率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704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8C3E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65F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E962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7573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540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219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AB83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7DEAE">
            <w:pPr>
              <w:jc w:val="center"/>
            </w:pPr>
          </w:p>
        </w:tc>
      </w:tr>
      <w:tr w14:paraId="0093AA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7E46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638F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4077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A17B4">
            <w:pPr>
              <w:jc w:val="center"/>
            </w:pPr>
            <w:r>
              <w:rPr>
                <w:rFonts w:ascii="宋体" w:hAnsi="宋体" w:eastAsia="宋体"/>
                <w:sz w:val="16"/>
              </w:rPr>
              <w:t>基层党员教育工作人员满意度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C61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D468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653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D22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CE88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9B9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EA5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BACA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5DFF5">
            <w:pPr>
              <w:jc w:val="center"/>
            </w:pPr>
          </w:p>
        </w:tc>
      </w:tr>
      <w:tr w14:paraId="5764CE8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E8F9B">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C2C6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1DCFD">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EDCBACF">
            <w:pPr>
              <w:jc w:val="center"/>
            </w:pPr>
            <w:r>
              <w:rPr>
                <w:rFonts w:ascii="宋体" w:hAnsi="宋体" w:eastAsia="宋体"/>
                <w:sz w:val="16"/>
              </w:rPr>
              <w:t>95.83分</w:t>
            </w:r>
          </w:p>
        </w:tc>
      </w:tr>
    </w:tbl>
    <w:p w14:paraId="16602D97">
      <w:r>
        <w:br w:type="page"/>
      </w:r>
    </w:p>
    <w:p w14:paraId="2B8AD99A">
      <w:pPr>
        <w:spacing w:line="640" w:lineRule="exact"/>
        <w:ind w:firstLine="640"/>
        <w:jc w:val="both"/>
        <w:outlineLvl w:val="2"/>
      </w:pPr>
      <w:r>
        <w:rPr>
          <w:rFonts w:ascii="黑体" w:hAnsi="黑体" w:eastAsia="黑体"/>
          <w:sz w:val="32"/>
        </w:rPr>
        <w:t>十二、其他需说明的事项</w:t>
      </w:r>
    </w:p>
    <w:p w14:paraId="11A5ACE4">
      <w:pPr>
        <w:spacing w:line="580" w:lineRule="exact"/>
        <w:ind w:firstLine="640"/>
        <w:jc w:val="both"/>
      </w:pPr>
      <w:r>
        <w:rPr>
          <w:rFonts w:ascii="仿宋_GB2312" w:hAnsi="仿宋_GB2312" w:eastAsia="仿宋_GB2312"/>
          <w:b w:val="0"/>
          <w:sz w:val="32"/>
        </w:rPr>
        <w:t>本单位无其他需说明的事项。</w:t>
      </w:r>
    </w:p>
    <w:p w14:paraId="5366FD86">
      <w:r>
        <w:br w:type="page"/>
      </w:r>
    </w:p>
    <w:p w14:paraId="6B5AAAF6">
      <w:pPr>
        <w:spacing w:line="240" w:lineRule="auto"/>
        <w:jc w:val="center"/>
        <w:outlineLvl w:val="1"/>
      </w:pPr>
      <w:r>
        <w:rPr>
          <w:rFonts w:ascii="黑体" w:hAnsi="黑体" w:eastAsia="黑体"/>
          <w:sz w:val="32"/>
        </w:rPr>
        <w:t>第三部分 专业名词解释</w:t>
      </w:r>
    </w:p>
    <w:p w14:paraId="56173A0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0EE281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5D8AD49">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2249A2F">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E69165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8C6D4D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FC0AFF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9A3438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E337034">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4EFF65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5A3F9C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737576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3805F5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04B0891">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D17A0EB">
      <w:r>
        <w:br w:type="page"/>
      </w:r>
    </w:p>
    <w:p w14:paraId="2C46E072">
      <w:pPr>
        <w:spacing w:line="240" w:lineRule="auto"/>
        <w:jc w:val="center"/>
        <w:outlineLvl w:val="1"/>
      </w:pPr>
      <w:r>
        <w:rPr>
          <w:rFonts w:ascii="黑体" w:hAnsi="黑体" w:eastAsia="黑体"/>
          <w:sz w:val="32"/>
        </w:rPr>
        <w:t>第四部分 部门决算报表（见附表）</w:t>
      </w:r>
    </w:p>
    <w:p w14:paraId="3CF44922">
      <w:pPr>
        <w:spacing w:line="240" w:lineRule="auto"/>
        <w:ind w:firstLine="640"/>
        <w:jc w:val="both"/>
      </w:pPr>
      <w:r>
        <w:rPr>
          <w:rFonts w:ascii="仿宋_GB2312" w:hAnsi="仿宋_GB2312" w:eastAsia="仿宋_GB2312"/>
          <w:b w:val="0"/>
          <w:sz w:val="32"/>
        </w:rPr>
        <w:t>一、《收入支出决算总表》</w:t>
      </w:r>
    </w:p>
    <w:p w14:paraId="053C0AE0">
      <w:pPr>
        <w:spacing w:line="240" w:lineRule="auto"/>
        <w:ind w:firstLine="640"/>
        <w:jc w:val="both"/>
      </w:pPr>
      <w:r>
        <w:rPr>
          <w:rFonts w:ascii="仿宋_GB2312" w:hAnsi="仿宋_GB2312" w:eastAsia="仿宋_GB2312"/>
          <w:b w:val="0"/>
          <w:sz w:val="32"/>
        </w:rPr>
        <w:t>二、《收入决算表》</w:t>
      </w:r>
    </w:p>
    <w:p w14:paraId="5B5847C8">
      <w:pPr>
        <w:spacing w:line="240" w:lineRule="auto"/>
        <w:ind w:firstLine="640"/>
        <w:jc w:val="both"/>
      </w:pPr>
      <w:r>
        <w:rPr>
          <w:rFonts w:ascii="仿宋_GB2312" w:hAnsi="仿宋_GB2312" w:eastAsia="仿宋_GB2312"/>
          <w:b w:val="0"/>
          <w:sz w:val="32"/>
        </w:rPr>
        <w:t>三、《支出决算表》</w:t>
      </w:r>
    </w:p>
    <w:p w14:paraId="702C5811">
      <w:pPr>
        <w:spacing w:line="240" w:lineRule="auto"/>
        <w:ind w:firstLine="640"/>
        <w:jc w:val="both"/>
      </w:pPr>
      <w:r>
        <w:rPr>
          <w:rFonts w:ascii="仿宋_GB2312" w:hAnsi="仿宋_GB2312" w:eastAsia="仿宋_GB2312"/>
          <w:b w:val="0"/>
          <w:sz w:val="32"/>
        </w:rPr>
        <w:t>四、《财政拨款收入支出决算总表》</w:t>
      </w:r>
    </w:p>
    <w:p w14:paraId="60F79047">
      <w:pPr>
        <w:spacing w:line="240" w:lineRule="auto"/>
        <w:ind w:firstLine="640"/>
        <w:jc w:val="both"/>
      </w:pPr>
      <w:r>
        <w:rPr>
          <w:rFonts w:ascii="仿宋_GB2312" w:hAnsi="仿宋_GB2312" w:eastAsia="仿宋_GB2312"/>
          <w:b w:val="0"/>
          <w:sz w:val="32"/>
        </w:rPr>
        <w:t>五、《一般公共预算财政拨款支出决算表》</w:t>
      </w:r>
    </w:p>
    <w:p w14:paraId="2D59C18F">
      <w:pPr>
        <w:spacing w:line="240" w:lineRule="auto"/>
        <w:ind w:firstLine="640"/>
        <w:jc w:val="both"/>
      </w:pPr>
      <w:r>
        <w:rPr>
          <w:rFonts w:ascii="仿宋_GB2312" w:hAnsi="仿宋_GB2312" w:eastAsia="仿宋_GB2312"/>
          <w:b w:val="0"/>
          <w:sz w:val="32"/>
        </w:rPr>
        <w:t>六、《一般公共预算财政拨款基本支出决算表》</w:t>
      </w:r>
    </w:p>
    <w:p w14:paraId="53612586">
      <w:pPr>
        <w:spacing w:line="240" w:lineRule="auto"/>
        <w:ind w:firstLine="640"/>
        <w:jc w:val="both"/>
      </w:pPr>
      <w:r>
        <w:rPr>
          <w:rFonts w:ascii="仿宋_GB2312" w:hAnsi="仿宋_GB2312" w:eastAsia="仿宋_GB2312"/>
          <w:b w:val="0"/>
          <w:sz w:val="32"/>
        </w:rPr>
        <w:t>七、《政府性基金预算财政拨款收入支出决算表》</w:t>
      </w:r>
    </w:p>
    <w:p w14:paraId="50E75200">
      <w:pPr>
        <w:spacing w:line="240" w:lineRule="auto"/>
        <w:ind w:firstLine="640"/>
        <w:jc w:val="both"/>
      </w:pPr>
      <w:r>
        <w:rPr>
          <w:rFonts w:ascii="仿宋_GB2312" w:hAnsi="仿宋_GB2312" w:eastAsia="仿宋_GB2312"/>
          <w:b w:val="0"/>
          <w:sz w:val="32"/>
        </w:rPr>
        <w:t>八、《国有资本经营预算财政拨款收入支出决算表》</w:t>
      </w:r>
    </w:p>
    <w:p w14:paraId="7EB44E19">
      <w:pPr>
        <w:spacing w:line="240" w:lineRule="auto"/>
        <w:ind w:firstLine="640"/>
        <w:jc w:val="both"/>
      </w:pPr>
      <w:r>
        <w:rPr>
          <w:rFonts w:ascii="仿宋_GB2312" w:hAnsi="仿宋_GB2312" w:eastAsia="仿宋_GB2312"/>
          <w:b w:val="0"/>
          <w:sz w:val="32"/>
        </w:rPr>
        <w:t>九、《财政拨款“三公”经费支出决算表》</w:t>
      </w:r>
    </w:p>
    <w:p w14:paraId="7089FE67">
      <w:pPr>
        <w:spacing w:line="240" w:lineRule="auto"/>
        <w:ind w:firstLine="640"/>
        <w:jc w:val="both"/>
      </w:pPr>
    </w:p>
    <w:p w14:paraId="5B80D282">
      <w:pPr>
        <w:spacing w:line="240" w:lineRule="auto"/>
        <w:ind w:firstLine="640"/>
        <w:jc w:val="both"/>
      </w:pPr>
    </w:p>
    <w:p w14:paraId="22505F33">
      <w:pPr>
        <w:spacing w:line="240" w:lineRule="auto"/>
        <w:ind w:firstLine="640"/>
        <w:jc w:val="both"/>
      </w:pPr>
    </w:p>
    <w:p w14:paraId="07F8300A">
      <w:pPr>
        <w:spacing w:line="240" w:lineRule="auto"/>
        <w:ind w:firstLine="640"/>
        <w:jc w:val="both"/>
      </w:pPr>
    </w:p>
    <w:p w14:paraId="22E8167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WPSEMBED1">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CA39CC"/>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CF72F45"/>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2757</Words>
  <Characters>3204</Characters>
  <Lines>0</Lines>
  <Paragraphs>0</Paragraphs>
  <TotalTime>10</TotalTime>
  <ScaleCrop>false</ScaleCrop>
  <LinksUpToDate>false</LinksUpToDate>
  <CharactersWithSpaces>3212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2025-09-03T11:35:12Z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eyJoZGlkIjoiYmMxZDY5OGZlYzU4ZGEwZmUyZWNkMmU5NzBiZTFjZWEiLCJ1c2VySWQiOiI0MzE2NzY3NzkifQ==</vt:lpwstr>
  </property>
</Properties>
</file>