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喀什地区公共资源交易中心2024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CF8F172">
      <w:r>
        <w:br w:type="page"/>
      </w:r>
    </w:p>
    <w:p w14:paraId="6BE0B936">
      <w:pPr>
        <w:spacing w:line="640" w:lineRule="exact"/>
        <w:jc w:val="center"/>
        <w:outlineLvl w:val="1"/>
      </w:pPr>
      <w:r>
        <w:rPr>
          <w:rFonts w:ascii="黑体" w:hAnsi="黑体" w:eastAsia="黑体"/>
          <w:sz w:val="32"/>
        </w:rPr>
        <w:t>第一部分 部门概况</w:t>
      </w:r>
    </w:p>
    <w:p w14:paraId="57DDE941">
      <w:pPr>
        <w:spacing w:line="640" w:lineRule="exact"/>
        <w:ind w:firstLine="640"/>
        <w:jc w:val="both"/>
        <w:outlineLvl w:val="2"/>
      </w:pPr>
      <w:r>
        <w:rPr>
          <w:rFonts w:ascii="黑体" w:hAnsi="黑体" w:eastAsia="黑体"/>
          <w:sz w:val="32"/>
        </w:rPr>
        <w:t>一、主要职能</w:t>
      </w:r>
    </w:p>
    <w:p w14:paraId="206F406B">
      <w:pPr>
        <w:spacing w:line="580" w:lineRule="exact"/>
        <w:ind w:firstLine="640"/>
        <w:jc w:val="both"/>
      </w:pPr>
      <w:r>
        <w:rPr>
          <w:rFonts w:ascii="仿宋_GB2312" w:hAnsi="仿宋_GB2312" w:eastAsia="仿宋_GB2312"/>
          <w:sz w:val="32"/>
        </w:rPr>
        <w:t>1、贯彻执行国家和自治区有关公共资源交易服务的法律、法规和政策，拟订公共资源交易现场管理制度、工作流程，并组织实施。</w:t>
      </w:r>
    </w:p>
    <w:p w14:paraId="4188AAF5">
      <w:pPr>
        <w:spacing w:line="580" w:lineRule="exact"/>
        <w:ind w:firstLine="640"/>
        <w:jc w:val="both"/>
      </w:pPr>
      <w:r>
        <w:rPr>
          <w:rFonts w:ascii="仿宋_GB2312" w:hAnsi="仿宋_GB2312" w:eastAsia="仿宋_GB2312"/>
          <w:sz w:val="32"/>
        </w:rPr>
        <w:t>2、承担地区公共资源交易场所与进场交易活动的管理和服务工作；为相关部门开展行业监管、行政监察提供服务和技术支持；配合有关部门建设综合评标专家库和管理专家；配合相关部门核验公共资源交易主体、从业人员的资质、资格；协助有关部门建立公共资源交易信用评价体系。</w:t>
      </w:r>
    </w:p>
    <w:p w14:paraId="7E5FC348">
      <w:pPr>
        <w:spacing w:line="580" w:lineRule="exact"/>
        <w:ind w:firstLine="640"/>
        <w:jc w:val="both"/>
      </w:pPr>
      <w:r>
        <w:rPr>
          <w:rFonts w:ascii="仿宋_GB2312" w:hAnsi="仿宋_GB2312" w:eastAsia="仿宋_GB2312"/>
          <w:sz w:val="32"/>
        </w:rPr>
        <w:t>3、承担公共资源交易信息平台和网络系统建设、运行、管理和技术维护，收集、存贮和发布各类公共资源交易信息，为公共资源交易活动提供政策、法规和技术咨询等相关服务。</w:t>
      </w:r>
    </w:p>
    <w:p w14:paraId="6E1DE6B1">
      <w:pPr>
        <w:spacing w:line="640" w:lineRule="exact"/>
        <w:ind w:firstLine="640"/>
        <w:jc w:val="both"/>
        <w:outlineLvl w:val="2"/>
      </w:pPr>
      <w:r>
        <w:rPr>
          <w:rFonts w:ascii="黑体" w:hAnsi="黑体" w:eastAsia="黑体"/>
          <w:sz w:val="32"/>
        </w:rPr>
        <w:t>二、机构设置及人员情况</w:t>
      </w:r>
    </w:p>
    <w:p w14:paraId="40317B3E">
      <w:pPr>
        <w:spacing w:line="580" w:lineRule="exact"/>
        <w:ind w:firstLine="640"/>
        <w:jc w:val="both"/>
      </w:pPr>
      <w:r>
        <w:rPr>
          <w:rFonts w:ascii="仿宋_GB2312" w:hAnsi="仿宋_GB2312" w:eastAsia="仿宋_GB2312"/>
          <w:sz w:val="32"/>
        </w:rPr>
        <w:t>喀什地区公共资源交易中心2024年度，实有人数20人，其中：在职人员17人，减少6人；离休人员0人，增加0人；退休人员3人,增加1人。</w:t>
      </w:r>
    </w:p>
    <w:p w14:paraId="7AA13930">
      <w:pPr>
        <w:spacing w:line="580" w:lineRule="exact"/>
        <w:ind w:firstLine="640"/>
        <w:jc w:val="both"/>
      </w:pPr>
      <w:r>
        <w:rPr>
          <w:rFonts w:ascii="仿宋_GB2312" w:hAnsi="仿宋_GB2312" w:eastAsia="仿宋_GB2312"/>
          <w:sz w:val="32"/>
        </w:rPr>
        <w:t>喀什地区公共资源交易中心无下属预算单位，下设4个科室，分别是：综合保障服务科（财务科）、政府采购科、交易见证科、网络信息技术科。</w:t>
      </w:r>
    </w:p>
    <w:p w14:paraId="4F255FB3">
      <w:r>
        <w:br w:type="page"/>
      </w:r>
    </w:p>
    <w:p w14:paraId="4D3F8009">
      <w:pPr>
        <w:spacing w:line="240" w:lineRule="auto"/>
        <w:jc w:val="center"/>
        <w:outlineLvl w:val="1"/>
      </w:pPr>
      <w:r>
        <w:rPr>
          <w:rFonts w:ascii="黑体" w:hAnsi="黑体" w:eastAsia="黑体"/>
          <w:sz w:val="32"/>
        </w:rPr>
        <w:t>第二部分 部门决算情况说明</w:t>
      </w:r>
    </w:p>
    <w:p w14:paraId="6C53F23F">
      <w:pPr>
        <w:spacing w:line="640" w:lineRule="exact"/>
        <w:ind w:firstLine="640"/>
        <w:jc w:val="both"/>
        <w:outlineLvl w:val="2"/>
      </w:pPr>
      <w:r>
        <w:rPr>
          <w:rFonts w:ascii="黑体" w:hAnsi="黑体" w:eastAsia="黑体"/>
          <w:sz w:val="32"/>
        </w:rPr>
        <w:t>一、收入支出决算总体情况说明</w:t>
      </w:r>
    </w:p>
    <w:p w14:paraId="25E2F365">
      <w:pPr>
        <w:spacing w:line="580" w:lineRule="exact"/>
        <w:ind w:firstLine="640"/>
        <w:jc w:val="both"/>
      </w:pPr>
      <w:r>
        <w:rPr>
          <w:rFonts w:ascii="仿宋_GB2312" w:hAnsi="仿宋_GB2312" w:eastAsia="仿宋_GB2312"/>
          <w:b/>
          <w:sz w:val="32"/>
        </w:rPr>
        <w:t>2024年度收入总计807.50万元，</w:t>
      </w:r>
      <w:r>
        <w:rPr>
          <w:rFonts w:ascii="仿宋_GB2312" w:hAnsi="仿宋_GB2312" w:eastAsia="仿宋_GB2312"/>
          <w:b w:val="0"/>
          <w:sz w:val="32"/>
        </w:rPr>
        <w:t>其中：本年收入合计807.50万元，使用非财政拨款结余（含专用结余）0.00万元，年初结转和结余0.00万元。</w:t>
      </w:r>
    </w:p>
    <w:p w14:paraId="033C218B">
      <w:pPr>
        <w:spacing w:line="580" w:lineRule="exact"/>
        <w:ind w:firstLine="640"/>
        <w:jc w:val="both"/>
      </w:pPr>
      <w:r>
        <w:rPr>
          <w:rFonts w:ascii="仿宋_GB2312" w:hAnsi="仿宋_GB2312" w:eastAsia="仿宋_GB2312"/>
          <w:b/>
          <w:sz w:val="32"/>
        </w:rPr>
        <w:t>2024年度支出总计807.50万元，</w:t>
      </w:r>
      <w:r>
        <w:rPr>
          <w:rFonts w:ascii="仿宋_GB2312" w:hAnsi="仿宋_GB2312" w:eastAsia="仿宋_GB2312"/>
          <w:b w:val="0"/>
          <w:sz w:val="32"/>
        </w:rPr>
        <w:t>其中：本年支出合计807.50万元，结余分配0.00万元，年末结转和结余0.00万元。</w:t>
      </w:r>
    </w:p>
    <w:p w14:paraId="6E0D90C5">
      <w:pPr>
        <w:spacing w:line="580" w:lineRule="exact"/>
        <w:ind w:firstLine="640"/>
        <w:jc w:val="both"/>
      </w:pPr>
      <w:r>
        <w:rPr>
          <w:rFonts w:ascii="仿宋_GB2312" w:hAnsi="仿宋_GB2312" w:eastAsia="仿宋_GB2312"/>
          <w:b w:val="0"/>
          <w:sz w:val="32"/>
        </w:rPr>
        <w:t>收入支出总体与上年相比，减少149.49万元，下降15.62%，主要原因是：本年交易中心单位资金特定目标类项目收回资金，较上年减少。</w:t>
      </w:r>
    </w:p>
    <w:p w14:paraId="10395D0F">
      <w:pPr>
        <w:spacing w:line="640" w:lineRule="exact"/>
        <w:ind w:firstLine="640"/>
        <w:jc w:val="both"/>
        <w:outlineLvl w:val="2"/>
      </w:pPr>
      <w:r>
        <w:rPr>
          <w:rFonts w:ascii="黑体" w:hAnsi="黑体" w:eastAsia="黑体"/>
          <w:sz w:val="32"/>
        </w:rPr>
        <w:t>二、收入决算情况说明</w:t>
      </w:r>
    </w:p>
    <w:p w14:paraId="58F520A9">
      <w:pPr>
        <w:spacing w:line="580" w:lineRule="exact"/>
        <w:ind w:firstLine="640"/>
        <w:jc w:val="both"/>
      </w:pPr>
      <w:r>
        <w:rPr>
          <w:rFonts w:ascii="仿宋_GB2312" w:hAnsi="仿宋_GB2312" w:eastAsia="仿宋_GB2312"/>
          <w:b/>
          <w:sz w:val="32"/>
        </w:rPr>
        <w:t>本年收入807.50万元，</w:t>
      </w:r>
      <w:r>
        <w:rPr>
          <w:rFonts w:ascii="仿宋_GB2312" w:hAnsi="仿宋_GB2312" w:eastAsia="仿宋_GB2312"/>
          <w:b w:val="0"/>
          <w:sz w:val="32"/>
        </w:rPr>
        <w:t>其中：财政拨款收入267.42万元，占33.12%；上级补助收入0.00万元，占0.00%；事业收入540.08万元，占66.88%；经营收入0.00万元，占0.00%；附属单位上缴收入0.00万元，占0.00%；其他收入0.00万元，占0.00%。</w:t>
      </w:r>
    </w:p>
    <w:p w14:paraId="2576C670">
      <w:pPr>
        <w:spacing w:line="640" w:lineRule="exact"/>
        <w:ind w:firstLine="640"/>
        <w:jc w:val="both"/>
        <w:outlineLvl w:val="2"/>
      </w:pPr>
      <w:r>
        <w:rPr>
          <w:rFonts w:ascii="黑体" w:hAnsi="黑体" w:eastAsia="黑体"/>
          <w:sz w:val="32"/>
        </w:rPr>
        <w:t>三、支出决算情况说明</w:t>
      </w:r>
    </w:p>
    <w:p w14:paraId="22BB15CB">
      <w:pPr>
        <w:spacing w:line="580" w:lineRule="exact"/>
        <w:ind w:firstLine="640"/>
        <w:jc w:val="both"/>
      </w:pPr>
      <w:r>
        <w:rPr>
          <w:rFonts w:ascii="仿宋_GB2312" w:hAnsi="仿宋_GB2312" w:eastAsia="仿宋_GB2312"/>
          <w:b/>
          <w:sz w:val="32"/>
        </w:rPr>
        <w:t>本年支出807.50万元，</w:t>
      </w:r>
      <w:r>
        <w:rPr>
          <w:rFonts w:ascii="仿宋_GB2312" w:hAnsi="仿宋_GB2312" w:eastAsia="仿宋_GB2312"/>
          <w:b w:val="0"/>
          <w:sz w:val="32"/>
        </w:rPr>
        <w:t>其中：基本支出462.70万元，占57.30%；项目支出344.81万元，占42.70%；上缴上级支出0.00万元，占0.00%；经营支出0.00万元，占0.00%；对附属单位补助支出0.00万元，占0.00%。</w:t>
      </w:r>
    </w:p>
    <w:p w14:paraId="729FE620">
      <w:pPr>
        <w:spacing w:line="640" w:lineRule="exact"/>
        <w:ind w:firstLine="640"/>
        <w:jc w:val="both"/>
        <w:outlineLvl w:val="2"/>
      </w:pPr>
      <w:r>
        <w:rPr>
          <w:rFonts w:ascii="黑体" w:hAnsi="黑体" w:eastAsia="黑体"/>
          <w:sz w:val="32"/>
        </w:rPr>
        <w:t>四、财政拨款收入支出决算总体情况说明</w:t>
      </w:r>
    </w:p>
    <w:p w14:paraId="03325EAD">
      <w:pPr>
        <w:spacing w:line="580" w:lineRule="exact"/>
        <w:ind w:firstLine="640"/>
        <w:jc w:val="both"/>
      </w:pPr>
      <w:r>
        <w:rPr>
          <w:rFonts w:ascii="仿宋_GB2312" w:hAnsi="仿宋_GB2312" w:eastAsia="仿宋_GB2312"/>
          <w:b/>
          <w:sz w:val="32"/>
        </w:rPr>
        <w:t>2024年度财政拨款收入总计267.42万元，</w:t>
      </w:r>
      <w:r>
        <w:rPr>
          <w:rFonts w:ascii="仿宋_GB2312" w:hAnsi="仿宋_GB2312" w:eastAsia="仿宋_GB2312"/>
          <w:b w:val="0"/>
          <w:sz w:val="32"/>
        </w:rPr>
        <w:t>其中：年初财政拨款结转和结余0.00万元，本年财政拨款收入267.42万元。</w:t>
      </w:r>
      <w:r>
        <w:rPr>
          <w:rFonts w:ascii="仿宋_GB2312" w:hAnsi="仿宋_GB2312" w:eastAsia="仿宋_GB2312"/>
          <w:b/>
          <w:sz w:val="32"/>
        </w:rPr>
        <w:t>财政拨款支出总计267.42万元，</w:t>
      </w:r>
      <w:r>
        <w:rPr>
          <w:rFonts w:ascii="仿宋_GB2312" w:hAnsi="仿宋_GB2312" w:eastAsia="仿宋_GB2312"/>
          <w:b w:val="0"/>
          <w:sz w:val="32"/>
        </w:rPr>
        <w:t>其中：年末财政拨款结转和结余0.00万元，本年财政拨款支出267.42万元。</w:t>
      </w:r>
    </w:p>
    <w:p w14:paraId="4E75E19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减少171.43万元，下降39.06%，主要原因是：本年中心7名自收自支编制人员工资由财政拨款支出变为事业收入支出，基本公用经费也由财政拨款支出变为事业收入支出，因此财政拨款经费减少。</w:t>
      </w:r>
      <w:r>
        <w:rPr>
          <w:rFonts w:ascii="仿宋_GB2312" w:hAnsi="仿宋_GB2312" w:eastAsia="仿宋_GB2312"/>
          <w:b/>
          <w:sz w:val="32"/>
        </w:rPr>
        <w:t>与年初预算相比，</w:t>
      </w:r>
      <w:r>
        <w:rPr>
          <w:rFonts w:ascii="仿宋_GB2312" w:hAnsi="仿宋_GB2312" w:eastAsia="仿宋_GB2312"/>
          <w:b w:val="0"/>
          <w:sz w:val="32"/>
        </w:rPr>
        <w:t>年初预算数241.51万元，决算数267.42万元，预决算差异率10.73%，主要原因是：本年在职人员工资调薪，工资、社保、公积金等相关人员经费增加，年中追加人员经费，导致预决算存在差异。</w:t>
      </w:r>
    </w:p>
    <w:p w14:paraId="19DFB792">
      <w:pPr>
        <w:spacing w:line="640" w:lineRule="exact"/>
        <w:ind w:firstLine="640"/>
        <w:jc w:val="both"/>
        <w:outlineLvl w:val="2"/>
      </w:pPr>
      <w:r>
        <w:rPr>
          <w:rFonts w:ascii="黑体" w:hAnsi="黑体" w:eastAsia="黑体"/>
          <w:sz w:val="32"/>
        </w:rPr>
        <w:t>五、一般公共预算财政拨款支出决算情况说明</w:t>
      </w:r>
    </w:p>
    <w:p w14:paraId="0E30BE77">
      <w:pPr>
        <w:spacing w:line="640" w:lineRule="exact"/>
        <w:ind w:firstLine="640"/>
        <w:jc w:val="both"/>
        <w:outlineLvl w:val="3"/>
      </w:pPr>
      <w:r>
        <w:rPr>
          <w:rFonts w:ascii="楷体_GB2312" w:hAnsi="楷体_GB2312" w:eastAsia="楷体_GB2312"/>
          <w:b/>
          <w:sz w:val="32"/>
        </w:rPr>
        <w:t>（一）一般公共预算财政拨款支出决算总体情况</w:t>
      </w:r>
    </w:p>
    <w:p w14:paraId="2DF3D96F">
      <w:pPr>
        <w:spacing w:line="580" w:lineRule="exact"/>
        <w:ind w:firstLine="640"/>
        <w:jc w:val="both"/>
      </w:pPr>
      <w:r>
        <w:rPr>
          <w:rFonts w:ascii="仿宋_GB2312" w:hAnsi="仿宋_GB2312" w:eastAsia="仿宋_GB2312"/>
          <w:b/>
          <w:sz w:val="32"/>
        </w:rPr>
        <w:t>2024年度一般公共预算财政拨款支出267.42万元，</w:t>
      </w:r>
      <w:r>
        <w:rPr>
          <w:rFonts w:ascii="仿宋_GB2312" w:hAnsi="仿宋_GB2312" w:eastAsia="仿宋_GB2312"/>
          <w:b w:val="0"/>
          <w:sz w:val="32"/>
        </w:rPr>
        <w:t>占本年支出合计的33.12%。</w:t>
      </w:r>
      <w:r>
        <w:rPr>
          <w:rFonts w:ascii="仿宋_GB2312" w:hAnsi="仿宋_GB2312" w:eastAsia="仿宋_GB2312"/>
          <w:b/>
          <w:sz w:val="32"/>
        </w:rPr>
        <w:t>与上年相比，</w:t>
      </w:r>
      <w:r>
        <w:rPr>
          <w:rFonts w:ascii="仿宋_GB2312" w:hAnsi="仿宋_GB2312" w:eastAsia="仿宋_GB2312"/>
          <w:b w:val="0"/>
          <w:sz w:val="32"/>
        </w:rPr>
        <w:t>减少171.43万元，下降39.06%，主要原因是：本年中心7名自收自支编制人员工资由财政拨款支出变为事业收入支出，基本公用经费也由财政拨款支出变为事业收入支出，因此财政拨款经费减少。</w:t>
      </w:r>
      <w:r>
        <w:rPr>
          <w:rFonts w:ascii="仿宋_GB2312" w:hAnsi="仿宋_GB2312" w:eastAsia="仿宋_GB2312"/>
          <w:b/>
          <w:sz w:val="32"/>
        </w:rPr>
        <w:t>与年初预算相比,</w:t>
      </w:r>
      <w:r>
        <w:rPr>
          <w:rFonts w:ascii="仿宋_GB2312" w:hAnsi="仿宋_GB2312" w:eastAsia="仿宋_GB2312"/>
          <w:b w:val="0"/>
          <w:sz w:val="32"/>
        </w:rPr>
        <w:t>年初预算数241.51万元，决算数267.42万元，预决算差异率10.73%，主要原因是：本年在职人员工资调薪，工资、社保、公积金等相关人员经费增加，年中追加人员经费，导致预决算存在差异。</w:t>
      </w:r>
    </w:p>
    <w:p w14:paraId="753318A7">
      <w:pPr>
        <w:spacing w:line="640" w:lineRule="exact"/>
        <w:ind w:firstLine="640"/>
        <w:jc w:val="both"/>
        <w:outlineLvl w:val="3"/>
      </w:pPr>
      <w:r>
        <w:rPr>
          <w:rFonts w:ascii="楷体_GB2312" w:hAnsi="楷体_GB2312" w:eastAsia="楷体_GB2312"/>
          <w:b/>
          <w:sz w:val="32"/>
        </w:rPr>
        <w:t>（二）一般公共预算财政拨款支出决算结构情况</w:t>
      </w:r>
    </w:p>
    <w:p w14:paraId="56F7B2D8">
      <w:pPr>
        <w:spacing w:line="580" w:lineRule="exact"/>
        <w:ind w:firstLine="640"/>
        <w:jc w:val="both"/>
      </w:pPr>
      <w:r>
        <w:rPr>
          <w:rFonts w:ascii="仿宋_GB2312" w:hAnsi="仿宋_GB2312" w:eastAsia="仿宋_GB2312"/>
          <w:b w:val="0"/>
          <w:sz w:val="32"/>
        </w:rPr>
        <w:t>1.一般公共服务支出(类)199.30万元,占74.53%。</w:t>
      </w:r>
    </w:p>
    <w:p w14:paraId="67ADDBFB">
      <w:pPr>
        <w:spacing w:line="580" w:lineRule="exact"/>
        <w:ind w:firstLine="640"/>
        <w:jc w:val="both"/>
      </w:pPr>
      <w:r>
        <w:rPr>
          <w:rFonts w:ascii="仿宋_GB2312" w:hAnsi="仿宋_GB2312" w:eastAsia="仿宋_GB2312"/>
          <w:b w:val="0"/>
          <w:sz w:val="32"/>
        </w:rPr>
        <w:t>2.社会保障和就业支出(类)36.82万元,占13.77%。</w:t>
      </w:r>
    </w:p>
    <w:p w14:paraId="3153AFC6">
      <w:pPr>
        <w:spacing w:line="580" w:lineRule="exact"/>
        <w:ind w:firstLine="640"/>
        <w:jc w:val="both"/>
      </w:pPr>
      <w:r>
        <w:rPr>
          <w:rFonts w:ascii="仿宋_GB2312" w:hAnsi="仿宋_GB2312" w:eastAsia="仿宋_GB2312"/>
          <w:b w:val="0"/>
          <w:sz w:val="32"/>
        </w:rPr>
        <w:t>3.卫生健康支出(类)10.43万元,占3.90%。</w:t>
      </w:r>
    </w:p>
    <w:p w14:paraId="56F2E4BE">
      <w:pPr>
        <w:spacing w:line="580" w:lineRule="exact"/>
        <w:ind w:firstLine="640"/>
        <w:jc w:val="both"/>
      </w:pPr>
      <w:r>
        <w:rPr>
          <w:rFonts w:ascii="仿宋_GB2312" w:hAnsi="仿宋_GB2312" w:eastAsia="仿宋_GB2312"/>
          <w:b w:val="0"/>
          <w:sz w:val="32"/>
        </w:rPr>
        <w:t>4.住房保障支出(类)20.87万元,占7.80%。</w:t>
      </w:r>
    </w:p>
    <w:p w14:paraId="70E7D3D6">
      <w:pPr>
        <w:spacing w:line="640" w:lineRule="exact"/>
        <w:ind w:firstLine="640"/>
        <w:jc w:val="both"/>
        <w:outlineLvl w:val="3"/>
      </w:pPr>
      <w:r>
        <w:rPr>
          <w:rFonts w:ascii="楷体_GB2312" w:hAnsi="楷体_GB2312" w:eastAsia="楷体_GB2312"/>
          <w:b/>
          <w:sz w:val="32"/>
        </w:rPr>
        <w:t>（三）一般公共预算财政拨款支出决算具体情况</w:t>
      </w:r>
    </w:p>
    <w:p w14:paraId="77BF6D39">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193.81万元，比上年决算减少151.30万元，下降43.84%,主要原因是：本年中心7名自收自支编制人员工资由财政拨款支出变为事业收入支出，基本公用经费也由财政拨款支出变为事业收入支出，因此经费减少。</w:t>
      </w:r>
    </w:p>
    <w:p w14:paraId="39F82683">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3.29万元，比上年决算增加3.29万元，增长100.00%,主要原因是：本年本部门个人和家庭的生活补助较上年增加。</w:t>
      </w:r>
    </w:p>
    <w:p w14:paraId="1436C508">
      <w:pPr>
        <w:spacing w:line="580" w:lineRule="exact"/>
        <w:ind w:firstLine="640"/>
        <w:jc w:val="both"/>
      </w:pPr>
      <w:r>
        <w:rPr>
          <w:rFonts w:ascii="仿宋_GB2312" w:hAnsi="仿宋_GB2312" w:eastAsia="仿宋_GB2312"/>
          <w:b w:val="0"/>
          <w:sz w:val="32"/>
        </w:rPr>
        <w:t>3.一般公共服务支出(类)统战事务(款)宗教事务(项):支出决算数为2.20万元，比上年决算增加2.20万元，增长100.00%,主要原因是：本年本部门为民办实事经费增加。</w:t>
      </w:r>
    </w:p>
    <w:p w14:paraId="49712A01">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0.00万元，比上年决算减少1.93万元，下降100.00%,主要原因是：本年本部门退休人员经费支出由财政拨款支出变为事业收入，经费减少。</w:t>
      </w:r>
    </w:p>
    <w:p w14:paraId="5E2F11F3">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24.55万元，比上年决算减少8.59万元，下降25.92%,主要原因是：本年中心7名自收自支编制人员工资由财政拨款支出变为事业收入支出，经费减少。</w:t>
      </w:r>
    </w:p>
    <w:p w14:paraId="24A062A9">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12.27万元，比上年决算减少4.30万元，下降25.95%,主要原因是：本年中心7名自收自支编制人员工资由财政拨款支出变为事业收入支出，经费减少。</w:t>
      </w:r>
    </w:p>
    <w:p w14:paraId="46D9E3C6">
      <w:pPr>
        <w:spacing w:line="580" w:lineRule="exact"/>
        <w:ind w:firstLine="640"/>
        <w:jc w:val="both"/>
      </w:pPr>
      <w:r>
        <w:rPr>
          <w:rFonts w:ascii="仿宋_GB2312" w:hAnsi="仿宋_GB2312" w:eastAsia="仿宋_GB2312"/>
          <w:b w:val="0"/>
          <w:sz w:val="32"/>
        </w:rPr>
        <w:t>7.卫生健康支出(类)行政事业单位医疗(款)事业单位医疗(项):支出决算数为10.43万元，比上年决算减少3.66万元，下降25.98%,主要原因是：本年中心7名自收自支编制人员工资由财政拨款支出变为事业收入支出，经费减少。</w:t>
      </w:r>
    </w:p>
    <w:p w14:paraId="6B2E4B0B">
      <w:pPr>
        <w:spacing w:line="580" w:lineRule="exact"/>
        <w:ind w:firstLine="640"/>
        <w:jc w:val="both"/>
      </w:pPr>
      <w:r>
        <w:rPr>
          <w:rFonts w:ascii="仿宋_GB2312" w:hAnsi="仿宋_GB2312" w:eastAsia="仿宋_GB2312"/>
          <w:b w:val="0"/>
          <w:sz w:val="32"/>
        </w:rPr>
        <w:t>8.住房保障支出(类)住房改革支出(款)住房公积金(项):支出决算数为20.87万元，比上年决算减少7.14万元，下降25.49%,主要原因是：本年中心7名自收自支编制人员工资由财政拨款支出变为事业收入支出，经费减少。</w:t>
      </w:r>
    </w:p>
    <w:p w14:paraId="12EA5E45">
      <w:pPr>
        <w:spacing w:line="640" w:lineRule="exact"/>
        <w:ind w:firstLine="640"/>
        <w:jc w:val="both"/>
        <w:outlineLvl w:val="2"/>
      </w:pPr>
      <w:r>
        <w:rPr>
          <w:rFonts w:ascii="黑体" w:hAnsi="黑体" w:eastAsia="黑体"/>
          <w:sz w:val="32"/>
        </w:rPr>
        <w:t>六、一般公共预算财政拨款基本支出决算情况说明</w:t>
      </w:r>
    </w:p>
    <w:p w14:paraId="66D0D6F5">
      <w:pPr>
        <w:spacing w:line="580" w:lineRule="exact"/>
        <w:ind w:firstLine="640"/>
        <w:jc w:val="both"/>
      </w:pPr>
      <w:r>
        <w:rPr>
          <w:rFonts w:ascii="仿宋_GB2312" w:hAnsi="仿宋_GB2312" w:eastAsia="仿宋_GB2312"/>
          <w:b w:val="0"/>
          <w:sz w:val="32"/>
        </w:rPr>
        <w:t>2024年度一般公共预算财政拨款基本支出267.42万元，其中：</w:t>
      </w:r>
      <w:r>
        <w:rPr>
          <w:rFonts w:ascii="仿宋_GB2312" w:hAnsi="仿宋_GB2312" w:eastAsia="仿宋_GB2312"/>
          <w:b/>
          <w:sz w:val="32"/>
        </w:rPr>
        <w:t>人员经费264.66万元，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包括：基本工资、津贴补贴、奖金、绩效工资、机关事业单位基本养老保险缴费、职业年金缴费、职工基本医疗保险缴费、其他社会保障缴费、住房公积金、生活补助。</w:t>
      </w:r>
    </w:p>
    <w:p w14:paraId="00932054">
      <w:pPr>
        <w:spacing w:line="580" w:lineRule="exact"/>
        <w:ind w:firstLine="640"/>
        <w:jc w:val="both"/>
      </w:pPr>
      <w:r>
        <w:rPr>
          <w:rFonts w:ascii="仿宋_GB2312" w:hAnsi="仿宋_GB2312" w:eastAsia="仿宋_GB2312"/>
          <w:b/>
          <w:sz w:val="32"/>
        </w:rPr>
        <w:t>公用经费2.76万元，</w:t>
      </w:r>
      <w:r>
        <w:rPr>
          <w:rFonts w:ascii="仿宋_GB2312" w:hAnsi="仿宋_GB2312" w:eastAsia="仿宋_GB2312"/>
          <w:b w:val="0"/>
          <w:sz w:val="32"/>
        </w:rPr>
        <w:t>包括：工会经费。</w:t>
      </w:r>
    </w:p>
    <w:p w14:paraId="5E1277B2">
      <w:pPr>
        <w:spacing w:line="640" w:lineRule="exact"/>
        <w:ind w:firstLine="640"/>
        <w:jc w:val="both"/>
        <w:outlineLvl w:val="2"/>
      </w:pPr>
      <w:r>
        <w:rPr>
          <w:rFonts w:ascii="黑体" w:hAnsi="黑体" w:eastAsia="黑体"/>
          <w:sz w:val="32"/>
        </w:rPr>
        <w:t>七、政府性基金预算财政拨款收入支出决算情况说明</w:t>
      </w:r>
    </w:p>
    <w:p w14:paraId="51567E9B">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C8D1A11">
      <w:pPr>
        <w:spacing w:line="640" w:lineRule="exact"/>
        <w:ind w:firstLine="640"/>
        <w:jc w:val="both"/>
        <w:outlineLvl w:val="2"/>
      </w:pPr>
      <w:r>
        <w:rPr>
          <w:rFonts w:ascii="黑体" w:hAnsi="黑体" w:eastAsia="黑体"/>
          <w:sz w:val="32"/>
        </w:rPr>
        <w:t>八、国有资本经营预算财政拨款收入支出决算情况说明</w:t>
      </w:r>
    </w:p>
    <w:p w14:paraId="670B98C6">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F49CD7C">
      <w:pPr>
        <w:spacing w:line="640" w:lineRule="exact"/>
        <w:ind w:firstLine="640"/>
        <w:jc w:val="both"/>
        <w:outlineLvl w:val="2"/>
      </w:pPr>
      <w:r>
        <w:rPr>
          <w:rFonts w:ascii="黑体" w:hAnsi="黑体" w:eastAsia="黑体"/>
          <w:sz w:val="32"/>
        </w:rPr>
        <w:t>九、财政拨款“三公”经费支出决算情况说明</w:t>
      </w:r>
    </w:p>
    <w:p w14:paraId="74B9325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E0D3AB9">
      <w:pPr>
        <w:spacing w:line="580" w:lineRule="exact"/>
        <w:ind w:firstLine="640"/>
        <w:jc w:val="both"/>
      </w:pPr>
      <w:r>
        <w:rPr>
          <w:rFonts w:ascii="仿宋_GB2312" w:hAnsi="仿宋_GB2312" w:eastAsia="仿宋_GB2312"/>
          <w:b/>
          <w:sz w:val="32"/>
        </w:rPr>
        <w:t>具体情况如下：</w:t>
      </w:r>
    </w:p>
    <w:p w14:paraId="62EB34B4">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F1AD50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2辆，与公务用车保有量差异原因是：单位业务用车，车辆费用未使用财政拨款公务用车运行维护费支付，由单位资金事业收入保障。</w:t>
      </w:r>
    </w:p>
    <w:p w14:paraId="4BDCE622">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464697E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09DF6F16">
      <w:pPr>
        <w:spacing w:line="640" w:lineRule="exact"/>
        <w:ind w:firstLine="640"/>
        <w:jc w:val="both"/>
        <w:outlineLvl w:val="2"/>
      </w:pPr>
      <w:r>
        <w:rPr>
          <w:rFonts w:ascii="黑体" w:hAnsi="黑体" w:eastAsia="黑体"/>
          <w:sz w:val="32"/>
        </w:rPr>
        <w:t>十、其他重要事项的情况说明</w:t>
      </w:r>
    </w:p>
    <w:p w14:paraId="7D4B5C73">
      <w:pPr>
        <w:spacing w:line="640" w:lineRule="exact"/>
        <w:ind w:firstLine="640"/>
        <w:jc w:val="both"/>
        <w:outlineLvl w:val="3"/>
      </w:pPr>
      <w:r>
        <w:rPr>
          <w:rFonts w:ascii="楷体_GB2312" w:hAnsi="楷体_GB2312" w:eastAsia="楷体_GB2312"/>
          <w:b/>
          <w:sz w:val="32"/>
        </w:rPr>
        <w:t>（一）机关运行经费及公用经费支出情况</w:t>
      </w:r>
    </w:p>
    <w:p w14:paraId="4C873F15">
      <w:pPr>
        <w:spacing w:line="580" w:lineRule="exact"/>
        <w:ind w:firstLine="640"/>
        <w:jc w:val="both"/>
      </w:pPr>
      <w:r>
        <w:rPr>
          <w:rFonts w:ascii="仿宋_GB2312" w:hAnsi="仿宋_GB2312" w:eastAsia="仿宋_GB2312"/>
          <w:b w:val="0"/>
          <w:sz w:val="32"/>
        </w:rPr>
        <w:t>2024年度喀什地区公共资源交易中心（事业单位）公用经费支出2.76万元，比上年减少17.51万元，下降86.38%，主要原因是：本年单位公用经费除了差额人员工会经费由财政拨款列支，其他公用经费均在单位资金事业收入列支，经费减少。</w:t>
      </w:r>
    </w:p>
    <w:p w14:paraId="5A7260AE">
      <w:pPr>
        <w:spacing w:line="640" w:lineRule="exact"/>
        <w:ind w:firstLine="640"/>
        <w:jc w:val="both"/>
        <w:outlineLvl w:val="3"/>
      </w:pPr>
      <w:r>
        <w:rPr>
          <w:rFonts w:ascii="楷体_GB2312" w:hAnsi="楷体_GB2312" w:eastAsia="楷体_GB2312"/>
          <w:b/>
          <w:sz w:val="32"/>
        </w:rPr>
        <w:t>（二）政府采购情况</w:t>
      </w:r>
    </w:p>
    <w:p w14:paraId="46B0FDC6">
      <w:pPr>
        <w:spacing w:line="580" w:lineRule="exact"/>
        <w:ind w:firstLine="640"/>
        <w:jc w:val="both"/>
      </w:pPr>
      <w:r>
        <w:rPr>
          <w:rFonts w:ascii="仿宋_GB2312" w:hAnsi="仿宋_GB2312" w:eastAsia="仿宋_GB2312"/>
          <w:b w:val="0"/>
          <w:sz w:val="32"/>
        </w:rPr>
        <w:t>2024年度政府采购支出总额195.99万元，其中：政府采购货物支出5.70万元、政府采购工程支出0.00万元、政府采购服务支出190.29万元。</w:t>
      </w:r>
    </w:p>
    <w:p w14:paraId="3A1D829A">
      <w:pPr>
        <w:spacing w:line="580" w:lineRule="exact"/>
        <w:ind w:firstLine="640"/>
        <w:jc w:val="both"/>
      </w:pPr>
      <w:r>
        <w:rPr>
          <w:rFonts w:ascii="仿宋_GB2312" w:hAnsi="仿宋_GB2312" w:eastAsia="仿宋_GB2312"/>
          <w:b w:val="0"/>
          <w:sz w:val="32"/>
        </w:rPr>
        <w:t>授予中小企业合同金额195.99万元，占政府采购支出总额的100.00%，其中：授予小微企业合同金额195.99万元，占政府采购支出总额的100.00%。</w:t>
      </w:r>
    </w:p>
    <w:p w14:paraId="6B010B46">
      <w:pPr>
        <w:spacing w:line="640" w:lineRule="exact"/>
        <w:ind w:firstLine="640"/>
        <w:jc w:val="both"/>
        <w:outlineLvl w:val="3"/>
      </w:pPr>
      <w:r>
        <w:rPr>
          <w:rFonts w:ascii="楷体_GB2312" w:hAnsi="楷体_GB2312" w:eastAsia="楷体_GB2312"/>
          <w:b/>
          <w:sz w:val="32"/>
        </w:rPr>
        <w:t>（三）国有资产占用情况说明</w:t>
      </w:r>
    </w:p>
    <w:p w14:paraId="3FE396D0">
      <w:pPr>
        <w:spacing w:line="580" w:lineRule="exact"/>
        <w:ind w:firstLine="640"/>
        <w:jc w:val="both"/>
      </w:pPr>
      <w:r>
        <w:rPr>
          <w:rFonts w:ascii="仿宋_GB2312" w:hAnsi="仿宋_GB2312" w:eastAsia="仿宋_GB2312"/>
          <w:b w:val="0"/>
          <w:sz w:val="32"/>
        </w:rPr>
        <w:t>截至2024年12月31日，房屋0.00平方米，价值0.00万元。车辆2辆，价值38.84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309EEB5B">
      <w:pPr>
        <w:spacing w:line="640" w:lineRule="exact"/>
        <w:ind w:firstLine="640"/>
        <w:jc w:val="both"/>
        <w:outlineLvl w:val="2"/>
      </w:pPr>
      <w:r>
        <w:rPr>
          <w:rFonts w:ascii="黑体" w:hAnsi="黑体" w:eastAsia="黑体"/>
          <w:sz w:val="32"/>
        </w:rPr>
        <w:t>十一、预算绩效的情况说明</w:t>
      </w:r>
    </w:p>
    <w:p w14:paraId="2E80729B">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1,030.37万元，实际执行总额807.51万元；预算绩效评价项目2个，全年预算数527.78万元，全年执行数344.82万元。预算绩效管理取得的成效：一是通过绩效评价，发现影响项目实施进度的因素，并及时制定了控制措施，加强了项目资金管理，及时将资金拨付到位，使资金效益最大化，达到提高综合业务水平以及发挥了项目最大效益；二是绩效目标设置更加科学合理对项目前期做好项目评估和预期目标提供了强有力的支撑，能够更加细化方案，严格执行资金管理办法和财政资金管理制度，稳步推进各项工作，为项目绩效各项指标和指标值的设置提供依据。发现的问题及原因：一是预算编制有待进一步优化和细化，并对各项指标和指标值要进一步完善；二是缺少带着问题去评价的意识；三是现场评价的工作量少，后续效益评价具体措施和方法较少。下一步改进措施：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部门整体支出绩效自评表，项目支出绩效自评表和部门评价报告。</w:t>
      </w:r>
    </w:p>
    <w:p w14:paraId="28C923C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016"/>
        <w:gridCol w:w="983"/>
        <w:gridCol w:w="983"/>
        <w:gridCol w:w="983"/>
        <w:gridCol w:w="983"/>
      </w:tblGrid>
      <w:tr w14:paraId="2C9ED063">
        <w:tblPrEx>
          <w:tblCellMar>
            <w:top w:w="0" w:type="dxa"/>
            <w:left w:w="108" w:type="dxa"/>
            <w:bottom w:w="0" w:type="dxa"/>
            <w:right w:w="108" w:type="dxa"/>
          </w:tblCellMar>
        </w:tblPrEx>
        <w:tc>
          <w:tcPr>
            <w:tcW w:w="8847" w:type="dxa"/>
            <w:gridSpan w:val="9"/>
            <w:vAlign w:val="center"/>
          </w:tcPr>
          <w:p w14:paraId="27D26ADA">
            <w:pPr>
              <w:jc w:val="center"/>
            </w:pPr>
            <w:r>
              <w:rPr>
                <w:rFonts w:ascii="宋体" w:hAnsi="宋体" w:eastAsia="宋体"/>
                <w:sz w:val="24"/>
              </w:rPr>
              <w:t>部门整体支出绩效自评表</w:t>
            </w:r>
          </w:p>
        </w:tc>
      </w:tr>
      <w:tr w14:paraId="021365B7">
        <w:tblPrEx>
          <w:tblCellMar>
            <w:top w:w="0" w:type="dxa"/>
            <w:left w:w="108" w:type="dxa"/>
            <w:bottom w:w="0" w:type="dxa"/>
            <w:right w:w="108" w:type="dxa"/>
          </w:tblCellMar>
        </w:tblPrEx>
        <w:tc>
          <w:tcPr>
            <w:tcW w:w="8847" w:type="dxa"/>
            <w:gridSpan w:val="9"/>
            <w:vAlign w:val="center"/>
          </w:tcPr>
          <w:p w14:paraId="0021DC5B">
            <w:pPr>
              <w:jc w:val="center"/>
            </w:pPr>
            <w:r>
              <w:rPr>
                <w:rFonts w:ascii="宋体" w:hAnsi="宋体" w:eastAsia="宋体"/>
                <w:sz w:val="24"/>
              </w:rPr>
              <w:t>（2024年度）</w:t>
            </w:r>
          </w:p>
        </w:tc>
      </w:tr>
      <w:tr w14:paraId="5D448A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A078C">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6594317">
            <w:pPr>
              <w:jc w:val="center"/>
            </w:pPr>
            <w:r>
              <w:rPr>
                <w:rFonts w:ascii="宋体" w:hAnsi="宋体" w:eastAsia="宋体"/>
                <w:sz w:val="16"/>
              </w:rPr>
              <w:t>喀什地区公共资源交易中心</w:t>
            </w:r>
          </w:p>
        </w:tc>
      </w:tr>
      <w:tr w14:paraId="580770F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3869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1286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1C4B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4422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6EF7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A3A2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B66F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AAFA3">
            <w:pPr>
              <w:jc w:val="center"/>
            </w:pPr>
            <w:r>
              <w:rPr>
                <w:rFonts w:ascii="宋体" w:hAnsi="宋体" w:eastAsia="宋体"/>
                <w:sz w:val="16"/>
              </w:rPr>
              <w:t>得分</w:t>
            </w:r>
          </w:p>
        </w:tc>
      </w:tr>
      <w:tr w14:paraId="6E839D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1F81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6614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92DB6">
            <w:pPr>
              <w:jc w:val="center"/>
            </w:pPr>
            <w:r>
              <w:rPr>
                <w:rFonts w:ascii="宋体" w:hAnsi="宋体" w:eastAsia="宋体"/>
                <w:sz w:val="16"/>
              </w:rPr>
              <w:t>1,002.65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CD955">
            <w:pPr>
              <w:jc w:val="center"/>
            </w:pPr>
            <w:r>
              <w:rPr>
                <w:rFonts w:ascii="宋体" w:hAnsi="宋体" w:eastAsia="宋体"/>
                <w:sz w:val="16"/>
              </w:rPr>
              <w:t>1,030.37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82997">
            <w:pPr>
              <w:jc w:val="center"/>
            </w:pPr>
            <w:r>
              <w:rPr>
                <w:rFonts w:ascii="宋体" w:hAnsi="宋体" w:eastAsia="宋体"/>
                <w:sz w:val="16"/>
              </w:rPr>
              <w:t>807.51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AC5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3FB42">
            <w:pPr>
              <w:jc w:val="center"/>
            </w:pPr>
            <w:r>
              <w:rPr>
                <w:rFonts w:ascii="宋体" w:hAnsi="宋体" w:eastAsia="宋体"/>
                <w:sz w:val="16"/>
              </w:rPr>
              <w:t>78.37%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89FB5">
            <w:pPr>
              <w:jc w:val="center"/>
            </w:pPr>
            <w:r>
              <w:rPr>
                <w:rFonts w:ascii="宋体" w:hAnsi="宋体" w:eastAsia="宋体"/>
                <w:sz w:val="16"/>
              </w:rPr>
              <w:t>7.84</w:t>
            </w:r>
          </w:p>
        </w:tc>
      </w:tr>
      <w:tr w14:paraId="4F2699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8C2A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1E04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D51E1">
            <w:pPr>
              <w:jc w:val="center"/>
            </w:pPr>
            <w:r>
              <w:rPr>
                <w:rFonts w:ascii="宋体" w:hAnsi="宋体" w:eastAsia="宋体"/>
                <w:sz w:val="16"/>
              </w:rPr>
              <w:t>2.69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77CC7">
            <w:pPr>
              <w:jc w:val="center"/>
            </w:pPr>
            <w:r>
              <w:rPr>
                <w:rFonts w:ascii="宋体" w:hAnsi="宋体" w:eastAsia="宋体"/>
                <w:sz w:val="16"/>
              </w:rPr>
              <w:t>7.80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79090">
            <w:pPr>
              <w:jc w:val="center"/>
            </w:pPr>
            <w:r>
              <w:rPr>
                <w:rFonts w:ascii="宋体" w:hAnsi="宋体" w:eastAsia="宋体"/>
                <w:sz w:val="16"/>
              </w:rPr>
              <w:t>5.98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8278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0A32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60CDB">
            <w:pPr>
              <w:jc w:val="center"/>
            </w:pPr>
            <w:r>
              <w:rPr>
                <w:rFonts w:ascii="宋体" w:hAnsi="宋体" w:eastAsia="宋体"/>
                <w:sz w:val="16"/>
              </w:rPr>
              <w:t>—</w:t>
            </w:r>
          </w:p>
        </w:tc>
      </w:tr>
      <w:tr w14:paraId="01A7BE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0CD2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BC3A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CAD1C">
            <w:pPr>
              <w:jc w:val="center"/>
            </w:pPr>
            <w:r>
              <w:rPr>
                <w:rFonts w:ascii="宋体" w:hAnsi="宋体" w:eastAsia="宋体"/>
                <w:sz w:val="16"/>
              </w:rPr>
              <w:t>238.82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BFD09">
            <w:pPr>
              <w:jc w:val="center"/>
            </w:pPr>
            <w:r>
              <w:rPr>
                <w:rFonts w:ascii="宋体" w:hAnsi="宋体" w:eastAsia="宋体"/>
                <w:sz w:val="16"/>
              </w:rPr>
              <w:t>261.43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36B47">
            <w:pPr>
              <w:jc w:val="center"/>
            </w:pPr>
            <w:r>
              <w:rPr>
                <w:rFonts w:ascii="宋体" w:hAnsi="宋体" w:eastAsia="宋体"/>
                <w:sz w:val="16"/>
              </w:rPr>
              <w:t>261.44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4E2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B443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62051">
            <w:pPr>
              <w:jc w:val="center"/>
            </w:pPr>
            <w:r>
              <w:rPr>
                <w:rFonts w:ascii="宋体" w:hAnsi="宋体" w:eastAsia="宋体"/>
                <w:sz w:val="16"/>
              </w:rPr>
              <w:t>—</w:t>
            </w:r>
          </w:p>
        </w:tc>
      </w:tr>
      <w:tr w14:paraId="46B1B3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1363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6415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71EDC">
            <w:pPr>
              <w:jc w:val="center"/>
            </w:pPr>
            <w:r>
              <w:rPr>
                <w:rFonts w:ascii="宋体" w:hAnsi="宋体" w:eastAsia="宋体"/>
                <w:sz w:val="16"/>
              </w:rPr>
              <w:t>761.14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245FC">
            <w:pPr>
              <w:jc w:val="center"/>
            </w:pPr>
            <w:r>
              <w:rPr>
                <w:rFonts w:ascii="宋体" w:hAnsi="宋体" w:eastAsia="宋体"/>
                <w:sz w:val="16"/>
              </w:rPr>
              <w:t>761.14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75E7D">
            <w:pPr>
              <w:jc w:val="center"/>
            </w:pPr>
            <w:r>
              <w:rPr>
                <w:rFonts w:ascii="宋体" w:hAnsi="宋体" w:eastAsia="宋体"/>
                <w:sz w:val="16"/>
              </w:rPr>
              <w:t>540.09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EB5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F4C7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C1968">
            <w:pPr>
              <w:jc w:val="center"/>
            </w:pPr>
            <w:r>
              <w:rPr>
                <w:rFonts w:ascii="宋体" w:hAnsi="宋体" w:eastAsia="宋体"/>
                <w:sz w:val="16"/>
              </w:rPr>
              <w:t>—</w:t>
            </w:r>
          </w:p>
        </w:tc>
      </w:tr>
      <w:tr w14:paraId="10F223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F930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FCCAD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3AB6C2">
            <w:pPr>
              <w:jc w:val="center"/>
            </w:pPr>
            <w:r>
              <w:rPr>
                <w:rFonts w:ascii="宋体" w:hAnsi="宋体" w:eastAsia="宋体"/>
                <w:sz w:val="16"/>
              </w:rPr>
              <w:t>实际完成情况</w:t>
            </w:r>
          </w:p>
        </w:tc>
      </w:tr>
      <w:tr w14:paraId="5C22DC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83415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608CAD">
            <w:pPr>
              <w:jc w:val="both"/>
            </w:pPr>
            <w:r>
              <w:rPr>
                <w:rFonts w:ascii="宋体" w:hAnsi="宋体" w:eastAsia="宋体"/>
                <w:sz w:val="16"/>
              </w:rPr>
              <w:t>交易中心2024年将立足公共服务职能定位，一是将服务贯穿交易全过程，不断优化登记、见证、场地、信息、档案、专家抽取等服务,切实保障各类项目的实施；二是将收取的场地费以事业收入的方式上交国库代管户，今年交易中心预算单位资金收入申报761.15万元，以保障我中心人员类工资社保正常支出，以及项目资金能够按时间节点完成；三是持续推进进场项目交易全过程电子化，大力开展远程异地评标，全面推行电子保函应用，积极推进交易档案电子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09D826">
            <w:pPr>
              <w:jc w:val="both"/>
            </w:pPr>
            <w:r>
              <w:rPr>
                <w:rFonts w:ascii="宋体" w:hAnsi="宋体" w:eastAsia="宋体"/>
                <w:sz w:val="16"/>
              </w:rPr>
              <w:t>本年度共开展项目2046个，交易金额约241.43亿元，替代电子保函41387次，替代保证金92.19亿元，替代率79.0%；归档纸质档案共计1066个标段，共计1089盒；自电子档案系统运行以来累计归档1637个标段，光盘刻录985张；收缴场地费4063.82万元，持续推进适合以市场方式配置的公共资源基本纳入统一平台体系，实现房建、市政、水利、农业、交通项目施工、监理、总承包、勘察、设计和国有土地出让“电子化”交易。</w:t>
            </w:r>
          </w:p>
        </w:tc>
      </w:tr>
      <w:tr w14:paraId="5F93221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BA25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69CC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76ED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3AA3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0190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9622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C4D5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DC87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54268">
            <w:pPr>
              <w:jc w:val="center"/>
            </w:pPr>
            <w:r>
              <w:rPr>
                <w:rFonts w:ascii="宋体" w:hAnsi="宋体" w:eastAsia="宋体"/>
                <w:sz w:val="16"/>
              </w:rPr>
              <w:t>得分</w:t>
            </w:r>
          </w:p>
        </w:tc>
      </w:tr>
      <w:tr w14:paraId="6052E8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92D6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3631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6A322">
            <w:pPr>
              <w:jc w:val="center"/>
            </w:pPr>
            <w:r>
              <w:rPr>
                <w:rFonts w:ascii="宋体" w:hAnsi="宋体" w:eastAsia="宋体"/>
                <w:sz w:val="16"/>
              </w:rPr>
              <w:t>收取场地与设施服务费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AD46C">
            <w:pPr>
              <w:jc w:val="center"/>
            </w:pPr>
            <w:r>
              <w:rPr>
                <w:rFonts w:ascii="宋体" w:hAnsi="宋体" w:eastAsia="宋体"/>
                <w:sz w:val="16"/>
              </w:rPr>
              <w:t>&gt;=3521万元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B0042">
            <w:pPr>
              <w:jc w:val="center"/>
            </w:pPr>
            <w:r>
              <w:rPr>
                <w:rFonts w:ascii="宋体" w:hAnsi="宋体" w:eastAsia="宋体"/>
                <w:sz w:val="16"/>
              </w:rPr>
              <w:t>《喀什地区公共资源交易中心2023年工作总结》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CD0F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5CF07">
            <w:pPr>
              <w:jc w:val="center"/>
            </w:pPr>
            <w:r>
              <w:rPr>
                <w:rFonts w:ascii="宋体" w:hAnsi="宋体" w:eastAsia="宋体"/>
                <w:sz w:val="16"/>
              </w:rPr>
              <w:t>3521.99万元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5ED36">
            <w:pPr>
              <w:jc w:val="center"/>
            </w:pPr>
            <w:r>
              <w:rPr>
                <w:rFonts w:ascii="宋体" w:hAnsi="宋体" w:eastAsia="宋体"/>
                <w:sz w:val="16"/>
              </w:rPr>
              <w:t>100.03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D6F14">
            <w:pPr>
              <w:jc w:val="center"/>
            </w:pPr>
            <w:r>
              <w:rPr>
                <w:rFonts w:ascii="宋体" w:hAnsi="宋体" w:eastAsia="宋体"/>
                <w:sz w:val="16"/>
              </w:rPr>
              <w:t>30</w:t>
            </w:r>
          </w:p>
        </w:tc>
      </w:tr>
      <w:tr w14:paraId="1CD349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8492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C533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3F9BA">
            <w:pPr>
              <w:jc w:val="center"/>
            </w:pPr>
            <w:r>
              <w:rPr>
                <w:rFonts w:ascii="宋体" w:hAnsi="宋体" w:eastAsia="宋体"/>
                <w:sz w:val="16"/>
              </w:rPr>
              <w:t>年服务项目个数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7533B">
            <w:pPr>
              <w:jc w:val="center"/>
            </w:pPr>
            <w:r>
              <w:rPr>
                <w:rFonts w:ascii="宋体" w:hAnsi="宋体" w:eastAsia="宋体"/>
                <w:sz w:val="16"/>
              </w:rPr>
              <w:t>&gt;=1090个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E51FE">
            <w:pPr>
              <w:jc w:val="center"/>
            </w:pPr>
            <w:r>
              <w:rPr>
                <w:rFonts w:ascii="宋体" w:hAnsi="宋体" w:eastAsia="宋体"/>
                <w:sz w:val="16"/>
              </w:rPr>
              <w:t>《交易中心2021</w:t>
            </w:r>
            <w:r>
              <w:rPr>
                <w:rFonts w:hint="eastAsia" w:ascii="宋体" w:hAnsi="宋体"/>
                <w:sz w:val="16"/>
                <w:lang w:eastAsia="zh-CN"/>
              </w:rPr>
              <w:t>—</w:t>
            </w:r>
            <w:r>
              <w:rPr>
                <w:rFonts w:ascii="宋体" w:hAnsi="宋体" w:eastAsia="宋体"/>
                <w:sz w:val="16"/>
              </w:rPr>
              <w:t>2023年工作总结及未来五年和2024年重点工作报告》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FB7B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9517D">
            <w:pPr>
              <w:jc w:val="center"/>
            </w:pPr>
            <w:r>
              <w:rPr>
                <w:rFonts w:ascii="宋体" w:hAnsi="宋体" w:eastAsia="宋体"/>
                <w:sz w:val="16"/>
              </w:rPr>
              <w:t>1091个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A4304">
            <w:pPr>
              <w:jc w:val="center"/>
            </w:pPr>
            <w:r>
              <w:rPr>
                <w:rFonts w:ascii="宋体" w:hAnsi="宋体" w:eastAsia="宋体"/>
                <w:sz w:val="16"/>
              </w:rPr>
              <w:t>100.09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30FBE">
            <w:pPr>
              <w:jc w:val="center"/>
            </w:pPr>
            <w:r>
              <w:rPr>
                <w:rFonts w:ascii="宋体" w:hAnsi="宋体" w:eastAsia="宋体"/>
                <w:sz w:val="16"/>
              </w:rPr>
              <w:t>30</w:t>
            </w:r>
          </w:p>
        </w:tc>
      </w:tr>
      <w:tr w14:paraId="20773B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E843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45C9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0D5C3">
            <w:pPr>
              <w:jc w:val="center"/>
            </w:pPr>
            <w:r>
              <w:rPr>
                <w:rFonts w:ascii="宋体" w:hAnsi="宋体" w:eastAsia="宋体"/>
                <w:sz w:val="16"/>
              </w:rPr>
              <w:t>电子保函服务单位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5E4B2">
            <w:pPr>
              <w:jc w:val="center"/>
            </w:pPr>
            <w:r>
              <w:rPr>
                <w:rFonts w:ascii="宋体" w:hAnsi="宋体" w:eastAsia="宋体"/>
                <w:sz w:val="16"/>
              </w:rPr>
              <w:t>&gt;=5个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09D09">
            <w:pPr>
              <w:jc w:val="center"/>
            </w:pPr>
            <w:r>
              <w:rPr>
                <w:rFonts w:ascii="宋体" w:hAnsi="宋体" w:eastAsia="宋体"/>
                <w:sz w:val="16"/>
              </w:rPr>
              <w:t>《喀什地区公共资源交易中心2023年工作总结》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D42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4134F">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699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05B9C">
            <w:pPr>
              <w:jc w:val="center"/>
            </w:pPr>
            <w:r>
              <w:rPr>
                <w:rFonts w:ascii="宋体" w:hAnsi="宋体" w:eastAsia="宋体"/>
                <w:sz w:val="16"/>
              </w:rPr>
              <w:t>10</w:t>
            </w:r>
          </w:p>
        </w:tc>
      </w:tr>
      <w:tr w14:paraId="318072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3A05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C381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3DCD6">
            <w:pPr>
              <w:jc w:val="center"/>
            </w:pPr>
            <w:r>
              <w:rPr>
                <w:rFonts w:ascii="宋体" w:hAnsi="宋体" w:eastAsia="宋体"/>
                <w:sz w:val="16"/>
              </w:rPr>
              <w:t>电子保函数量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C4646">
            <w:pPr>
              <w:jc w:val="center"/>
            </w:pPr>
            <w:r>
              <w:rPr>
                <w:rFonts w:ascii="宋体" w:hAnsi="宋体" w:eastAsia="宋体"/>
                <w:sz w:val="16"/>
              </w:rPr>
              <w:t>&gt;=32995个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59C56">
            <w:pPr>
              <w:jc w:val="center"/>
            </w:pPr>
            <w:r>
              <w:rPr>
                <w:rFonts w:ascii="宋体" w:hAnsi="宋体" w:eastAsia="宋体"/>
                <w:sz w:val="16"/>
              </w:rPr>
              <w:t>《喀什地区公共资源交易中心2023年工作总结》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664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FAF70">
            <w:pPr>
              <w:jc w:val="center"/>
            </w:pPr>
            <w:r>
              <w:rPr>
                <w:rFonts w:ascii="宋体" w:hAnsi="宋体" w:eastAsia="宋体"/>
                <w:sz w:val="16"/>
              </w:rPr>
              <w:t>32995个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1A0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7F419">
            <w:pPr>
              <w:jc w:val="center"/>
            </w:pPr>
            <w:r>
              <w:rPr>
                <w:rFonts w:ascii="宋体" w:hAnsi="宋体" w:eastAsia="宋体"/>
                <w:sz w:val="16"/>
              </w:rPr>
              <w:t>10</w:t>
            </w:r>
          </w:p>
        </w:tc>
      </w:tr>
      <w:tr w14:paraId="59C2ED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CB40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9633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4AEEE">
            <w:pPr>
              <w:jc w:val="center"/>
            </w:pPr>
            <w:r>
              <w:rPr>
                <w:rFonts w:ascii="宋体" w:hAnsi="宋体" w:eastAsia="宋体"/>
                <w:sz w:val="16"/>
              </w:rPr>
              <w:t>按时清退保证金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B4F2E">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4FD1D">
            <w:pPr>
              <w:jc w:val="center"/>
            </w:pPr>
            <w:r>
              <w:rPr>
                <w:rFonts w:ascii="宋体" w:hAnsi="宋体" w:eastAsia="宋体"/>
                <w:sz w:val="16"/>
              </w:rPr>
              <w:t>《三定方案》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046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F3F91">
            <w:pPr>
              <w:jc w:val="center"/>
            </w:pPr>
            <w:r>
              <w:rPr>
                <w:rFonts w:ascii="宋体" w:hAnsi="宋体" w:eastAsia="宋体"/>
                <w:sz w:val="16"/>
              </w:rPr>
              <w:t>99.12%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855FC">
            <w:pPr>
              <w:jc w:val="center"/>
            </w:pPr>
            <w:r>
              <w:rPr>
                <w:rFonts w:ascii="宋体" w:hAnsi="宋体" w:eastAsia="宋体"/>
                <w:sz w:val="16"/>
              </w:rPr>
              <w:t>100.12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6AD0D">
            <w:pPr>
              <w:jc w:val="center"/>
            </w:pPr>
            <w:r>
              <w:rPr>
                <w:rFonts w:ascii="宋体" w:hAnsi="宋体" w:eastAsia="宋体"/>
                <w:sz w:val="16"/>
              </w:rPr>
              <w:t>10</w:t>
            </w:r>
          </w:p>
        </w:tc>
      </w:tr>
    </w:tbl>
    <w:p w14:paraId="430DA7D8">
      <w:r>
        <w:br w:type="page"/>
      </w:r>
    </w:p>
    <w:tbl>
      <w:tblPr>
        <w:tblStyle w:val="9"/>
        <w:tblW w:w="0" w:type="auto"/>
        <w:tblInd w:w="0" w:type="dxa"/>
        <w:tblLayout w:type="autofit"/>
        <w:tblCellMar>
          <w:top w:w="0" w:type="dxa"/>
          <w:left w:w="108" w:type="dxa"/>
          <w:bottom w:w="0" w:type="dxa"/>
          <w:right w:w="108" w:type="dxa"/>
        </w:tblCellMar>
      </w:tblPr>
      <w:tblGrid>
        <w:gridCol w:w="630"/>
        <w:gridCol w:w="626"/>
        <w:gridCol w:w="626"/>
        <w:gridCol w:w="626"/>
        <w:gridCol w:w="776"/>
        <w:gridCol w:w="626"/>
        <w:gridCol w:w="696"/>
        <w:gridCol w:w="626"/>
        <w:gridCol w:w="626"/>
        <w:gridCol w:w="626"/>
        <w:gridCol w:w="696"/>
        <w:gridCol w:w="632"/>
        <w:gridCol w:w="618"/>
        <w:gridCol w:w="630"/>
      </w:tblGrid>
      <w:tr w14:paraId="6AE237AE">
        <w:tblPrEx>
          <w:tblCellMar>
            <w:top w:w="0" w:type="dxa"/>
            <w:left w:w="108" w:type="dxa"/>
            <w:bottom w:w="0" w:type="dxa"/>
            <w:right w:w="108" w:type="dxa"/>
          </w:tblCellMar>
        </w:tblPrEx>
        <w:tc>
          <w:tcPr>
            <w:tcW w:w="8848" w:type="dxa"/>
            <w:gridSpan w:val="14"/>
            <w:vAlign w:val="center"/>
          </w:tcPr>
          <w:p w14:paraId="284793FD">
            <w:pPr>
              <w:jc w:val="center"/>
            </w:pPr>
            <w:r>
              <w:rPr>
                <w:rFonts w:ascii="宋体" w:hAnsi="宋体" w:eastAsia="宋体"/>
                <w:sz w:val="24"/>
              </w:rPr>
              <w:t>项目支出绩效自评表</w:t>
            </w:r>
          </w:p>
        </w:tc>
      </w:tr>
      <w:tr w14:paraId="4FB805F6">
        <w:tblPrEx>
          <w:tblCellMar>
            <w:top w:w="0" w:type="dxa"/>
            <w:left w:w="108" w:type="dxa"/>
            <w:bottom w:w="0" w:type="dxa"/>
            <w:right w:w="108" w:type="dxa"/>
          </w:tblCellMar>
        </w:tblPrEx>
        <w:tc>
          <w:tcPr>
            <w:tcW w:w="8848" w:type="dxa"/>
            <w:gridSpan w:val="14"/>
            <w:vAlign w:val="center"/>
          </w:tcPr>
          <w:p w14:paraId="5C0F8B68">
            <w:pPr>
              <w:jc w:val="center"/>
            </w:pPr>
            <w:r>
              <w:rPr>
                <w:rFonts w:ascii="宋体" w:hAnsi="宋体" w:eastAsia="宋体"/>
                <w:sz w:val="24"/>
              </w:rPr>
              <w:t>(2024年度)</w:t>
            </w:r>
          </w:p>
        </w:tc>
      </w:tr>
      <w:tr w14:paraId="271260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E5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6528C8">
            <w:pPr>
              <w:jc w:val="center"/>
            </w:pPr>
            <w:r>
              <w:rPr>
                <w:rFonts w:ascii="宋体" w:hAnsi="宋体" w:eastAsia="宋体"/>
                <w:sz w:val="16"/>
              </w:rPr>
              <w:t>交易中心业务保障项目</w:t>
            </w:r>
          </w:p>
        </w:tc>
      </w:tr>
      <w:tr w14:paraId="2C9734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5C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DC0425">
            <w:pPr>
              <w:jc w:val="center"/>
            </w:pPr>
            <w:r>
              <w:rPr>
                <w:rFonts w:ascii="宋体" w:hAnsi="宋体" w:eastAsia="宋体"/>
                <w:sz w:val="16"/>
              </w:rPr>
              <w:t>喀什地区行政公署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D5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FBB5EE">
            <w:pPr>
              <w:jc w:val="center"/>
            </w:pPr>
            <w:r>
              <w:rPr>
                <w:rFonts w:ascii="宋体" w:hAnsi="宋体" w:eastAsia="宋体"/>
                <w:sz w:val="16"/>
              </w:rPr>
              <w:t>喀什地区公共资源交易中心</w:t>
            </w:r>
          </w:p>
        </w:tc>
      </w:tr>
      <w:tr w14:paraId="213DF7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1BCF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6B0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F54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431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061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677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305B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B55F">
            <w:pPr>
              <w:jc w:val="center"/>
            </w:pPr>
            <w:r>
              <w:rPr>
                <w:rFonts w:ascii="宋体" w:hAnsi="宋体" w:eastAsia="宋体"/>
                <w:sz w:val="16"/>
              </w:rPr>
              <w:t>得分</w:t>
            </w:r>
          </w:p>
        </w:tc>
      </w:tr>
      <w:tr w14:paraId="5FB32F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F04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8D56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95E71">
            <w:pPr>
              <w:jc w:val="center"/>
            </w:pPr>
            <w:r>
              <w:rPr>
                <w:rFonts w:ascii="宋体" w:hAnsi="宋体" w:eastAsia="宋体"/>
                <w:sz w:val="16"/>
              </w:rPr>
              <w:t>140.11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D4D88">
            <w:pPr>
              <w:jc w:val="center"/>
            </w:pPr>
            <w:r>
              <w:rPr>
                <w:rFonts w:ascii="宋体" w:hAnsi="宋体" w:eastAsia="宋体"/>
                <w:sz w:val="16"/>
              </w:rPr>
              <w:t>140.11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8E4C7">
            <w:pPr>
              <w:jc w:val="center"/>
            </w:pPr>
            <w:r>
              <w:rPr>
                <w:rFonts w:ascii="宋体" w:hAnsi="宋体" w:eastAsia="宋体"/>
                <w:sz w:val="16"/>
              </w:rPr>
              <w:t>113.91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F98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2104E">
            <w:pPr>
              <w:jc w:val="center"/>
            </w:pPr>
            <w:r>
              <w:rPr>
                <w:rFonts w:ascii="宋体" w:hAnsi="宋体" w:eastAsia="宋体"/>
                <w:sz w:val="16"/>
              </w:rPr>
              <w:t>81.3%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6A0B">
            <w:pPr>
              <w:jc w:val="center"/>
            </w:pPr>
            <w:r>
              <w:rPr>
                <w:rFonts w:ascii="宋体" w:hAnsi="宋体" w:eastAsia="宋体"/>
                <w:sz w:val="16"/>
              </w:rPr>
              <w:t>5.32分</w:t>
            </w:r>
          </w:p>
        </w:tc>
      </w:tr>
      <w:tr w14:paraId="69171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622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FBF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ABD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A12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560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B2E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0A3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874B">
            <w:pPr>
              <w:jc w:val="center"/>
            </w:pPr>
            <w:r>
              <w:rPr>
                <w:rFonts w:ascii="宋体" w:hAnsi="宋体" w:eastAsia="宋体"/>
                <w:sz w:val="16"/>
              </w:rPr>
              <w:t>—</w:t>
            </w:r>
          </w:p>
        </w:tc>
      </w:tr>
      <w:tr w14:paraId="2AE17B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F03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290C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E3A9B">
            <w:pPr>
              <w:jc w:val="center"/>
            </w:pPr>
            <w:r>
              <w:rPr>
                <w:rFonts w:ascii="宋体" w:hAnsi="宋体" w:eastAsia="宋体"/>
                <w:sz w:val="16"/>
              </w:rPr>
              <w:t>140.11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43453">
            <w:pPr>
              <w:jc w:val="center"/>
            </w:pPr>
            <w:r>
              <w:rPr>
                <w:rFonts w:ascii="宋体" w:hAnsi="宋体" w:eastAsia="宋体"/>
                <w:sz w:val="16"/>
              </w:rPr>
              <w:t>140.11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7A840">
            <w:pPr>
              <w:jc w:val="center"/>
            </w:pPr>
            <w:r>
              <w:rPr>
                <w:rFonts w:ascii="宋体" w:hAnsi="宋体" w:eastAsia="宋体"/>
                <w:sz w:val="16"/>
              </w:rPr>
              <w:t>113.91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65E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B9D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351F">
            <w:pPr>
              <w:jc w:val="center"/>
            </w:pPr>
            <w:r>
              <w:rPr>
                <w:rFonts w:ascii="宋体" w:hAnsi="宋体" w:eastAsia="宋体"/>
                <w:sz w:val="16"/>
              </w:rPr>
              <w:t>—</w:t>
            </w:r>
          </w:p>
        </w:tc>
      </w:tr>
      <w:tr w14:paraId="751F92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F6F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3C100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4E7205">
            <w:pPr>
              <w:jc w:val="center"/>
            </w:pPr>
            <w:r>
              <w:rPr>
                <w:rFonts w:ascii="宋体" w:hAnsi="宋体" w:eastAsia="宋体"/>
                <w:sz w:val="16"/>
              </w:rPr>
              <w:t>实际完成情况</w:t>
            </w:r>
          </w:p>
        </w:tc>
      </w:tr>
      <w:tr w14:paraId="76830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51A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54287A">
            <w:pPr>
              <w:jc w:val="both"/>
            </w:pPr>
            <w:r>
              <w:rPr>
                <w:rFonts w:ascii="宋体" w:hAnsi="宋体" w:eastAsia="宋体"/>
                <w:sz w:val="16"/>
              </w:rPr>
              <w:t>保障我单位2024年基本运转，确保房屋租赁费用、日常办公耗材等费用按序时进度进行支出，全面推进工作开展，提高员工的积极性，依法依规完成年度收入预算目标，进一步优化营商环境。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DA0CAE">
            <w:pPr>
              <w:jc w:val="both"/>
            </w:pPr>
            <w:r>
              <w:rPr>
                <w:rFonts w:ascii="宋体" w:hAnsi="宋体" w:eastAsia="宋体"/>
                <w:sz w:val="16"/>
              </w:rPr>
              <w:t>保障本单位各项招投标业务的顺利开展，按时发放政府采购项目专家评审费，</w:t>
            </w:r>
            <w:bookmarkStart w:id="0" w:name="_GoBack"/>
            <w:r>
              <w:rPr>
                <w:rFonts w:ascii="宋体" w:hAnsi="宋体" w:eastAsia="宋体"/>
                <w:sz w:val="16"/>
              </w:rPr>
              <w:t>支付中心</w:t>
            </w:r>
            <w:bookmarkEnd w:id="0"/>
            <w:r>
              <w:rPr>
                <w:rFonts w:ascii="宋体" w:hAnsi="宋体" w:eastAsia="宋体"/>
                <w:sz w:val="16"/>
              </w:rPr>
              <w:t>办公用房租赁费及物业费，购买日常办公耗材，不断提升业务保障水平。</w:t>
            </w:r>
          </w:p>
        </w:tc>
      </w:tr>
      <w:tr w14:paraId="377AF9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CEDE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7C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DE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81C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6F8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2E6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4A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48B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4CA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349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66DE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61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4C2D3">
            <w:pPr>
              <w:jc w:val="center"/>
            </w:pPr>
            <w:r>
              <w:rPr>
                <w:rFonts w:ascii="宋体" w:hAnsi="宋体" w:eastAsia="宋体"/>
                <w:sz w:val="16"/>
              </w:rPr>
              <w:t>偏差原因分析及改进措施</w:t>
            </w:r>
          </w:p>
        </w:tc>
      </w:tr>
      <w:tr w14:paraId="287898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8DB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EF2D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055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B240">
            <w:pPr>
              <w:jc w:val="center"/>
            </w:pPr>
            <w:r>
              <w:rPr>
                <w:rFonts w:ascii="宋体" w:hAnsi="宋体" w:eastAsia="宋体"/>
                <w:sz w:val="16"/>
              </w:rPr>
              <w:t>办公用房租赁面积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2B61">
            <w:pPr>
              <w:jc w:val="center"/>
            </w:pPr>
            <w:r>
              <w:rPr>
                <w:rFonts w:ascii="宋体" w:hAnsi="宋体" w:eastAsia="宋体"/>
                <w:sz w:val="16"/>
              </w:rPr>
              <w:t>&gt;=9233平方米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50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57FE">
            <w:pPr>
              <w:jc w:val="center"/>
            </w:pPr>
            <w:r>
              <w:rPr>
                <w:rFonts w:ascii="宋体" w:hAnsi="宋体" w:eastAsia="宋体"/>
                <w:sz w:val="16"/>
              </w:rPr>
              <w:t>=9233平方米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F33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90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51C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96BDA">
            <w:pPr>
              <w:jc w:val="center"/>
            </w:pPr>
            <w:r>
              <w:rPr>
                <w:rFonts w:ascii="宋体" w:hAnsi="宋体" w:eastAsia="宋体"/>
                <w:sz w:val="16"/>
              </w:rPr>
              <w:t>=9233平方米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661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72526">
            <w:pPr>
              <w:jc w:val="center"/>
            </w:pPr>
          </w:p>
        </w:tc>
      </w:tr>
      <w:tr w14:paraId="53AC5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975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6C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DB3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2FF7">
            <w:pPr>
              <w:jc w:val="center"/>
            </w:pPr>
            <w:r>
              <w:rPr>
                <w:rFonts w:ascii="宋体" w:hAnsi="宋体" w:eastAsia="宋体"/>
                <w:sz w:val="16"/>
              </w:rPr>
              <w:t>在职人员数量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DD72">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6D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A582">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F1C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44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35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8DFE">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F0C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C06B0">
            <w:pPr>
              <w:jc w:val="center"/>
            </w:pPr>
          </w:p>
        </w:tc>
      </w:tr>
      <w:tr w14:paraId="215E03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483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F8F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9B3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B9764">
            <w:pPr>
              <w:jc w:val="center"/>
            </w:pPr>
            <w:r>
              <w:rPr>
                <w:rFonts w:ascii="宋体" w:hAnsi="宋体" w:eastAsia="宋体"/>
                <w:sz w:val="16"/>
              </w:rPr>
              <w:t>采购办公耗材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5EB5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3A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60D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E841">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42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4E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145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D870">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2570D">
            <w:pPr>
              <w:jc w:val="center"/>
            </w:pPr>
          </w:p>
        </w:tc>
      </w:tr>
      <w:tr w14:paraId="7DEBBE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343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6D9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E0D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C67D">
            <w:pPr>
              <w:jc w:val="center"/>
            </w:pPr>
            <w:r>
              <w:rPr>
                <w:rFonts w:ascii="宋体" w:hAnsi="宋体" w:eastAsia="宋体"/>
                <w:sz w:val="16"/>
              </w:rPr>
              <w:t>采购耗材验收合格率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4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65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A44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7F4C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E7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DF5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5F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869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B3218">
            <w:pPr>
              <w:jc w:val="center"/>
            </w:pPr>
          </w:p>
        </w:tc>
      </w:tr>
      <w:tr w14:paraId="1C7E4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D35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241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D2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225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C75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32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F0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0F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47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33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67FD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D6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E7847">
            <w:pPr>
              <w:jc w:val="center"/>
            </w:pPr>
          </w:p>
        </w:tc>
      </w:tr>
      <w:tr w14:paraId="1B2674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18D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CFF5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9A9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3FEB">
            <w:pPr>
              <w:jc w:val="center"/>
            </w:pPr>
            <w:r>
              <w:rPr>
                <w:rFonts w:ascii="宋体" w:hAnsi="宋体" w:eastAsia="宋体"/>
                <w:sz w:val="16"/>
              </w:rPr>
              <w:t>日常办公成本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E315">
            <w:pPr>
              <w:jc w:val="center"/>
            </w:pPr>
            <w:r>
              <w:rPr>
                <w:rFonts w:ascii="宋体" w:hAnsi="宋体" w:eastAsia="宋体"/>
                <w:sz w:val="16"/>
              </w:rPr>
              <w:t>&lt;=30.5万元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62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1ABB">
            <w:pPr>
              <w:jc w:val="center"/>
            </w:pPr>
            <w:r>
              <w:rPr>
                <w:rFonts w:ascii="宋体" w:hAnsi="宋体" w:eastAsia="宋体"/>
                <w:sz w:val="16"/>
              </w:rPr>
              <w:t>=17.67万元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4F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248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2F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52BD">
            <w:pPr>
              <w:jc w:val="center"/>
            </w:pPr>
            <w:r>
              <w:rPr>
                <w:rFonts w:ascii="宋体" w:hAnsi="宋体" w:eastAsia="宋体"/>
                <w:sz w:val="16"/>
              </w:rPr>
              <w:t>=21.92万元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EB624">
            <w:pPr>
              <w:jc w:val="center"/>
            </w:pPr>
            <w:r>
              <w:rPr>
                <w:rFonts w:ascii="宋体" w:hAnsi="宋体" w:eastAsia="宋体"/>
                <w:sz w:val="16"/>
              </w:rPr>
              <w:t>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C54C3">
            <w:pPr>
              <w:jc w:val="center"/>
            </w:pPr>
            <w:r>
              <w:rPr>
                <w:rFonts w:ascii="宋体" w:hAnsi="宋体" w:eastAsia="宋体"/>
                <w:sz w:val="16"/>
              </w:rPr>
              <w:t>偏差原因：日常办公成本包括中心水电费、办公费以及印刷费，办公设备购置费等，中心根据实际情况进行支出，故有指标未使用完毕。改进措施：明年将进一步细化预算支出，未使用完毕的资金指标已收回财政。</w:t>
            </w:r>
          </w:p>
        </w:tc>
      </w:tr>
      <w:tr w14:paraId="235240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9B2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E1F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E7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21B1">
            <w:pPr>
              <w:jc w:val="center"/>
            </w:pPr>
            <w:r>
              <w:rPr>
                <w:rFonts w:ascii="宋体" w:hAnsi="宋体" w:eastAsia="宋体"/>
                <w:sz w:val="16"/>
              </w:rPr>
              <w:t>水电暖维修及物业成本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D259">
            <w:pPr>
              <w:jc w:val="center"/>
            </w:pPr>
            <w:r>
              <w:rPr>
                <w:rFonts w:ascii="宋体" w:hAnsi="宋体" w:eastAsia="宋体"/>
                <w:sz w:val="16"/>
              </w:rPr>
              <w:t>&lt;=31.08万元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6C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A7EE">
            <w:pPr>
              <w:jc w:val="center"/>
            </w:pPr>
            <w:r>
              <w:rPr>
                <w:rFonts w:ascii="宋体" w:hAnsi="宋体" w:eastAsia="宋体"/>
                <w:sz w:val="16"/>
              </w:rPr>
              <w:t>=30.65万元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5E8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50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0D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EB4B">
            <w:pPr>
              <w:jc w:val="center"/>
            </w:pPr>
            <w:r>
              <w:rPr>
                <w:rFonts w:ascii="宋体" w:hAnsi="宋体" w:eastAsia="宋体"/>
                <w:sz w:val="16"/>
              </w:rPr>
              <w:t>=29.36万元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50EB">
            <w:pPr>
              <w:jc w:val="center"/>
            </w:pPr>
            <w:r>
              <w:rPr>
                <w:rFonts w:ascii="宋体" w:hAnsi="宋体" w:eastAsia="宋体"/>
                <w:sz w:val="16"/>
              </w:rPr>
              <w:t>4.31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B36DA">
            <w:pPr>
              <w:jc w:val="center"/>
            </w:pPr>
            <w:r>
              <w:rPr>
                <w:rFonts w:ascii="宋体" w:hAnsi="宋体" w:eastAsia="宋体"/>
                <w:sz w:val="16"/>
              </w:rPr>
              <w:t>偏差原因：中心根据实际情况进行维修维护支出，剩余1.7万元，物业管理费已支出完毕。改进措施：明年将进一步细化预算支出，未使用完毕的资金指标已收回财政。</w:t>
            </w:r>
          </w:p>
        </w:tc>
      </w:tr>
      <w:tr w14:paraId="2F5D3D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399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213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FBE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3400">
            <w:pPr>
              <w:jc w:val="center"/>
            </w:pPr>
            <w:r>
              <w:rPr>
                <w:rFonts w:ascii="宋体" w:hAnsi="宋体" w:eastAsia="宋体"/>
                <w:sz w:val="16"/>
              </w:rPr>
              <w:t>办公用房租赁成本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A9A9">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8D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402F6">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58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44A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57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6A59">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8B7A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88445">
            <w:pPr>
              <w:jc w:val="center"/>
            </w:pPr>
          </w:p>
        </w:tc>
      </w:tr>
      <w:tr w14:paraId="3A5A73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C30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B80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926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7832">
            <w:pPr>
              <w:jc w:val="center"/>
            </w:pPr>
            <w:r>
              <w:rPr>
                <w:rFonts w:ascii="宋体" w:hAnsi="宋体" w:eastAsia="宋体"/>
                <w:sz w:val="16"/>
              </w:rPr>
              <w:t>其他费用成本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E47B">
            <w:pPr>
              <w:jc w:val="center"/>
            </w:pPr>
            <w:r>
              <w:rPr>
                <w:rFonts w:ascii="宋体" w:hAnsi="宋体" w:eastAsia="宋体"/>
                <w:sz w:val="16"/>
              </w:rPr>
              <w:t>&lt;=33.74万元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3B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15E9">
            <w:pPr>
              <w:jc w:val="center"/>
            </w:pPr>
            <w:r>
              <w:rPr>
                <w:rFonts w:ascii="宋体" w:hAnsi="宋体" w:eastAsia="宋体"/>
                <w:sz w:val="16"/>
              </w:rPr>
              <w:t>=26.81万元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C0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92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5B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E39A">
            <w:pPr>
              <w:jc w:val="center"/>
            </w:pPr>
            <w:r>
              <w:rPr>
                <w:rFonts w:ascii="宋体" w:hAnsi="宋体" w:eastAsia="宋体"/>
                <w:sz w:val="16"/>
              </w:rPr>
              <w:t>=32.63万元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F6EE">
            <w:pPr>
              <w:jc w:val="center"/>
            </w:pPr>
            <w:r>
              <w:rPr>
                <w:rFonts w:ascii="宋体" w:hAnsi="宋体" w:eastAsia="宋体"/>
                <w:sz w:val="16"/>
              </w:rPr>
              <w:t>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FA48D">
            <w:pPr>
              <w:jc w:val="center"/>
            </w:pPr>
            <w:r>
              <w:rPr>
                <w:rFonts w:ascii="宋体" w:hAnsi="宋体" w:eastAsia="宋体"/>
                <w:sz w:val="16"/>
              </w:rPr>
              <w:t>偏差原因：其他费用成本包括劳务费，其他商品和服务支出，其他交通费用，由于我单位今年租赁车为电车，预算支出有车辆燃油费，但因电车只用充电，故其他交通费用剩余9900元。改进措施：明年将进一步细化预算支出，未使用完毕的资金指标已收回财政。</w:t>
            </w:r>
          </w:p>
        </w:tc>
      </w:tr>
      <w:tr w14:paraId="58FB3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D3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9729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E3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35FEA">
            <w:pPr>
              <w:jc w:val="center"/>
            </w:pPr>
            <w:r>
              <w:rPr>
                <w:rFonts w:ascii="宋体" w:hAnsi="宋体" w:eastAsia="宋体"/>
                <w:sz w:val="16"/>
              </w:rPr>
              <w:t>年服务各类招投标项目个数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5576">
            <w:pPr>
              <w:jc w:val="center"/>
            </w:pPr>
            <w:r>
              <w:rPr>
                <w:rFonts w:ascii="宋体" w:hAnsi="宋体" w:eastAsia="宋体"/>
                <w:sz w:val="16"/>
              </w:rPr>
              <w:t>&gt;=1200个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42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BFDB">
            <w:pPr>
              <w:jc w:val="center"/>
            </w:pPr>
            <w:r>
              <w:rPr>
                <w:rFonts w:ascii="宋体" w:hAnsi="宋体" w:eastAsia="宋体"/>
                <w:sz w:val="16"/>
              </w:rPr>
              <w:t>=900个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EA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348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06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C67F">
            <w:pPr>
              <w:jc w:val="center"/>
            </w:pPr>
            <w:r>
              <w:rPr>
                <w:rFonts w:ascii="宋体" w:hAnsi="宋体" w:eastAsia="宋体"/>
                <w:sz w:val="16"/>
              </w:rPr>
              <w:t>=1091个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43F8">
            <w:pPr>
              <w:jc w:val="center"/>
            </w:pPr>
            <w:r>
              <w:rPr>
                <w:rFonts w:ascii="宋体" w:hAnsi="宋体" w:eastAsia="宋体"/>
                <w:sz w:val="16"/>
              </w:rPr>
              <w:t>15.46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CB508">
            <w:pPr>
              <w:jc w:val="center"/>
            </w:pPr>
            <w:r>
              <w:rPr>
                <w:rFonts w:ascii="宋体" w:hAnsi="宋体" w:eastAsia="宋体"/>
                <w:sz w:val="16"/>
              </w:rPr>
              <w:t>偏差原因：中心工程建设项目949个，地区本级政府采购集采项目142批次。改进措施：更加精准细化年服务各类招投标项目数。</w:t>
            </w:r>
          </w:p>
        </w:tc>
      </w:tr>
      <w:tr w14:paraId="6A3A9F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1FF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2A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31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DA9E">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B7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2B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21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54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9D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0D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8F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60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743E6">
            <w:pPr>
              <w:jc w:val="center"/>
            </w:pPr>
          </w:p>
        </w:tc>
      </w:tr>
      <w:tr w14:paraId="4E4980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45A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CF0E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E2B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4EC43D">
            <w:pPr>
              <w:jc w:val="center"/>
            </w:pPr>
            <w:r>
              <w:rPr>
                <w:rFonts w:ascii="宋体" w:hAnsi="宋体" w:eastAsia="宋体"/>
                <w:sz w:val="16"/>
              </w:rPr>
              <w:t>86.17分</w:t>
            </w:r>
          </w:p>
        </w:tc>
      </w:tr>
    </w:tbl>
    <w:p w14:paraId="041E19ED">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19"/>
        <w:gridCol w:w="856"/>
        <w:gridCol w:w="598"/>
        <w:gridCol w:w="776"/>
        <w:gridCol w:w="598"/>
        <w:gridCol w:w="598"/>
        <w:gridCol w:w="598"/>
        <w:gridCol w:w="776"/>
        <w:gridCol w:w="627"/>
        <w:gridCol w:w="567"/>
        <w:gridCol w:w="632"/>
      </w:tblGrid>
      <w:tr w14:paraId="04436E64">
        <w:tblPrEx>
          <w:tblCellMar>
            <w:top w:w="0" w:type="dxa"/>
            <w:left w:w="108" w:type="dxa"/>
            <w:bottom w:w="0" w:type="dxa"/>
            <w:right w:w="108" w:type="dxa"/>
          </w:tblCellMar>
        </w:tblPrEx>
        <w:tc>
          <w:tcPr>
            <w:tcW w:w="8848" w:type="dxa"/>
            <w:gridSpan w:val="14"/>
            <w:vAlign w:val="center"/>
          </w:tcPr>
          <w:p w14:paraId="2793CD94">
            <w:pPr>
              <w:jc w:val="center"/>
            </w:pPr>
            <w:r>
              <w:rPr>
                <w:rFonts w:ascii="宋体" w:hAnsi="宋体" w:eastAsia="宋体"/>
                <w:sz w:val="24"/>
              </w:rPr>
              <w:t>项目支出绩效自评表</w:t>
            </w:r>
          </w:p>
        </w:tc>
      </w:tr>
      <w:tr w14:paraId="2F63AA51">
        <w:tc>
          <w:tcPr>
            <w:tcW w:w="8848" w:type="dxa"/>
            <w:gridSpan w:val="14"/>
            <w:vAlign w:val="center"/>
          </w:tcPr>
          <w:p w14:paraId="406F9AC1">
            <w:pPr>
              <w:jc w:val="center"/>
            </w:pPr>
            <w:r>
              <w:rPr>
                <w:rFonts w:ascii="宋体" w:hAnsi="宋体" w:eastAsia="宋体"/>
                <w:sz w:val="24"/>
              </w:rPr>
              <w:t>(2024年度)</w:t>
            </w:r>
          </w:p>
        </w:tc>
      </w:tr>
      <w:tr w14:paraId="66CF008A">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BF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8CC1B3">
            <w:pPr>
              <w:jc w:val="center"/>
            </w:pPr>
            <w:r>
              <w:rPr>
                <w:rFonts w:ascii="宋体" w:hAnsi="宋体" w:eastAsia="宋体"/>
                <w:sz w:val="16"/>
              </w:rPr>
              <w:t>信息化设施运营维护项目</w:t>
            </w:r>
          </w:p>
        </w:tc>
      </w:tr>
      <w:tr w14:paraId="2DDD5A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FE8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3D9E15">
            <w:pPr>
              <w:jc w:val="center"/>
            </w:pPr>
            <w:r>
              <w:rPr>
                <w:rFonts w:ascii="宋体" w:hAnsi="宋体" w:eastAsia="宋体"/>
                <w:sz w:val="16"/>
              </w:rPr>
              <w:t>喀什地区行政公署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201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B8921D">
            <w:pPr>
              <w:jc w:val="center"/>
            </w:pPr>
            <w:r>
              <w:rPr>
                <w:rFonts w:ascii="宋体" w:hAnsi="宋体" w:eastAsia="宋体"/>
                <w:sz w:val="16"/>
              </w:rPr>
              <w:t>喀什地区公共资源交易中心</w:t>
            </w:r>
          </w:p>
        </w:tc>
      </w:tr>
      <w:tr w14:paraId="322B7A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517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106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FC2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AEA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481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5B0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B87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8B562">
            <w:pPr>
              <w:jc w:val="center"/>
            </w:pPr>
            <w:r>
              <w:rPr>
                <w:rFonts w:ascii="宋体" w:hAnsi="宋体" w:eastAsia="宋体"/>
                <w:sz w:val="16"/>
              </w:rPr>
              <w:t>得分</w:t>
            </w:r>
          </w:p>
        </w:tc>
      </w:tr>
      <w:tr w14:paraId="253E0D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923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470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6D227">
            <w:pPr>
              <w:jc w:val="center"/>
            </w:pPr>
            <w:r>
              <w:rPr>
                <w:rFonts w:ascii="宋体" w:hAnsi="宋体" w:eastAsia="宋体"/>
                <w:sz w:val="16"/>
              </w:rPr>
              <w:t>387.67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B89FE">
            <w:pPr>
              <w:jc w:val="center"/>
            </w:pPr>
            <w:r>
              <w:rPr>
                <w:rFonts w:ascii="宋体" w:hAnsi="宋体" w:eastAsia="宋体"/>
                <w:sz w:val="16"/>
              </w:rPr>
              <w:t>387.67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6BFAB">
            <w:pPr>
              <w:jc w:val="center"/>
            </w:pPr>
            <w:r>
              <w:rPr>
                <w:rFonts w:ascii="宋体" w:hAnsi="宋体" w:eastAsia="宋体"/>
                <w:sz w:val="16"/>
              </w:rPr>
              <w:t>230.91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E80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AC8E0">
            <w:pPr>
              <w:jc w:val="center"/>
            </w:pPr>
            <w:r>
              <w:rPr>
                <w:rFonts w:ascii="宋体" w:hAnsi="宋体" w:eastAsia="宋体"/>
                <w:sz w:val="16"/>
              </w:rPr>
              <w:t>59.6%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FC00">
            <w:pPr>
              <w:jc w:val="center"/>
            </w:pPr>
            <w:r>
              <w:rPr>
                <w:rFonts w:ascii="宋体" w:hAnsi="宋体" w:eastAsia="宋体"/>
                <w:sz w:val="16"/>
              </w:rPr>
              <w:t>0.00分</w:t>
            </w:r>
          </w:p>
        </w:tc>
      </w:tr>
      <w:tr w14:paraId="557BC0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7D0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8B4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800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7ED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CCB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082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691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F180">
            <w:pPr>
              <w:jc w:val="center"/>
            </w:pPr>
            <w:r>
              <w:rPr>
                <w:rFonts w:ascii="宋体" w:hAnsi="宋体" w:eastAsia="宋体"/>
                <w:sz w:val="16"/>
              </w:rPr>
              <w:t>—</w:t>
            </w:r>
          </w:p>
        </w:tc>
      </w:tr>
      <w:tr w14:paraId="2A4188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204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B8B6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32AE0">
            <w:pPr>
              <w:jc w:val="center"/>
            </w:pPr>
            <w:r>
              <w:rPr>
                <w:rFonts w:ascii="宋体" w:hAnsi="宋体" w:eastAsia="宋体"/>
                <w:sz w:val="16"/>
              </w:rPr>
              <w:t>387.67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E304F">
            <w:pPr>
              <w:jc w:val="center"/>
            </w:pPr>
            <w:r>
              <w:rPr>
                <w:rFonts w:ascii="宋体" w:hAnsi="宋体" w:eastAsia="宋体"/>
                <w:sz w:val="16"/>
              </w:rPr>
              <w:t>387.67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A191C">
            <w:pPr>
              <w:jc w:val="center"/>
            </w:pPr>
            <w:r>
              <w:rPr>
                <w:rFonts w:ascii="宋体" w:hAnsi="宋体" w:eastAsia="宋体"/>
                <w:sz w:val="16"/>
              </w:rPr>
              <w:t>230.91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368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7D1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FDD5">
            <w:pPr>
              <w:jc w:val="center"/>
            </w:pPr>
            <w:r>
              <w:rPr>
                <w:rFonts w:ascii="宋体" w:hAnsi="宋体" w:eastAsia="宋体"/>
                <w:sz w:val="16"/>
              </w:rPr>
              <w:t>—</w:t>
            </w:r>
          </w:p>
        </w:tc>
      </w:tr>
      <w:tr w14:paraId="277B82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CB25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CE3A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EEAFF9">
            <w:pPr>
              <w:jc w:val="center"/>
            </w:pPr>
            <w:r>
              <w:rPr>
                <w:rFonts w:ascii="宋体" w:hAnsi="宋体" w:eastAsia="宋体"/>
                <w:sz w:val="16"/>
              </w:rPr>
              <w:t>实际完成情况</w:t>
            </w:r>
          </w:p>
        </w:tc>
      </w:tr>
      <w:tr w14:paraId="4677A7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FA3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5AF144">
            <w:pPr>
              <w:jc w:val="both"/>
            </w:pPr>
            <w:r>
              <w:rPr>
                <w:rFonts w:ascii="宋体" w:hAnsi="宋体" w:eastAsia="宋体"/>
                <w:sz w:val="16"/>
              </w:rPr>
              <w:t>中心今年计划进一步完善喀什地区公共资源交易中心电子招投标性能完整性，切实规范交易平台任务，保障年收入2000万元的完成，并在统一的平台体系上实现信息和资源共享，形成规则统一、公开透明、服务高效、监督规范的公共资源交易平台体系，基本实现“公共资源交易全过程电子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B112DA">
            <w:pPr>
              <w:jc w:val="both"/>
            </w:pPr>
            <w:r>
              <w:rPr>
                <w:rFonts w:ascii="宋体" w:hAnsi="宋体" w:eastAsia="宋体"/>
                <w:sz w:val="16"/>
              </w:rPr>
              <w:t>中心从服务职能定位出发，全面落实《自治区公共资源交易目录》，已建设完成工程建设领域、国有土地出让、产权交易和矿业权转让“线上交易平台”，替代电子保函41387次，替代保证金92.19亿元，替代率79.0%，收缴场地费4063.82万元,基本实现房建、市政、水利、农业、交通项目施工、监理、总承包、勘察、设计和国有土地出让“电子化”交易。</w:t>
            </w:r>
          </w:p>
        </w:tc>
      </w:tr>
      <w:tr w14:paraId="00F8B9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FF7E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19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1C11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F2B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D6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5F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AE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C48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21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A2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D1A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565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9DB66">
            <w:pPr>
              <w:jc w:val="center"/>
            </w:pPr>
            <w:r>
              <w:rPr>
                <w:rFonts w:ascii="宋体" w:hAnsi="宋体" w:eastAsia="宋体"/>
                <w:sz w:val="16"/>
              </w:rPr>
              <w:t>偏差原因分析及改进措施</w:t>
            </w:r>
          </w:p>
        </w:tc>
      </w:tr>
      <w:tr w14:paraId="5C9024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4DC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7A27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0063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C2DC">
            <w:pPr>
              <w:jc w:val="center"/>
            </w:pPr>
            <w:r>
              <w:rPr>
                <w:rFonts w:ascii="宋体" w:hAnsi="宋体" w:eastAsia="宋体"/>
                <w:sz w:val="16"/>
              </w:rPr>
              <w:t>专线租赁及千兆网络租赁数量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3704">
            <w:pPr>
              <w:jc w:val="center"/>
            </w:pPr>
            <w:r>
              <w:rPr>
                <w:rFonts w:ascii="宋体" w:hAnsi="宋体" w:eastAsia="宋体"/>
                <w:sz w:val="16"/>
              </w:rPr>
              <w:t>&gt;=5条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06A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7E7E8">
            <w:pPr>
              <w:jc w:val="center"/>
            </w:pPr>
            <w:r>
              <w:rPr>
                <w:rFonts w:ascii="宋体" w:hAnsi="宋体" w:eastAsia="宋体"/>
                <w:sz w:val="16"/>
              </w:rPr>
              <w: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3F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B3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7C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2DE83">
            <w:pPr>
              <w:jc w:val="center"/>
            </w:pPr>
            <w:r>
              <w:rPr>
                <w:rFonts w:ascii="宋体" w:hAnsi="宋体" w:eastAsia="宋体"/>
                <w:sz w:val="16"/>
              </w:rPr>
              <w: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539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A20EF">
            <w:pPr>
              <w:jc w:val="center"/>
            </w:pPr>
          </w:p>
        </w:tc>
      </w:tr>
      <w:tr w14:paraId="31C605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D1D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900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89D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1729E">
            <w:pPr>
              <w:jc w:val="center"/>
            </w:pPr>
            <w:r>
              <w:rPr>
                <w:rFonts w:ascii="宋体" w:hAnsi="宋体" w:eastAsia="宋体"/>
                <w:sz w:val="16"/>
              </w:rPr>
              <w:t>平台专业维护服务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431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17A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AF9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5D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C8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3C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1E8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938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7DA22">
            <w:pPr>
              <w:jc w:val="center"/>
            </w:pPr>
          </w:p>
        </w:tc>
      </w:tr>
      <w:tr w14:paraId="70EB8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034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282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F22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8B67">
            <w:pPr>
              <w:jc w:val="center"/>
            </w:pPr>
            <w:r>
              <w:rPr>
                <w:rFonts w:ascii="宋体" w:hAnsi="宋体" w:eastAsia="宋体"/>
                <w:sz w:val="16"/>
              </w:rPr>
              <w:t>不见面询标系统设备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D8E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37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C05B">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47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BDB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B3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0B4A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92F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81D67">
            <w:pPr>
              <w:jc w:val="center"/>
            </w:pPr>
          </w:p>
        </w:tc>
      </w:tr>
      <w:tr w14:paraId="43794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F34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BDA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69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D379">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5CB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283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DB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5CC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83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FC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F2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3CE1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8073E">
            <w:pPr>
              <w:jc w:val="center"/>
            </w:pPr>
          </w:p>
        </w:tc>
      </w:tr>
      <w:tr w14:paraId="2F11B6B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DC3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B8F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4A2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E90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82E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A9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A7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257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5F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DE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11DD">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5B8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3DB68">
            <w:pPr>
              <w:jc w:val="center"/>
            </w:pPr>
          </w:p>
        </w:tc>
      </w:tr>
      <w:tr w14:paraId="6285060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D71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C89A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F30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8095">
            <w:pPr>
              <w:jc w:val="center"/>
            </w:pPr>
            <w:r>
              <w:rPr>
                <w:rFonts w:ascii="宋体" w:hAnsi="宋体" w:eastAsia="宋体"/>
                <w:sz w:val="16"/>
              </w:rPr>
              <w:t>专线及云主机租赁成本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D709">
            <w:pPr>
              <w:jc w:val="center"/>
            </w:pPr>
            <w:r>
              <w:rPr>
                <w:rFonts w:ascii="宋体" w:hAnsi="宋体" w:eastAsia="宋体"/>
                <w:sz w:val="16"/>
              </w:rPr>
              <w:t>&lt;=79.33万元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A1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1EC4">
            <w:pPr>
              <w:jc w:val="center"/>
            </w:pPr>
            <w:r>
              <w:rPr>
                <w:rFonts w:ascii="宋体" w:hAnsi="宋体" w:eastAsia="宋体"/>
                <w:sz w:val="16"/>
              </w:rPr>
              <w:t>=70.63万元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98F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C46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C4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B0B3">
            <w:pPr>
              <w:jc w:val="center"/>
            </w:pPr>
            <w:r>
              <w:rPr>
                <w:rFonts w:ascii="宋体" w:hAnsi="宋体" w:eastAsia="宋体"/>
                <w:sz w:val="16"/>
              </w:rPr>
              <w:t>=51.39万元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09CD">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0B618">
            <w:pPr>
              <w:jc w:val="center"/>
            </w:pPr>
            <w:r>
              <w:rPr>
                <w:rFonts w:ascii="宋体" w:hAnsi="宋体" w:eastAsia="宋体"/>
                <w:sz w:val="16"/>
              </w:rPr>
              <w:t>偏差原因：中心于今年6月进行数据迁移工作，根据实际情况，租赁移动公司5条专线，相关费用已支付完成，节约资金27.94万元。改进措施：专线费根据实际情况支付完成，剩余资金已收回指标。</w:t>
            </w:r>
          </w:p>
        </w:tc>
      </w:tr>
      <w:tr w14:paraId="53026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C2A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EA6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7EB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E9485">
            <w:pPr>
              <w:jc w:val="center"/>
            </w:pPr>
            <w:r>
              <w:rPr>
                <w:rFonts w:ascii="宋体" w:hAnsi="宋体" w:eastAsia="宋体"/>
                <w:sz w:val="16"/>
              </w:rPr>
              <w:t>平台专业维护服务成本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8ECE">
            <w:pPr>
              <w:jc w:val="center"/>
            </w:pPr>
            <w:r>
              <w:rPr>
                <w:rFonts w:ascii="宋体" w:hAnsi="宋体" w:eastAsia="宋体"/>
                <w:sz w:val="16"/>
              </w:rPr>
              <w:t>&lt;=173.42万元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F8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65DC">
            <w:pPr>
              <w:jc w:val="center"/>
            </w:pPr>
            <w:r>
              <w:rPr>
                <w:rFonts w:ascii="宋体" w:hAnsi="宋体" w:eastAsia="宋体"/>
                <w:sz w:val="16"/>
              </w:rPr>
              <w:t>=111.22万元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F7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FCB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4B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214A">
            <w:pPr>
              <w:jc w:val="center"/>
            </w:pPr>
            <w:r>
              <w:rPr>
                <w:rFonts w:ascii="宋体" w:hAnsi="宋体" w:eastAsia="宋体"/>
                <w:sz w:val="16"/>
              </w:rPr>
              <w:t>=122.67万元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896C">
            <w:pPr>
              <w:jc w:val="center"/>
            </w:pPr>
            <w:r>
              <w:rPr>
                <w:rFonts w:ascii="宋体" w:hAnsi="宋体" w:eastAsia="宋体"/>
                <w:sz w:val="16"/>
              </w:rPr>
              <w:t>2.15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B87FD">
            <w:pPr>
              <w:jc w:val="center"/>
            </w:pPr>
            <w:r>
              <w:rPr>
                <w:rFonts w:ascii="宋体" w:hAnsi="宋体" w:eastAsia="宋体"/>
                <w:sz w:val="16"/>
              </w:rPr>
              <w:t>偏差原因：根据《喀什地区公共资源交易平台运行维护项目合同》，服务期满后一个月内支付合同剩余的5%（5.825万元）尾款。”的内容条款，于2025年8月向国泰新点软件支付运维尾款5.825万元。改进措施：根据合同约定时间进行款项支付。</w:t>
            </w:r>
          </w:p>
        </w:tc>
      </w:tr>
      <w:tr w14:paraId="7F38E8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B5D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3D6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D4A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A9AF8">
            <w:pPr>
              <w:jc w:val="center"/>
            </w:pPr>
            <w:r>
              <w:rPr>
                <w:rFonts w:ascii="宋体" w:hAnsi="宋体" w:eastAsia="宋体"/>
                <w:sz w:val="16"/>
              </w:rPr>
              <w:t>场地智能化升级改造成本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9971">
            <w:pPr>
              <w:jc w:val="center"/>
            </w:pPr>
            <w:r>
              <w:rPr>
                <w:rFonts w:ascii="宋体" w:hAnsi="宋体" w:eastAsia="宋体"/>
                <w:sz w:val="16"/>
              </w:rPr>
              <w:t>&lt;=134.92万元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D4A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CA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56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C72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CA7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7EF5">
            <w:pPr>
              <w:jc w:val="center"/>
            </w:pPr>
            <w:r>
              <w:rPr>
                <w:rFonts w:ascii="宋体" w:hAnsi="宋体" w:eastAsia="宋体"/>
                <w:sz w:val="16"/>
              </w:rPr>
              <w:t>=56.85万元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F8D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99B32">
            <w:pPr>
              <w:jc w:val="center"/>
            </w:pPr>
            <w:r>
              <w:rPr>
                <w:rFonts w:ascii="宋体" w:hAnsi="宋体" w:eastAsia="宋体"/>
                <w:sz w:val="16"/>
              </w:rPr>
              <w:t>偏差原因：本单位交易见证科与国泰新点公司对接完成场地智能化升级改造工作，该成本只需56.85万元，节约资金78.07万元。。改进措施：2025年将更加细化预算，剩余资金指标已收回财政。</w:t>
            </w:r>
          </w:p>
        </w:tc>
      </w:tr>
      <w:tr w14:paraId="10E41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398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8641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711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B8650">
            <w:pPr>
              <w:jc w:val="center"/>
            </w:pPr>
            <w:r>
              <w:rPr>
                <w:rFonts w:ascii="宋体" w:hAnsi="宋体" w:eastAsia="宋体"/>
                <w:sz w:val="16"/>
              </w:rPr>
              <w:t>年场地及设施服务费收入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A243">
            <w:pPr>
              <w:jc w:val="center"/>
            </w:pPr>
            <w:r>
              <w:rPr>
                <w:rFonts w:ascii="宋体" w:hAnsi="宋体" w:eastAsia="宋体"/>
                <w:sz w:val="16"/>
              </w:rPr>
              <w:t>&gt;=2000万元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F9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025A">
            <w:pPr>
              <w:jc w:val="center"/>
            </w:pPr>
            <w:r>
              <w:rPr>
                <w:rFonts w:ascii="宋体" w:hAnsi="宋体" w:eastAsia="宋体"/>
                <w:sz w:val="16"/>
              </w:rPr>
              <w:t>=740万元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F7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05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81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E0C2">
            <w:pPr>
              <w:jc w:val="center"/>
            </w:pPr>
            <w:r>
              <w:rPr>
                <w:rFonts w:ascii="宋体" w:hAnsi="宋体" w:eastAsia="宋体"/>
                <w:sz w:val="16"/>
              </w:rPr>
              <w:t>=3500万元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481D">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EA248">
            <w:pPr>
              <w:jc w:val="center"/>
            </w:pPr>
            <w:r>
              <w:rPr>
                <w:rFonts w:ascii="宋体" w:hAnsi="宋体" w:eastAsia="宋体"/>
                <w:sz w:val="16"/>
              </w:rPr>
              <w:t>偏差原因：本中心2024年计划场地及设施服务费收入2000万元，实际上交国库代管户事业收入3521.99万元。改进措施：按照2024年实际上交事业收入制定2025年计划收入。</w:t>
            </w:r>
          </w:p>
        </w:tc>
      </w:tr>
      <w:tr w14:paraId="5141B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562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FD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E7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A4B1">
            <w:pPr>
              <w:jc w:val="center"/>
            </w:pPr>
            <w:r>
              <w:rPr>
                <w:rFonts w:ascii="宋体" w:hAnsi="宋体" w:eastAsia="宋体"/>
                <w:sz w:val="16"/>
              </w:rPr>
              <w:t>优化营商环境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985D">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CC4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73ED">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321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0C3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480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AF21">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481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EA76C">
            <w:pPr>
              <w:jc w:val="center"/>
            </w:pPr>
          </w:p>
        </w:tc>
      </w:tr>
      <w:tr w14:paraId="6F0F7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6D1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58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6A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8B713">
            <w:pPr>
              <w:jc w:val="center"/>
            </w:pPr>
            <w:r>
              <w:rPr>
                <w:rFonts w:ascii="宋体" w:hAnsi="宋体" w:eastAsia="宋体"/>
                <w:sz w:val="16"/>
              </w:rPr>
              <w:t>招标人员、招标代理、投标单位满意度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4B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8D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DB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91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983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A0C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50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29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AD1F8">
            <w:pPr>
              <w:jc w:val="center"/>
            </w:pPr>
          </w:p>
        </w:tc>
      </w:tr>
      <w:tr w14:paraId="34B0E7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D17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CBEF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5A5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1271DF">
            <w:pPr>
              <w:jc w:val="center"/>
            </w:pPr>
            <w:r>
              <w:rPr>
                <w:rFonts w:ascii="宋体" w:hAnsi="宋体" w:eastAsia="宋体"/>
                <w:sz w:val="16"/>
              </w:rPr>
              <w:t>65.49分</w:t>
            </w:r>
          </w:p>
        </w:tc>
      </w:tr>
    </w:tbl>
    <w:p w14:paraId="52164445">
      <w:r>
        <w:br w:type="page"/>
      </w:r>
    </w:p>
    <w:p w14:paraId="2D14AAE1">
      <w:pPr>
        <w:spacing w:line="640" w:lineRule="exact"/>
        <w:ind w:firstLine="640"/>
        <w:jc w:val="both"/>
        <w:outlineLvl w:val="2"/>
      </w:pPr>
      <w:r>
        <w:rPr>
          <w:rFonts w:ascii="黑体" w:hAnsi="黑体" w:eastAsia="黑体"/>
          <w:sz w:val="32"/>
        </w:rPr>
        <w:t>十二、其他需说明的事项</w:t>
      </w:r>
    </w:p>
    <w:p w14:paraId="7B32B02F">
      <w:pPr>
        <w:spacing w:line="580" w:lineRule="exact"/>
        <w:ind w:firstLine="640"/>
        <w:jc w:val="both"/>
      </w:pPr>
      <w:r>
        <w:rPr>
          <w:rFonts w:ascii="仿宋_GB2312" w:hAnsi="仿宋_GB2312" w:eastAsia="仿宋_GB2312"/>
          <w:b w:val="0"/>
          <w:sz w:val="32"/>
        </w:rPr>
        <w:t>本部门无其他需说明的事项。</w:t>
      </w:r>
    </w:p>
    <w:p w14:paraId="677E312C">
      <w:r>
        <w:br w:type="page"/>
      </w:r>
    </w:p>
    <w:p w14:paraId="74052240">
      <w:pPr>
        <w:spacing w:line="240" w:lineRule="auto"/>
        <w:jc w:val="center"/>
        <w:outlineLvl w:val="1"/>
      </w:pPr>
      <w:r>
        <w:rPr>
          <w:rFonts w:ascii="黑体" w:hAnsi="黑体" w:eastAsia="黑体"/>
          <w:sz w:val="32"/>
        </w:rPr>
        <w:t>第三部分 专业名词解释</w:t>
      </w:r>
    </w:p>
    <w:p w14:paraId="45E74CA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1D1018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516E6A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C40813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8724A7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FE640D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417E74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E9D4E6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447EA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EEB81A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D6ADF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8410BD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03C7A5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7CC2DE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2FA48E9">
      <w:r>
        <w:br w:type="page"/>
      </w:r>
    </w:p>
    <w:p w14:paraId="72169D43">
      <w:pPr>
        <w:spacing w:line="240" w:lineRule="auto"/>
        <w:jc w:val="center"/>
        <w:outlineLvl w:val="1"/>
      </w:pPr>
      <w:r>
        <w:rPr>
          <w:rFonts w:ascii="黑体" w:hAnsi="黑体" w:eastAsia="黑体"/>
          <w:sz w:val="32"/>
        </w:rPr>
        <w:t>第四部分 部门决算报表（见附表）</w:t>
      </w:r>
    </w:p>
    <w:p w14:paraId="22D4883B">
      <w:pPr>
        <w:spacing w:line="240" w:lineRule="auto"/>
        <w:ind w:firstLine="640"/>
        <w:jc w:val="both"/>
      </w:pPr>
      <w:r>
        <w:rPr>
          <w:rFonts w:ascii="仿宋_GB2312" w:hAnsi="仿宋_GB2312" w:eastAsia="仿宋_GB2312"/>
          <w:b w:val="0"/>
          <w:sz w:val="32"/>
        </w:rPr>
        <w:t>一、《收入支出决算总表》</w:t>
      </w:r>
    </w:p>
    <w:p w14:paraId="7B2EF2F4">
      <w:pPr>
        <w:spacing w:line="240" w:lineRule="auto"/>
        <w:ind w:firstLine="640"/>
        <w:jc w:val="both"/>
      </w:pPr>
      <w:r>
        <w:rPr>
          <w:rFonts w:ascii="仿宋_GB2312" w:hAnsi="仿宋_GB2312" w:eastAsia="仿宋_GB2312"/>
          <w:b w:val="0"/>
          <w:sz w:val="32"/>
        </w:rPr>
        <w:t>二、《收入决算表》</w:t>
      </w:r>
    </w:p>
    <w:p w14:paraId="6EB77701">
      <w:pPr>
        <w:spacing w:line="240" w:lineRule="auto"/>
        <w:ind w:firstLine="640"/>
        <w:jc w:val="both"/>
      </w:pPr>
      <w:r>
        <w:rPr>
          <w:rFonts w:ascii="仿宋_GB2312" w:hAnsi="仿宋_GB2312" w:eastAsia="仿宋_GB2312"/>
          <w:b w:val="0"/>
          <w:sz w:val="32"/>
        </w:rPr>
        <w:t>三、《支出决算表》</w:t>
      </w:r>
    </w:p>
    <w:p w14:paraId="09E246FC">
      <w:pPr>
        <w:spacing w:line="240" w:lineRule="auto"/>
        <w:ind w:firstLine="640"/>
        <w:jc w:val="both"/>
      </w:pPr>
      <w:r>
        <w:rPr>
          <w:rFonts w:ascii="仿宋_GB2312" w:hAnsi="仿宋_GB2312" w:eastAsia="仿宋_GB2312"/>
          <w:b w:val="0"/>
          <w:sz w:val="32"/>
        </w:rPr>
        <w:t>四、《财政拨款收入支出决算总表》</w:t>
      </w:r>
    </w:p>
    <w:p w14:paraId="1FC6257E">
      <w:pPr>
        <w:spacing w:line="240" w:lineRule="auto"/>
        <w:ind w:firstLine="640"/>
        <w:jc w:val="both"/>
      </w:pPr>
      <w:r>
        <w:rPr>
          <w:rFonts w:ascii="仿宋_GB2312" w:hAnsi="仿宋_GB2312" w:eastAsia="仿宋_GB2312"/>
          <w:b w:val="0"/>
          <w:sz w:val="32"/>
        </w:rPr>
        <w:t>五、《一般公共预算财政拨款支出决算表》</w:t>
      </w:r>
    </w:p>
    <w:p w14:paraId="664A6B44">
      <w:pPr>
        <w:spacing w:line="240" w:lineRule="auto"/>
        <w:ind w:firstLine="640"/>
        <w:jc w:val="both"/>
      </w:pPr>
      <w:r>
        <w:rPr>
          <w:rFonts w:ascii="仿宋_GB2312" w:hAnsi="仿宋_GB2312" w:eastAsia="仿宋_GB2312"/>
          <w:b w:val="0"/>
          <w:sz w:val="32"/>
        </w:rPr>
        <w:t>六、《一般公共预算财政拨款基本支出决算表》</w:t>
      </w:r>
    </w:p>
    <w:p w14:paraId="1F44DC4E">
      <w:pPr>
        <w:spacing w:line="240" w:lineRule="auto"/>
        <w:ind w:firstLine="640"/>
        <w:jc w:val="both"/>
      </w:pPr>
      <w:r>
        <w:rPr>
          <w:rFonts w:ascii="仿宋_GB2312" w:hAnsi="仿宋_GB2312" w:eastAsia="仿宋_GB2312"/>
          <w:b w:val="0"/>
          <w:sz w:val="32"/>
        </w:rPr>
        <w:t>七、《政府性基金预算财政拨款收入支出决算表》</w:t>
      </w:r>
    </w:p>
    <w:p w14:paraId="2A40AFF4">
      <w:pPr>
        <w:spacing w:line="240" w:lineRule="auto"/>
        <w:ind w:firstLine="640"/>
        <w:jc w:val="both"/>
      </w:pPr>
      <w:r>
        <w:rPr>
          <w:rFonts w:ascii="仿宋_GB2312" w:hAnsi="仿宋_GB2312" w:eastAsia="仿宋_GB2312"/>
          <w:b w:val="0"/>
          <w:sz w:val="32"/>
        </w:rPr>
        <w:t>八、《国有资本经营预算财政拨款收入支出决算表》</w:t>
      </w:r>
    </w:p>
    <w:p w14:paraId="7B8417B0">
      <w:pPr>
        <w:spacing w:line="240" w:lineRule="auto"/>
        <w:ind w:firstLine="640"/>
        <w:jc w:val="both"/>
      </w:pPr>
      <w:r>
        <w:rPr>
          <w:rFonts w:ascii="仿宋_GB2312" w:hAnsi="仿宋_GB2312" w:eastAsia="仿宋_GB2312"/>
          <w:b w:val="0"/>
          <w:sz w:val="32"/>
        </w:rPr>
        <w:t>九、《财政拨款“三公”经费支出决算表》</w:t>
      </w:r>
    </w:p>
    <w:p w14:paraId="6F26D9CA">
      <w:pPr>
        <w:spacing w:line="240" w:lineRule="auto"/>
        <w:ind w:firstLine="640"/>
        <w:jc w:val="both"/>
      </w:pPr>
    </w:p>
    <w:p w14:paraId="44310703">
      <w:pPr>
        <w:spacing w:line="240" w:lineRule="auto"/>
        <w:ind w:firstLine="640"/>
        <w:jc w:val="both"/>
      </w:pPr>
    </w:p>
    <w:p w14:paraId="1D1C52F6">
      <w:pPr>
        <w:spacing w:line="240" w:lineRule="auto"/>
        <w:ind w:firstLine="640"/>
        <w:jc w:val="both"/>
      </w:pPr>
    </w:p>
    <w:p w14:paraId="71C8EB9F">
      <w:pPr>
        <w:spacing w:line="240" w:lineRule="auto"/>
        <w:ind w:firstLine="640"/>
        <w:jc w:val="both"/>
      </w:pPr>
    </w:p>
    <w:p w14:paraId="66A0041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A25F45"/>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4828</Words>
  <Characters>5502</Characters>
  <Lines>0</Lines>
  <Paragraphs>0</Paragraphs>
  <TotalTime>6</TotalTime>
  <ScaleCrop>false</ScaleCrop>
  <LinksUpToDate>false</LinksUpToDate>
  <CharactersWithSpaces>5510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