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喀什地区卡拉苏口岸管理委员会2024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1C4643">
      <w:r>
        <w:br w:type="page"/>
      </w:r>
    </w:p>
    <w:p w14:paraId="274841B6">
      <w:pPr>
        <w:spacing w:line="640" w:lineRule="exact"/>
        <w:jc w:val="center"/>
        <w:outlineLvl w:val="1"/>
      </w:pPr>
      <w:r>
        <w:rPr>
          <w:rFonts w:ascii="黑体" w:hAnsi="黑体" w:eastAsia="黑体"/>
          <w:sz w:val="32"/>
        </w:rPr>
        <w:t>第一部分 部门概况</w:t>
      </w:r>
    </w:p>
    <w:p w14:paraId="43EED7B7">
      <w:pPr>
        <w:spacing w:line="640" w:lineRule="exact"/>
        <w:ind w:firstLine="640"/>
        <w:jc w:val="both"/>
        <w:outlineLvl w:val="2"/>
      </w:pPr>
      <w:r>
        <w:rPr>
          <w:rFonts w:ascii="黑体" w:hAnsi="黑体" w:eastAsia="黑体"/>
          <w:sz w:val="32"/>
        </w:rPr>
        <w:t>一、主要职能</w:t>
      </w:r>
    </w:p>
    <w:p w14:paraId="56C871E3">
      <w:pPr>
        <w:spacing w:line="580" w:lineRule="exact"/>
        <w:ind w:firstLine="640"/>
        <w:jc w:val="both"/>
      </w:pPr>
      <w:r>
        <w:rPr>
          <w:rFonts w:ascii="仿宋_GB2312" w:hAnsi="仿宋_GB2312" w:eastAsia="仿宋_GB2312"/>
          <w:sz w:val="32"/>
        </w:rPr>
        <w:t>贯彻执行党中央、国务院、自治区有关口岸工作方针、政策和规定，并组织制定具体实施细则；按照国家、自治区和地区关于卡拉苏口岸的规划、报批、开放、建设等工作要求，负责组织落实有关具体事宜；按照推进国家“一带一路”</w:t>
      </w:r>
      <w:r>
        <w:rPr>
          <w:rFonts w:hint="eastAsia" w:ascii="仿宋_GB2312" w:hAnsi="仿宋_GB2312" w:eastAsia="仿宋_GB2312"/>
          <w:sz w:val="32"/>
          <w:lang w:eastAsia="zh-CN"/>
        </w:rPr>
        <w:t>倡议</w:t>
      </w:r>
      <w:r>
        <w:rPr>
          <w:rFonts w:ascii="仿宋_GB2312" w:hAnsi="仿宋_GB2312" w:eastAsia="仿宋_GB2312"/>
          <w:sz w:val="32"/>
        </w:rPr>
        <w:t>自治区口岸经济带建设规划和喀什地区对外开放工作部署，加强卡拉苏口岸经济研究，推动“通道经济”向“口岸经济”转变，服务于地区对外开放和外贸高质量发展大局。</w:t>
      </w:r>
    </w:p>
    <w:p w14:paraId="45434ED1">
      <w:pPr>
        <w:spacing w:line="580" w:lineRule="exact"/>
        <w:ind w:firstLine="640"/>
        <w:jc w:val="both"/>
      </w:pPr>
      <w:r>
        <w:rPr>
          <w:rFonts w:ascii="仿宋_GB2312" w:hAnsi="仿宋_GB2312" w:eastAsia="仿宋_GB2312"/>
          <w:sz w:val="32"/>
        </w:rPr>
        <w:t>负责协调有关部门开展统计、预测、预报工作，监测口岸运行情况，平衡口岸外贸运输计划，确保口岸平稳运行；负责组织口岸的集、疏、运工作，加强口岸各环节的衔接，协调人员通关、货物检查、卫生检疫、道路运输相关工作的协作配合，加速运输周转和货物集散，保证口岸安全畅通。</w:t>
      </w:r>
    </w:p>
    <w:p w14:paraId="3B40FC6F">
      <w:pPr>
        <w:spacing w:line="580" w:lineRule="exact"/>
        <w:ind w:firstLine="640"/>
        <w:jc w:val="both"/>
      </w:pPr>
      <w:r>
        <w:rPr>
          <w:rFonts w:ascii="仿宋_GB2312" w:hAnsi="仿宋_GB2312" w:eastAsia="仿宋_GB2312"/>
          <w:sz w:val="32"/>
        </w:rPr>
        <w:t>负责协调督促卡拉苏口岸检查查验单位，</w:t>
      </w:r>
      <w:r>
        <w:rPr>
          <w:rFonts w:hint="eastAsia" w:ascii="仿宋_GB2312" w:hAnsi="仿宋_GB2312" w:eastAsia="仿宋_GB2312"/>
          <w:sz w:val="32"/>
          <w:lang w:eastAsia="zh-CN"/>
        </w:rPr>
        <w:t>按照</w:t>
      </w:r>
      <w:r>
        <w:rPr>
          <w:rFonts w:ascii="仿宋_GB2312" w:hAnsi="仿宋_GB2312" w:eastAsia="仿宋_GB2312"/>
          <w:sz w:val="32"/>
        </w:rPr>
        <w:t>各自的职责和规定，对出入境人员、交通工具、货物和行李物品进行监督管理以及检查、检验、检疫等工作；按照地区关于口岸工</w:t>
      </w:r>
      <w:r>
        <w:rPr>
          <w:rFonts w:hint="eastAsia" w:ascii="仿宋_GB2312" w:hAnsi="仿宋_GB2312" w:eastAsia="仿宋_GB2312"/>
          <w:sz w:val="32"/>
          <w:lang w:eastAsia="zh-CN"/>
        </w:rPr>
        <w:t>作的</w:t>
      </w:r>
      <w:r>
        <w:rPr>
          <w:rFonts w:ascii="仿宋_GB2312" w:hAnsi="仿宋_GB2312" w:eastAsia="仿宋_GB2312"/>
          <w:sz w:val="32"/>
        </w:rPr>
        <w:t>预算，提出卡拉苏口岸项目投资建设方案，按要求抓好组织实施。</w:t>
      </w:r>
    </w:p>
    <w:p w14:paraId="3D624477">
      <w:pPr>
        <w:spacing w:line="580" w:lineRule="exact"/>
        <w:ind w:firstLine="640"/>
        <w:jc w:val="both"/>
      </w:pPr>
      <w:r>
        <w:rPr>
          <w:rFonts w:ascii="仿宋_GB2312" w:hAnsi="仿宋_GB2312" w:eastAsia="仿宋_GB2312"/>
          <w:sz w:val="32"/>
        </w:rPr>
        <w:t>负责开展调查研究、总结交流经验，向上级有关部门反映卡拉苏口岸工作出现的重大矛盾和问题，并提出解决意见。</w:t>
      </w:r>
    </w:p>
    <w:p w14:paraId="6AB2E93C">
      <w:pPr>
        <w:spacing w:line="640" w:lineRule="exact"/>
        <w:ind w:firstLine="640"/>
        <w:jc w:val="both"/>
        <w:outlineLvl w:val="2"/>
      </w:pPr>
      <w:r>
        <w:rPr>
          <w:rFonts w:ascii="黑体" w:hAnsi="黑体" w:eastAsia="黑体"/>
          <w:sz w:val="32"/>
        </w:rPr>
        <w:t>二、机构设置及人员情况</w:t>
      </w:r>
    </w:p>
    <w:p w14:paraId="50099A9B">
      <w:pPr>
        <w:spacing w:line="580" w:lineRule="exact"/>
        <w:ind w:firstLine="640"/>
        <w:jc w:val="both"/>
      </w:pPr>
      <w:r>
        <w:rPr>
          <w:rFonts w:ascii="仿宋_GB2312" w:hAnsi="仿宋_GB2312" w:eastAsia="仿宋_GB2312"/>
          <w:sz w:val="32"/>
        </w:rPr>
        <w:t>喀什地区卡拉苏口岸管理委员会2024年度，实有人数12人，其中：在职人员12人，增加12人；离休人员0人，增加0人；退休人员0人,增加0人。</w:t>
      </w:r>
    </w:p>
    <w:p w14:paraId="39A33021">
      <w:pPr>
        <w:spacing w:line="580" w:lineRule="exact"/>
        <w:ind w:firstLine="640"/>
        <w:jc w:val="both"/>
      </w:pPr>
      <w:r>
        <w:rPr>
          <w:rFonts w:ascii="仿宋_GB2312" w:hAnsi="仿宋_GB2312" w:eastAsia="仿宋_GB2312"/>
          <w:sz w:val="32"/>
        </w:rPr>
        <w:t>喀什地区卡拉苏口岸管理委员会无下属预算单位，下设4个科室，分别是：综合科、通关科、外贸科、后勤科。</w:t>
      </w:r>
    </w:p>
    <w:p w14:paraId="48880ACA">
      <w:r>
        <w:br w:type="page"/>
      </w:r>
    </w:p>
    <w:p w14:paraId="0F79E684">
      <w:pPr>
        <w:spacing w:line="240" w:lineRule="auto"/>
        <w:jc w:val="center"/>
        <w:outlineLvl w:val="1"/>
      </w:pPr>
      <w:r>
        <w:rPr>
          <w:rFonts w:ascii="黑体" w:hAnsi="黑体" w:eastAsia="黑体"/>
          <w:sz w:val="32"/>
        </w:rPr>
        <w:t>第二部分 部门决算情况说明</w:t>
      </w:r>
    </w:p>
    <w:p w14:paraId="7DB7CF19">
      <w:pPr>
        <w:spacing w:line="640" w:lineRule="exact"/>
        <w:ind w:firstLine="640"/>
        <w:jc w:val="both"/>
        <w:outlineLvl w:val="2"/>
      </w:pPr>
      <w:r>
        <w:rPr>
          <w:rFonts w:ascii="黑体" w:hAnsi="黑体" w:eastAsia="黑体"/>
          <w:sz w:val="32"/>
        </w:rPr>
        <w:t>一、收入支出决算总体情况说明</w:t>
      </w:r>
    </w:p>
    <w:p w14:paraId="7827E48F">
      <w:pPr>
        <w:spacing w:line="580" w:lineRule="exact"/>
        <w:ind w:firstLine="640"/>
        <w:jc w:val="both"/>
      </w:pPr>
      <w:r>
        <w:rPr>
          <w:rFonts w:ascii="仿宋_GB2312" w:hAnsi="仿宋_GB2312" w:eastAsia="仿宋_GB2312"/>
          <w:b/>
          <w:sz w:val="32"/>
        </w:rPr>
        <w:t>2024年度收入总计1,621.13万元，</w:t>
      </w:r>
      <w:r>
        <w:rPr>
          <w:rFonts w:ascii="仿宋_GB2312" w:hAnsi="仿宋_GB2312" w:eastAsia="仿宋_GB2312"/>
          <w:b w:val="0"/>
          <w:sz w:val="32"/>
        </w:rPr>
        <w:t>其中：本年收入合计1,621.13万元，使用非财政拨款结余（含专用结余）0.00万元，年初结转和结余0.00万元。</w:t>
      </w:r>
    </w:p>
    <w:p w14:paraId="25AE49AD">
      <w:pPr>
        <w:spacing w:line="580" w:lineRule="exact"/>
        <w:ind w:firstLine="640"/>
        <w:jc w:val="both"/>
      </w:pPr>
      <w:r>
        <w:rPr>
          <w:rFonts w:ascii="仿宋_GB2312" w:hAnsi="仿宋_GB2312" w:eastAsia="仿宋_GB2312"/>
          <w:b/>
          <w:sz w:val="32"/>
        </w:rPr>
        <w:t>2024年度支出总计1,621.13万元，</w:t>
      </w:r>
      <w:r>
        <w:rPr>
          <w:rFonts w:ascii="仿宋_GB2312" w:hAnsi="仿宋_GB2312" w:eastAsia="仿宋_GB2312"/>
          <w:b w:val="0"/>
          <w:sz w:val="32"/>
        </w:rPr>
        <w:t>其中：本年支出合计1,621.13万元，结余分配0.00万元，年末结转和结余0.00万元。</w:t>
      </w:r>
    </w:p>
    <w:p w14:paraId="644BE24E">
      <w:pPr>
        <w:spacing w:line="580" w:lineRule="exact"/>
        <w:ind w:firstLine="640"/>
        <w:jc w:val="both"/>
      </w:pPr>
      <w:r>
        <w:rPr>
          <w:rFonts w:ascii="仿宋_GB2312" w:hAnsi="仿宋_GB2312" w:eastAsia="仿宋_GB2312"/>
          <w:b w:val="0"/>
          <w:sz w:val="32"/>
        </w:rPr>
        <w:t>收入支出总体与上年相比，增加1,621.13万元，增长100.00%，主要原因是：本年为新增单位，无上年对比数据。</w:t>
      </w:r>
    </w:p>
    <w:p w14:paraId="7FADC44E">
      <w:pPr>
        <w:spacing w:line="640" w:lineRule="exact"/>
        <w:ind w:firstLine="640"/>
        <w:jc w:val="both"/>
        <w:outlineLvl w:val="2"/>
      </w:pPr>
      <w:r>
        <w:rPr>
          <w:rFonts w:ascii="黑体" w:hAnsi="黑体" w:eastAsia="黑体"/>
          <w:sz w:val="32"/>
        </w:rPr>
        <w:t>二、收入决算情况说明</w:t>
      </w:r>
    </w:p>
    <w:p w14:paraId="1E44C7D9">
      <w:pPr>
        <w:spacing w:line="580" w:lineRule="exact"/>
        <w:ind w:firstLine="640"/>
        <w:jc w:val="both"/>
      </w:pPr>
      <w:r>
        <w:rPr>
          <w:rFonts w:ascii="仿宋_GB2312" w:hAnsi="仿宋_GB2312" w:eastAsia="仿宋_GB2312"/>
          <w:b/>
          <w:sz w:val="32"/>
        </w:rPr>
        <w:t>本年收入1,621.13万元，</w:t>
      </w:r>
      <w:r>
        <w:rPr>
          <w:rFonts w:ascii="仿宋_GB2312" w:hAnsi="仿宋_GB2312" w:eastAsia="仿宋_GB2312"/>
          <w:b w:val="0"/>
          <w:sz w:val="32"/>
        </w:rPr>
        <w:t>其中：财政拨款收入1,621.13万元，占100.00%；上级补助收入0.00万元，占0.00%；事业收入0.00万元，占0.00%；经营收入0.00万元，占0.00%；附属单位上缴收入0.00万元，占0.00%；其他收入0.00万元，占0.00%。</w:t>
      </w:r>
    </w:p>
    <w:p w14:paraId="43138FEC">
      <w:pPr>
        <w:spacing w:line="640" w:lineRule="exact"/>
        <w:ind w:firstLine="640"/>
        <w:jc w:val="both"/>
        <w:outlineLvl w:val="2"/>
      </w:pPr>
      <w:r>
        <w:rPr>
          <w:rFonts w:ascii="黑体" w:hAnsi="黑体" w:eastAsia="黑体"/>
          <w:sz w:val="32"/>
        </w:rPr>
        <w:t>三、支出决算情况说明</w:t>
      </w:r>
    </w:p>
    <w:p w14:paraId="5DEF3C9B">
      <w:pPr>
        <w:spacing w:line="580" w:lineRule="exact"/>
        <w:ind w:firstLine="640"/>
        <w:jc w:val="both"/>
      </w:pPr>
      <w:r>
        <w:rPr>
          <w:rFonts w:ascii="仿宋_GB2312" w:hAnsi="仿宋_GB2312" w:eastAsia="仿宋_GB2312"/>
          <w:b/>
          <w:sz w:val="32"/>
        </w:rPr>
        <w:t>本年支出1,621.13万元，</w:t>
      </w:r>
      <w:r>
        <w:rPr>
          <w:rFonts w:ascii="仿宋_GB2312" w:hAnsi="仿宋_GB2312" w:eastAsia="仿宋_GB2312"/>
          <w:b w:val="0"/>
          <w:sz w:val="32"/>
        </w:rPr>
        <w:t>其中：基本支出431.56万元，占26.62%；项目支出1,189.57万元，占73.38%；上缴上级支出0.00万元，占0.00%；经营支出0.00万元，占0.00%；对附属单位补助支出0.00万元，占0.00%。</w:t>
      </w:r>
    </w:p>
    <w:p w14:paraId="5AD32CBF">
      <w:pPr>
        <w:spacing w:line="640" w:lineRule="exact"/>
        <w:ind w:firstLine="640"/>
        <w:jc w:val="both"/>
        <w:outlineLvl w:val="2"/>
      </w:pPr>
      <w:r>
        <w:rPr>
          <w:rFonts w:ascii="黑体" w:hAnsi="黑体" w:eastAsia="黑体"/>
          <w:sz w:val="32"/>
        </w:rPr>
        <w:t>四、财政拨款收入支出决算总体情况说明</w:t>
      </w:r>
    </w:p>
    <w:p w14:paraId="79F846C9">
      <w:pPr>
        <w:spacing w:line="580" w:lineRule="exact"/>
        <w:ind w:firstLine="640"/>
        <w:jc w:val="both"/>
      </w:pPr>
      <w:r>
        <w:rPr>
          <w:rFonts w:ascii="仿宋_GB2312" w:hAnsi="仿宋_GB2312" w:eastAsia="仿宋_GB2312"/>
          <w:b/>
          <w:sz w:val="32"/>
        </w:rPr>
        <w:t>2024年度财政拨款收入总计1,621.13万元，</w:t>
      </w:r>
      <w:r>
        <w:rPr>
          <w:rFonts w:ascii="仿宋_GB2312" w:hAnsi="仿宋_GB2312" w:eastAsia="仿宋_GB2312"/>
          <w:b w:val="0"/>
          <w:sz w:val="32"/>
        </w:rPr>
        <w:t>其中：年初财政拨款结转和结余0.00万元，本年财政拨款收入1,621.13万元。</w:t>
      </w:r>
      <w:r>
        <w:rPr>
          <w:rFonts w:ascii="仿宋_GB2312" w:hAnsi="仿宋_GB2312" w:eastAsia="仿宋_GB2312"/>
          <w:b/>
          <w:sz w:val="32"/>
        </w:rPr>
        <w:t>财政拨款支出总计1,621.13万元，</w:t>
      </w:r>
      <w:r>
        <w:rPr>
          <w:rFonts w:ascii="仿宋_GB2312" w:hAnsi="仿宋_GB2312" w:eastAsia="仿宋_GB2312"/>
          <w:b w:val="0"/>
          <w:sz w:val="32"/>
        </w:rPr>
        <w:t>其中：年末财政拨款结转和结余0.00万元，本年财政拨款支出1,621.13万元。</w:t>
      </w:r>
    </w:p>
    <w:p w14:paraId="3306A97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增加1,621.13万元，增长100.00%，主要原因是：本年为新增单位，无上年对比数据。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1,483.01万元，决算数1,621.13万元，预决算差异率9.31%，主要原因是：一是年中追加口岸运转项目资金、2024年免除查验没有问题外贸企业吊装移位仓储费用试点项目、2024年工作经费和2024年第一书记工作经费项目；二是本年新增在职人员，年中追加人员经费及人员工资、社保、公积金基数调增部分资金，导致预决算存在差异。</w:t>
      </w:r>
    </w:p>
    <w:p w14:paraId="136B177F">
      <w:pPr>
        <w:spacing w:line="640" w:lineRule="exact"/>
        <w:ind w:firstLine="640"/>
        <w:jc w:val="both"/>
        <w:outlineLvl w:val="2"/>
      </w:pPr>
      <w:r>
        <w:rPr>
          <w:rFonts w:ascii="黑体" w:hAnsi="黑体" w:eastAsia="黑体"/>
          <w:sz w:val="32"/>
        </w:rPr>
        <w:t>五、一般公共预算财政拨款支出决算情况说明</w:t>
      </w:r>
    </w:p>
    <w:p w14:paraId="5A8BC46E">
      <w:pPr>
        <w:spacing w:line="640" w:lineRule="exact"/>
        <w:ind w:firstLine="640"/>
        <w:jc w:val="both"/>
        <w:outlineLvl w:val="3"/>
      </w:pPr>
      <w:r>
        <w:rPr>
          <w:rFonts w:ascii="楷体_GB2312" w:hAnsi="楷体_GB2312" w:eastAsia="楷体_GB2312"/>
          <w:b/>
          <w:sz w:val="32"/>
        </w:rPr>
        <w:t>（一）一般公共预算财政拨款支出决算总体情况</w:t>
      </w:r>
    </w:p>
    <w:p w14:paraId="77761E51">
      <w:pPr>
        <w:spacing w:line="580" w:lineRule="exact"/>
        <w:ind w:firstLine="640"/>
        <w:jc w:val="both"/>
      </w:pPr>
      <w:r>
        <w:rPr>
          <w:rFonts w:ascii="仿宋_GB2312" w:hAnsi="仿宋_GB2312" w:eastAsia="仿宋_GB2312"/>
          <w:b/>
          <w:sz w:val="32"/>
        </w:rPr>
        <w:t>2024年度一般公共预算财政拨款支出1,621.13万元，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增加1,621.13万元，增长100.00%，主要原因是：本年为新增单位，无上年对比数据。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1,483.01万元，决算数1,621.13万元，预决算差异率9.31%，主要原因是：一是年中追加口岸运转项目资金、2024年免除查验没有问题外贸企业吊装移位仓储费用试点项目、2024年工作经费和2024年第一书记工作经费项目；二是本年新增在职人员，年中追加人员经费及人员工资、社保、公积金基数调增部分资金，导致预决算存在差异。</w:t>
      </w:r>
    </w:p>
    <w:p w14:paraId="54B5B1D3">
      <w:pPr>
        <w:spacing w:line="640" w:lineRule="exact"/>
        <w:ind w:firstLine="640"/>
        <w:jc w:val="both"/>
        <w:outlineLvl w:val="3"/>
      </w:pPr>
      <w:r>
        <w:rPr>
          <w:rFonts w:ascii="楷体_GB2312" w:hAnsi="楷体_GB2312" w:eastAsia="楷体_GB2312"/>
          <w:b/>
          <w:sz w:val="32"/>
        </w:rPr>
        <w:t>（二）一般公共预算财政拨款支出决算结构情况</w:t>
      </w:r>
    </w:p>
    <w:p w14:paraId="6FC1C0CD">
      <w:pPr>
        <w:spacing w:line="580" w:lineRule="exact"/>
        <w:ind w:firstLine="640"/>
        <w:jc w:val="both"/>
      </w:pPr>
      <w:r>
        <w:rPr>
          <w:rFonts w:ascii="仿宋_GB2312" w:hAnsi="仿宋_GB2312" w:eastAsia="仿宋_GB2312"/>
          <w:b w:val="0"/>
          <w:sz w:val="32"/>
        </w:rPr>
        <w:t>1.一般公共服务支出(类)1,563.70万元,占96.46%。</w:t>
      </w:r>
    </w:p>
    <w:p w14:paraId="03E4879F">
      <w:pPr>
        <w:spacing w:line="580" w:lineRule="exact"/>
        <w:ind w:firstLine="640"/>
        <w:jc w:val="both"/>
      </w:pPr>
      <w:r>
        <w:rPr>
          <w:rFonts w:ascii="仿宋_GB2312" w:hAnsi="仿宋_GB2312" w:eastAsia="仿宋_GB2312"/>
          <w:b w:val="0"/>
          <w:sz w:val="32"/>
        </w:rPr>
        <w:t>2.社会保障和就业支出(类)25.98万元,占1.60%。</w:t>
      </w:r>
    </w:p>
    <w:p w14:paraId="22E1E67F">
      <w:pPr>
        <w:spacing w:line="580" w:lineRule="exact"/>
        <w:ind w:firstLine="640"/>
        <w:jc w:val="both"/>
      </w:pPr>
      <w:r>
        <w:rPr>
          <w:rFonts w:ascii="仿宋_GB2312" w:hAnsi="仿宋_GB2312" w:eastAsia="仿宋_GB2312"/>
          <w:b w:val="0"/>
          <w:sz w:val="32"/>
        </w:rPr>
        <w:t>3.卫生健康支出(类)11.05万元,占0.68%。</w:t>
      </w:r>
    </w:p>
    <w:p w14:paraId="0F1F6EAB">
      <w:pPr>
        <w:spacing w:line="580" w:lineRule="exact"/>
        <w:ind w:firstLine="640"/>
        <w:jc w:val="both"/>
      </w:pPr>
      <w:r>
        <w:rPr>
          <w:rFonts w:ascii="仿宋_GB2312" w:hAnsi="仿宋_GB2312" w:eastAsia="仿宋_GB2312"/>
          <w:b w:val="0"/>
          <w:sz w:val="32"/>
        </w:rPr>
        <w:t>4.住房保障支出(类)20.40万元,占1.26%。</w:t>
      </w:r>
    </w:p>
    <w:p w14:paraId="1B622A1D">
      <w:pPr>
        <w:spacing w:line="640" w:lineRule="exact"/>
        <w:ind w:firstLine="640"/>
        <w:jc w:val="both"/>
        <w:outlineLvl w:val="3"/>
      </w:pPr>
      <w:r>
        <w:rPr>
          <w:rFonts w:ascii="楷体_GB2312" w:hAnsi="楷体_GB2312" w:eastAsia="楷体_GB2312"/>
          <w:b/>
          <w:sz w:val="32"/>
        </w:rPr>
        <w:t>（三）一般公共预算财政拨款支出决算具体情况</w:t>
      </w:r>
    </w:p>
    <w:p w14:paraId="6459BB8F">
      <w:pPr>
        <w:spacing w:line="580" w:lineRule="exact"/>
        <w:ind w:firstLine="640"/>
        <w:jc w:val="both"/>
      </w:pPr>
      <w:r>
        <w:rPr>
          <w:rFonts w:ascii="仿宋_GB2312" w:hAnsi="仿宋_GB2312" w:eastAsia="仿宋_GB2312"/>
          <w:b w:val="0"/>
          <w:sz w:val="32"/>
        </w:rPr>
        <w:t>1.一般公共服务支出(类)人大事务(款)事业运行(项):支出决算数为0.10万元，比上年决算增加0.10万元，增长100.00%,主要原因是：本年为新增单位，无上年对比数据。</w:t>
      </w:r>
    </w:p>
    <w:p w14:paraId="599BFEC1">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2.一般公共服务支出(类)政府办公厅（室）及相关机构事务(款)事业运行(项):支出决算数为361.90万元，比上年决算增加361.90万元，增长100.00%,主要原因是：本年为新增单位，无上年对比数据。</w:t>
      </w:r>
    </w:p>
    <w:p w14:paraId="75F2D868">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1,025.63万元，比上年决算增加1,025.63万元，增长100.00%,主要原因是：本年为新增单位，无上年对比数据。</w:t>
      </w:r>
    </w:p>
    <w:p w14:paraId="280F9933">
      <w:pPr>
        <w:spacing w:line="580" w:lineRule="exact"/>
        <w:ind w:firstLine="640"/>
        <w:jc w:val="both"/>
      </w:pPr>
      <w:r>
        <w:rPr>
          <w:rFonts w:ascii="仿宋_GB2312" w:hAnsi="仿宋_GB2312" w:eastAsia="仿宋_GB2312"/>
          <w:b w:val="0"/>
          <w:sz w:val="32"/>
        </w:rPr>
        <w:t>4.一般公共服务支出(类)商贸事务(款)其他商贸事务支出(项):支出决算数为176.07万元，比上年决算增加176.07万元，增长100.00%,主要原因是：本年为新增单位，无上年对比数据。</w:t>
      </w:r>
    </w:p>
    <w:p w14:paraId="527DE9C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5.社会保障和就业支出(类)行政事业单位养老支出(款)机关事业单位基本养老保险缴费支出(项):支出决算数为25.98万元，比上年决算增加25.98万元，增长100.00%,主要原因是：本年为新增单位，无上年对比数据。</w:t>
      </w:r>
    </w:p>
    <w:p w14:paraId="4E727E83">
      <w:pPr>
        <w:spacing w:line="580" w:lineRule="exact"/>
        <w:ind w:firstLine="640"/>
        <w:jc w:val="both"/>
      </w:pPr>
      <w:r>
        <w:rPr>
          <w:rFonts w:ascii="仿宋_GB2312" w:hAnsi="仿宋_GB2312" w:eastAsia="仿宋_GB2312"/>
          <w:b w:val="0"/>
          <w:sz w:val="32"/>
        </w:rPr>
        <w:t>6.卫生健康支出(类)行政事业单位医疗(款)事业单位医疗(项):支出决算数为11.05万元，比上年决算增加11.05万元，增长100.00%,主要原因是：本年为新增单位，无上年对比数据。</w:t>
      </w:r>
    </w:p>
    <w:p w14:paraId="53D2DECD">
      <w:pPr>
        <w:spacing w:line="580" w:lineRule="exact"/>
        <w:ind w:firstLine="640"/>
        <w:jc w:val="both"/>
      </w:pPr>
      <w:r>
        <w:rPr>
          <w:rFonts w:ascii="仿宋_GB2312" w:hAnsi="仿宋_GB2312" w:eastAsia="仿宋_GB2312"/>
          <w:b w:val="0"/>
          <w:sz w:val="32"/>
        </w:rPr>
        <w:t>7.住房保障支出(类)住房改革支出(款)住房公积金(项):支出决算数为20.40万元，比上年决算增加20.40万元，增长100.00%,主要原因是：本年为新增单位，无上年对比数据。</w:t>
      </w:r>
    </w:p>
    <w:p w14:paraId="7A30E05B">
      <w:pPr>
        <w:spacing w:line="640" w:lineRule="exact"/>
        <w:ind w:firstLine="640"/>
        <w:jc w:val="both"/>
        <w:outlineLvl w:val="2"/>
      </w:pPr>
      <w:r>
        <w:rPr>
          <w:rFonts w:ascii="黑体" w:hAnsi="黑体" w:eastAsia="黑体"/>
          <w:sz w:val="32"/>
        </w:rPr>
        <w:t>六、一般公共预算财政拨款基本支出决算情况说明</w:t>
      </w:r>
    </w:p>
    <w:p w14:paraId="5A1A106D">
      <w:pPr>
        <w:spacing w:line="580" w:lineRule="exact"/>
        <w:ind w:firstLine="640"/>
        <w:jc w:val="both"/>
      </w:pPr>
      <w:r>
        <w:rPr>
          <w:rFonts w:ascii="仿宋_GB2312" w:hAnsi="仿宋_GB2312" w:eastAsia="仿宋_GB2312"/>
          <w:b w:val="0"/>
          <w:sz w:val="32"/>
        </w:rPr>
        <w:t>2024年度一般公共预算财政拨款基本支出431.56万元，其中：</w:t>
      </w:r>
      <w:r>
        <w:rPr>
          <w:rFonts w:ascii="仿宋_GB2312" w:hAnsi="仿宋_GB2312" w:eastAsia="仿宋_GB2312"/>
          <w:b/>
          <w:sz w:val="32"/>
        </w:rPr>
        <w:t>人员经费398.26万元，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包括：基本工资、津贴补贴、奖金、绩效工资、机关事业单位基本养老保险缴费、职工基本医疗保险缴费、其他社会保障缴费、住房公积金、其他工资福利支出、生活补助。</w:t>
      </w:r>
    </w:p>
    <w:p w14:paraId="405206D9">
      <w:pPr>
        <w:spacing w:line="580" w:lineRule="exact"/>
        <w:ind w:firstLine="640"/>
        <w:jc w:val="both"/>
      </w:pPr>
      <w:r>
        <w:rPr>
          <w:rFonts w:ascii="仿宋_GB2312" w:hAnsi="仿宋_GB2312" w:eastAsia="仿宋_GB2312"/>
          <w:b/>
          <w:sz w:val="32"/>
        </w:rPr>
        <w:t>公用经费33.30万元，</w:t>
      </w:r>
      <w:r>
        <w:rPr>
          <w:rFonts w:ascii="仿宋_GB2312" w:hAnsi="仿宋_GB2312" w:eastAsia="仿宋_GB2312"/>
          <w:b w:val="0"/>
          <w:sz w:val="32"/>
        </w:rPr>
        <w:t>包括：办公费、电费、邮电费、取暖费、差旅费、专用材料费、工会经费、其他商品和服务支出。</w:t>
      </w:r>
    </w:p>
    <w:p w14:paraId="6747103E">
      <w:pPr>
        <w:spacing w:line="640" w:lineRule="exact"/>
        <w:ind w:firstLine="640"/>
        <w:jc w:val="both"/>
        <w:outlineLvl w:val="2"/>
      </w:pPr>
      <w:r>
        <w:rPr>
          <w:rFonts w:ascii="黑体" w:hAnsi="黑体" w:eastAsia="黑体"/>
          <w:sz w:val="32"/>
        </w:rPr>
        <w:t>七、政府性基金预算财政拨款收入支出决算情况说明</w:t>
      </w:r>
    </w:p>
    <w:p w14:paraId="09FCD51A">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D75854E">
      <w:pPr>
        <w:spacing w:line="640" w:lineRule="exact"/>
        <w:ind w:firstLine="640"/>
        <w:jc w:val="both"/>
        <w:outlineLvl w:val="2"/>
      </w:pPr>
      <w:r>
        <w:rPr>
          <w:rFonts w:ascii="黑体" w:hAnsi="黑体" w:eastAsia="黑体"/>
          <w:sz w:val="32"/>
        </w:rPr>
        <w:t>八、国有资本经营预算财政拨款收入支出决算情况说明</w:t>
      </w:r>
    </w:p>
    <w:p w14:paraId="70FC0EC6">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F3D1C4C">
      <w:pPr>
        <w:spacing w:line="640" w:lineRule="exact"/>
        <w:ind w:firstLine="640"/>
        <w:jc w:val="both"/>
        <w:outlineLvl w:val="2"/>
      </w:pPr>
      <w:r>
        <w:rPr>
          <w:rFonts w:ascii="黑体" w:hAnsi="黑体" w:eastAsia="黑体"/>
          <w:sz w:val="32"/>
        </w:rPr>
        <w:t>九、财政拨款“三公”经费支出决算情况说明</w:t>
      </w:r>
    </w:p>
    <w:p w14:paraId="3909027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1DD0DBB">
      <w:pPr>
        <w:spacing w:line="580" w:lineRule="exact"/>
        <w:ind w:firstLine="640"/>
        <w:jc w:val="both"/>
      </w:pPr>
      <w:r>
        <w:rPr>
          <w:rFonts w:ascii="仿宋_GB2312" w:hAnsi="仿宋_GB2312" w:eastAsia="仿宋_GB2312"/>
          <w:b/>
          <w:sz w:val="32"/>
        </w:rPr>
        <w:t>具体情况如下：</w:t>
      </w:r>
    </w:p>
    <w:p w14:paraId="6AFC133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14CF98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5B69EE9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71E375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447F5761">
      <w:pPr>
        <w:spacing w:line="640" w:lineRule="exact"/>
        <w:ind w:firstLine="640"/>
        <w:jc w:val="both"/>
        <w:outlineLvl w:val="2"/>
      </w:pPr>
      <w:r>
        <w:rPr>
          <w:rFonts w:ascii="黑体" w:hAnsi="黑体" w:eastAsia="黑体"/>
          <w:sz w:val="32"/>
        </w:rPr>
        <w:t>十、其他重要事项的情况说明</w:t>
      </w:r>
    </w:p>
    <w:p w14:paraId="684B8F0F">
      <w:pPr>
        <w:spacing w:line="640" w:lineRule="exact"/>
        <w:ind w:firstLine="640"/>
        <w:jc w:val="both"/>
        <w:outlineLvl w:val="3"/>
      </w:pPr>
      <w:r>
        <w:rPr>
          <w:rFonts w:ascii="楷体_GB2312" w:hAnsi="楷体_GB2312" w:eastAsia="楷体_GB2312"/>
          <w:b/>
          <w:sz w:val="32"/>
        </w:rPr>
        <w:t>（一）机关运行经费及公用经费支出情况</w:t>
      </w:r>
    </w:p>
    <w:p w14:paraId="41501555">
      <w:pPr>
        <w:spacing w:line="580" w:lineRule="exact"/>
        <w:ind w:firstLine="640"/>
        <w:jc w:val="both"/>
      </w:pPr>
      <w:r>
        <w:rPr>
          <w:rFonts w:ascii="仿宋_GB2312" w:hAnsi="仿宋_GB2312" w:eastAsia="仿宋_GB2312"/>
          <w:b w:val="0"/>
          <w:sz w:val="32"/>
        </w:rPr>
        <w:t>2024年度喀什地区卡拉苏口岸管理委员会（事业单位）公用经费支出33.30万元，比上年增加33.30万元，增长100.00%，主要原因是：本年为新增单位，无上年对比数据。</w:t>
      </w:r>
    </w:p>
    <w:p w14:paraId="40A5F75D">
      <w:pPr>
        <w:spacing w:line="640" w:lineRule="exact"/>
        <w:ind w:firstLine="640"/>
        <w:jc w:val="both"/>
        <w:outlineLvl w:val="3"/>
      </w:pPr>
      <w:r>
        <w:rPr>
          <w:rFonts w:ascii="楷体_GB2312" w:hAnsi="楷体_GB2312" w:eastAsia="楷体_GB2312"/>
          <w:b/>
          <w:sz w:val="32"/>
        </w:rPr>
        <w:t>（二）政府采购情况</w:t>
      </w:r>
    </w:p>
    <w:p w14:paraId="27774D4F">
      <w:pPr>
        <w:spacing w:line="580" w:lineRule="exact"/>
        <w:ind w:firstLine="640"/>
        <w:jc w:val="both"/>
      </w:pPr>
      <w:r>
        <w:rPr>
          <w:rFonts w:ascii="仿宋_GB2312" w:hAnsi="仿宋_GB2312" w:eastAsia="仿宋_GB2312"/>
          <w:b w:val="0"/>
          <w:sz w:val="32"/>
        </w:rPr>
        <w:t>2024年度政府采购支出总额516.60万元，其中：政府采购货物支出121.04万元、政府采购工程支出158.09万元、政府采购服务支出237.47万元。</w:t>
      </w:r>
    </w:p>
    <w:p w14:paraId="0889B398">
      <w:pPr>
        <w:spacing w:line="580" w:lineRule="exact"/>
        <w:ind w:firstLine="640"/>
        <w:jc w:val="both"/>
      </w:pPr>
      <w:r>
        <w:rPr>
          <w:rFonts w:ascii="仿宋_GB2312" w:hAnsi="仿宋_GB2312" w:eastAsia="仿宋_GB2312"/>
          <w:b w:val="0"/>
          <w:sz w:val="32"/>
        </w:rPr>
        <w:t>授予中小企业合同金额496.61万元，占政府采购支出总额的96.13%，其中：授予小微企业合同金额495.55万元，占政府采购支出总额的95.93%。</w:t>
      </w:r>
    </w:p>
    <w:p w14:paraId="2990BF42">
      <w:pPr>
        <w:spacing w:line="640" w:lineRule="exact"/>
        <w:ind w:firstLine="640"/>
        <w:jc w:val="both"/>
        <w:outlineLvl w:val="3"/>
      </w:pPr>
      <w:r>
        <w:rPr>
          <w:rFonts w:ascii="楷体_GB2312" w:hAnsi="楷体_GB2312" w:eastAsia="楷体_GB2312"/>
          <w:b/>
          <w:sz w:val="32"/>
        </w:rPr>
        <w:t>（三）国有资产占用情况说明</w:t>
      </w:r>
    </w:p>
    <w:p w14:paraId="122B58E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7246EDB9">
      <w:pPr>
        <w:spacing w:line="640" w:lineRule="exact"/>
        <w:ind w:firstLine="640"/>
        <w:jc w:val="both"/>
        <w:outlineLvl w:val="2"/>
      </w:pPr>
      <w:r>
        <w:rPr>
          <w:rFonts w:ascii="黑体" w:hAnsi="黑体" w:eastAsia="黑体"/>
          <w:sz w:val="32"/>
        </w:rPr>
        <w:t>十一、预算绩效的情况说明</w:t>
      </w:r>
    </w:p>
    <w:p w14:paraId="0D3D1EC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1,928.03万元，实际执行总额1,621.13万元；预算绩效评价项目4个，全年预算数1,487.05万元，全年执行数1,182.57万元。预算绩效管理取得的成效：一是预算管理精细化程度提高。绩效理念贯穿预算全流程，推动预算编制从“基数法”向“绩效导向”转变，要求每一笔资金都明确预期效益。同时，绩效评价指标体系不断细化，覆盖经济、社会、生态等多个维度，使预算管理更科学、透明。二是资金使用效益提升。通过建立“预算编制有目标、预算执行有监督、预算完成有评价、评价结果有应用”的闭环管理机制，有效遏制了资金“重分配、轻管理”“重投入、轻效益”的现象。例如，对项目绩效目标的事前审核，减少了低效、无效支出；绩效监督及时发现并纠偏执行中的偏差，避免了资金闲置或浪费，产出效益明显提升。发现的问题及原因：一是预算编制精准度有待提高：部分项目因[阐述原因，如市场价格波动、政策调整等]导致实际支出与预算偏差较大，影响预算执行的严肃性。二是绩效管理水平需提升：绩效指标设置不够细化、量化，在绩效评价过程中，部分指标难以准确衡量，降低了绩效评价的科学性和有效性。三是虽然在工作中充满热情、积极好学，但经验不多、知识储备不够，对绩效知识还需进一步加强学习。下一步改进措施：一是加强预算编制管理</w:t>
      </w:r>
      <w:r>
        <w:rPr>
          <w:rFonts w:hint="eastAsia" w:ascii="仿宋_GB2312" w:hAnsi="仿宋_GB2312" w:eastAsia="仿宋_GB2312"/>
          <w:b w:val="0"/>
          <w:sz w:val="32"/>
          <w:lang w:eastAsia="zh-CN"/>
        </w:rPr>
        <w:t>。</w:t>
      </w:r>
      <w:r>
        <w:rPr>
          <w:rFonts w:ascii="仿宋_GB2312" w:hAnsi="仿宋_GB2312" w:eastAsia="仿宋_GB2312"/>
          <w:b w:val="0"/>
          <w:sz w:val="32"/>
        </w:rPr>
        <w:t>深入开展项目前期调研，充分考虑各种影响因素，提高预算编制的科学性和准确性。同时，建立预算调整机制，规范调整流程，确保预算执行的合理性。二是完善绩效管理制度</w:t>
      </w:r>
      <w:r>
        <w:rPr>
          <w:rFonts w:hint="eastAsia" w:ascii="仿宋_GB2312" w:hAnsi="仿宋_GB2312" w:eastAsia="仿宋_GB2312"/>
          <w:b w:val="0"/>
          <w:sz w:val="32"/>
          <w:lang w:eastAsia="zh-CN"/>
        </w:rPr>
        <w:t>。</w:t>
      </w:r>
      <w:r>
        <w:rPr>
          <w:rFonts w:ascii="仿宋_GB2312" w:hAnsi="仿宋_GB2312" w:eastAsia="仿宋_GB2312"/>
          <w:b w:val="0"/>
          <w:sz w:val="32"/>
        </w:rPr>
        <w:t>优化绩效指标体系，使绩效指标更加细化、可衡量，贴合部门工作实际。加强绩效评价结果应用，将评价结果与预算安排、工作考核挂钩，提高绩效管理的约束力。具体附部门整体支出绩效自评表，项目支出绩效自评表和部门评价报告。</w:t>
      </w:r>
    </w:p>
    <w:p w14:paraId="2CAC5A1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392D761">
        <w:tblPrEx>
          <w:tblCellMar>
            <w:top w:w="0" w:type="dxa"/>
            <w:left w:w="108" w:type="dxa"/>
            <w:bottom w:w="0" w:type="dxa"/>
            <w:right w:w="108" w:type="dxa"/>
          </w:tblCellMar>
        </w:tblPrEx>
        <w:tc>
          <w:tcPr>
            <w:tcW w:w="8847" w:type="dxa"/>
            <w:gridSpan w:val="9"/>
            <w:vAlign w:val="center"/>
          </w:tcPr>
          <w:p w14:paraId="7BFFA374">
            <w:pPr>
              <w:jc w:val="center"/>
            </w:pPr>
            <w:r>
              <w:rPr>
                <w:rFonts w:ascii="宋体" w:hAnsi="宋体" w:eastAsia="宋体"/>
                <w:sz w:val="24"/>
              </w:rPr>
              <w:t>部门整体支出绩效自评表</w:t>
            </w:r>
          </w:p>
        </w:tc>
      </w:tr>
      <w:tr w14:paraId="72DCE168">
        <w:tblPrEx>
          <w:tblCellMar>
            <w:top w:w="0" w:type="dxa"/>
            <w:left w:w="108" w:type="dxa"/>
            <w:bottom w:w="0" w:type="dxa"/>
            <w:right w:w="108" w:type="dxa"/>
          </w:tblCellMar>
        </w:tblPrEx>
        <w:tc>
          <w:tcPr>
            <w:tcW w:w="8847" w:type="dxa"/>
            <w:gridSpan w:val="9"/>
            <w:vAlign w:val="center"/>
          </w:tcPr>
          <w:p w14:paraId="537F12A3">
            <w:pPr>
              <w:jc w:val="center"/>
            </w:pPr>
            <w:r>
              <w:rPr>
                <w:rFonts w:ascii="宋体" w:hAnsi="宋体" w:eastAsia="宋体"/>
                <w:sz w:val="24"/>
              </w:rPr>
              <w:t>（2024年度）</w:t>
            </w:r>
          </w:p>
        </w:tc>
      </w:tr>
      <w:tr w14:paraId="6C0626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8659D">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8054CC3">
            <w:pPr>
              <w:jc w:val="center"/>
            </w:pPr>
            <w:r>
              <w:rPr>
                <w:rFonts w:ascii="宋体" w:hAnsi="宋体" w:eastAsia="宋体"/>
                <w:sz w:val="16"/>
              </w:rPr>
              <w:t>喀什地区卡拉苏口岸管理委员会</w:t>
            </w:r>
          </w:p>
        </w:tc>
      </w:tr>
      <w:tr w14:paraId="4C89E0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EF66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79D7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4DA1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07C0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B667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C34E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418D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7A083">
            <w:pPr>
              <w:jc w:val="center"/>
            </w:pPr>
            <w:r>
              <w:rPr>
                <w:rFonts w:ascii="宋体" w:hAnsi="宋体" w:eastAsia="宋体"/>
                <w:sz w:val="16"/>
              </w:rPr>
              <w:t>得分</w:t>
            </w:r>
          </w:p>
        </w:tc>
      </w:tr>
      <w:tr w14:paraId="1F881C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49EF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40DA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32E87">
            <w:pPr>
              <w:jc w:val="center"/>
            </w:pPr>
            <w:r>
              <w:rPr>
                <w:rFonts w:ascii="宋体" w:hAnsi="宋体" w:eastAsia="宋体"/>
                <w:sz w:val="16"/>
              </w:rPr>
              <w:t>1,483.01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4C0CF">
            <w:pPr>
              <w:jc w:val="center"/>
            </w:pPr>
            <w:r>
              <w:rPr>
                <w:rFonts w:ascii="宋体" w:hAnsi="宋体" w:eastAsia="宋体"/>
                <w:sz w:val="16"/>
              </w:rPr>
              <w:t>1,928.03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8A5DC">
            <w:pPr>
              <w:jc w:val="center"/>
            </w:pPr>
            <w:r>
              <w:rPr>
                <w:rFonts w:ascii="宋体" w:hAnsi="宋体" w:eastAsia="宋体"/>
                <w:sz w:val="16"/>
              </w:rPr>
              <w:t>1,621.13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F71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1DC23">
            <w:pPr>
              <w:jc w:val="center"/>
            </w:pPr>
            <w:r>
              <w:rPr>
                <w:rFonts w:ascii="宋体" w:hAnsi="宋体" w:eastAsia="宋体"/>
                <w:sz w:val="16"/>
              </w:rPr>
              <w:t>84.08%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CE53">
            <w:pPr>
              <w:jc w:val="center"/>
            </w:pPr>
            <w:r>
              <w:rPr>
                <w:rFonts w:ascii="宋体" w:hAnsi="宋体" w:eastAsia="宋体"/>
                <w:sz w:val="16"/>
              </w:rPr>
              <w:t>8.41</w:t>
            </w:r>
          </w:p>
        </w:tc>
      </w:tr>
      <w:tr w14:paraId="6FDE8C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74B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8165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0E1C7">
            <w:pPr>
              <w:jc w:val="center"/>
            </w:pPr>
            <w:r>
              <w:rPr>
                <w:rFonts w:ascii="宋体" w:hAnsi="宋体" w:eastAsia="宋体"/>
                <w:sz w:val="16"/>
              </w:rPr>
              <w:t>1,145.63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0A63E">
            <w:pPr>
              <w:jc w:val="center"/>
            </w:pPr>
            <w:r>
              <w:rPr>
                <w:rFonts w:ascii="宋体" w:hAnsi="宋体" w:eastAsia="宋体"/>
                <w:sz w:val="16"/>
              </w:rPr>
              <w:t>1,510.47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98D8D">
            <w:pPr>
              <w:jc w:val="center"/>
            </w:pPr>
            <w:r>
              <w:rPr>
                <w:rFonts w:ascii="宋体" w:hAnsi="宋体" w:eastAsia="宋体"/>
                <w:sz w:val="16"/>
              </w:rPr>
              <w:t>1,203.57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5B7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13C2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EEE7">
            <w:pPr>
              <w:jc w:val="center"/>
            </w:pPr>
            <w:r>
              <w:rPr>
                <w:rFonts w:ascii="宋体" w:hAnsi="宋体" w:eastAsia="宋体"/>
                <w:sz w:val="16"/>
              </w:rPr>
              <w:t>—</w:t>
            </w:r>
          </w:p>
        </w:tc>
      </w:tr>
      <w:tr w14:paraId="26F28B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CED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FAD7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9DD43">
            <w:pPr>
              <w:jc w:val="center"/>
            </w:pPr>
            <w:r>
              <w:rPr>
                <w:rFonts w:ascii="宋体" w:hAnsi="宋体" w:eastAsia="宋体"/>
                <w:sz w:val="16"/>
              </w:rPr>
              <w:t>337.38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85965">
            <w:pPr>
              <w:jc w:val="center"/>
            </w:pPr>
            <w:r>
              <w:rPr>
                <w:rFonts w:ascii="宋体" w:hAnsi="宋体" w:eastAsia="宋体"/>
                <w:sz w:val="16"/>
              </w:rPr>
              <w:t>417.56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D2D84">
            <w:pPr>
              <w:jc w:val="center"/>
            </w:pPr>
            <w:r>
              <w:rPr>
                <w:rFonts w:ascii="宋体" w:hAnsi="宋体" w:eastAsia="宋体"/>
                <w:sz w:val="16"/>
              </w:rPr>
              <w:t>417.56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B20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947D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DD67">
            <w:pPr>
              <w:jc w:val="center"/>
            </w:pPr>
            <w:r>
              <w:rPr>
                <w:rFonts w:ascii="宋体" w:hAnsi="宋体" w:eastAsia="宋体"/>
                <w:sz w:val="16"/>
              </w:rPr>
              <w:t>—</w:t>
            </w:r>
          </w:p>
        </w:tc>
      </w:tr>
      <w:tr w14:paraId="107862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2AF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236B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9E1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C09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A7F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9DC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CD8D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167DD">
            <w:pPr>
              <w:jc w:val="center"/>
            </w:pPr>
            <w:r>
              <w:rPr>
                <w:rFonts w:ascii="宋体" w:hAnsi="宋体" w:eastAsia="宋体"/>
                <w:sz w:val="16"/>
              </w:rPr>
              <w:t>—</w:t>
            </w:r>
          </w:p>
        </w:tc>
      </w:tr>
      <w:tr w14:paraId="13E358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79C3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24928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3A21F4">
            <w:pPr>
              <w:jc w:val="center"/>
            </w:pPr>
            <w:r>
              <w:rPr>
                <w:rFonts w:ascii="宋体" w:hAnsi="宋体" w:eastAsia="宋体"/>
                <w:sz w:val="16"/>
              </w:rPr>
              <w:t>实际完成情况</w:t>
            </w:r>
          </w:p>
        </w:tc>
      </w:tr>
      <w:tr w14:paraId="7251DE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E631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0F9F38">
            <w:pPr>
              <w:jc w:val="both"/>
            </w:pPr>
            <w:r>
              <w:rPr>
                <w:rFonts w:ascii="宋体" w:hAnsi="宋体" w:eastAsia="宋体"/>
                <w:sz w:val="16"/>
              </w:rPr>
              <w:t>我单位2024年度严格执行项目资金预算支出，充分履行口岸工作职能；口岸工作按照党的二十大“加快建设西部陆海新通道”的战略部署做好口岸各项工作，卡拉苏口岸2024年全年通关时长为12个月，口岸进出口货物量达到30万吨、贸易额达到30亿美元及以上。提升口岸通关效率，优化口岸营商环境，与各联检单位充分发挥口岸联防联控工作机制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AE40DE">
            <w:pPr>
              <w:jc w:val="both"/>
            </w:pPr>
            <w:r>
              <w:rPr>
                <w:rFonts w:ascii="宋体" w:hAnsi="宋体" w:eastAsia="宋体"/>
                <w:sz w:val="16"/>
              </w:rPr>
              <w:t>1、卡拉苏口岸全年通关过货量：该指标预期指标值为30万吨，年中监控实际完成值为17.2万吨，根据我单位“2024年统计的卡拉苏口岸全年通关过货量”资料显示，有效提高通关过货量，2024年完成值为40.06万吨，该指标完成率为136.86%，卡拉苏口岸全年通关贸易额：该指标预期指标值为30亿美元，年中监控实际完成值为14.31万吨，根据我单位“2024年统计的卡拉苏口岸全年通关贸易额”资料显示，有效提高通过贸易额，2024年完成值为27.47亿美元，该指标完成率为91.57%，提升了口岸通关效率；强化口岸基础设施建设及维护提升口岸通关效率：该指标预期指标值为100%，年中监控实际完成值为100%，根据我单位“2024年统计的强化口岸基础设施建设及维护提升口岸通关效率”资料显示，有效提高通关效率，2024年完成值为100%，该指标完成率为100%，有效改善了口岸基础设施，保障了口岸正常通关；口岸工作对我区贸易、教育、医疗等方面的保障率：该指标预期指标值为100%，年中监控实际完成值为100%，根据我单位“2024年统计的口岸工作对我区贸易、教育、医疗等方面的保障率”资料显示，有效提高保障率，主要体现在以下几个方面：一是口岸的高效运作，确保了贸易通道的畅通无阻，促进了商品的快速流通，满足了我区贸易发展的需求；二是口岸提供的便捷服务，为教育领域的国际交流与合作提供了有力支持，使得我区教育机构能够便捷地引进优质教育资源；三是口岸的医疗卫生保障措施，有效应对了突发公共卫生事件，保障了我区居民的医疗健康需求。综上所述，口岸工作对我区贸易、教育、医疗等方面的保障率达到了预期目标，为我区的经济社会发展作出了积极贡献。2024年完成值为100%，该指标完成率为100%。卡拉苏口岸全年通关时长：该指标预期指标值为12个月，年中监控实际完成值为6个月，根据我单位“2024年统计的卡拉苏口岸全年通关时长”资料显示，有效提高全年通关时长，2024年完成值为12个月，该指标完成率为100%。口岸全年通关有效提升了贸易效率与便利性，促进了跨境物流的顺畅运行，加强了信息化建设以及提升了口岸服务能力；</w:t>
            </w:r>
          </w:p>
        </w:tc>
      </w:tr>
      <w:tr w14:paraId="39131E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7EC7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9A04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B774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AEFB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1EA9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2B31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326A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F890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8C800">
            <w:pPr>
              <w:jc w:val="center"/>
            </w:pPr>
            <w:r>
              <w:rPr>
                <w:rFonts w:ascii="宋体" w:hAnsi="宋体" w:eastAsia="宋体"/>
                <w:sz w:val="16"/>
              </w:rPr>
              <w:t>得分</w:t>
            </w:r>
          </w:p>
        </w:tc>
      </w:tr>
      <w:tr w14:paraId="2F0A8AE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0C14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28D7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E3DDC">
            <w:pPr>
              <w:jc w:val="center"/>
            </w:pPr>
            <w:r>
              <w:rPr>
                <w:rFonts w:ascii="宋体" w:hAnsi="宋体" w:eastAsia="宋体"/>
                <w:sz w:val="16"/>
              </w:rPr>
              <w:t>卡拉苏口岸全年通关过货量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0DD29">
            <w:pPr>
              <w:jc w:val="center"/>
            </w:pPr>
            <w:r>
              <w:rPr>
                <w:rFonts w:ascii="宋体" w:hAnsi="宋体" w:eastAsia="宋体"/>
                <w:sz w:val="16"/>
              </w:rPr>
              <w:t>&gt;=30万吨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02B56">
            <w:pPr>
              <w:jc w:val="center"/>
            </w:pPr>
            <w:r>
              <w:rPr>
                <w:rFonts w:ascii="宋体" w:hAnsi="宋体" w:eastAsia="宋体"/>
                <w:sz w:val="16"/>
              </w:rPr>
              <w:t>喀什地区卡拉苏口岸管理委员会2024年工作计划、喀什地区卡拉苏口岸管理委员会领导班子2023年度工作总结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FC2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BE229">
            <w:pPr>
              <w:jc w:val="center"/>
            </w:pPr>
            <w:r>
              <w:rPr>
                <w:rFonts w:ascii="宋体" w:hAnsi="宋体" w:eastAsia="宋体"/>
                <w:sz w:val="16"/>
              </w:rPr>
              <w:t>41.06万吨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6C1A5">
            <w:pPr>
              <w:jc w:val="center"/>
            </w:pPr>
            <w:r>
              <w:rPr>
                <w:rFonts w:ascii="宋体" w:hAnsi="宋体" w:eastAsia="宋体"/>
                <w:sz w:val="16"/>
              </w:rPr>
              <w:t>136.86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BECBF">
            <w:pPr>
              <w:jc w:val="center"/>
            </w:pPr>
            <w:r>
              <w:rPr>
                <w:rFonts w:ascii="宋体" w:hAnsi="宋体" w:eastAsia="宋体"/>
                <w:sz w:val="16"/>
              </w:rPr>
              <w:t>20</w:t>
            </w:r>
          </w:p>
        </w:tc>
      </w:tr>
      <w:tr w14:paraId="3558EE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6C3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E13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BC001">
            <w:pPr>
              <w:jc w:val="center"/>
            </w:pPr>
            <w:r>
              <w:rPr>
                <w:rFonts w:ascii="宋体" w:hAnsi="宋体" w:eastAsia="宋体"/>
                <w:sz w:val="16"/>
              </w:rPr>
              <w:t>卡拉苏口岸全年通关贸易额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C473C">
            <w:pPr>
              <w:jc w:val="center"/>
            </w:pPr>
            <w:r>
              <w:rPr>
                <w:rFonts w:ascii="宋体" w:hAnsi="宋体" w:eastAsia="宋体"/>
                <w:sz w:val="16"/>
              </w:rPr>
              <w:t>&gt;=30亿美元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98997">
            <w:pPr>
              <w:jc w:val="center"/>
            </w:pPr>
            <w:r>
              <w:rPr>
                <w:rFonts w:ascii="宋体" w:hAnsi="宋体" w:eastAsia="宋体"/>
                <w:sz w:val="16"/>
              </w:rPr>
              <w:t>喀什地区卡拉苏口岸管理委员会2024年工作计划、喀什地区卡拉苏口岸管理委员会领导班子2023年度工作总结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377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6784B">
            <w:pPr>
              <w:jc w:val="center"/>
            </w:pPr>
            <w:r>
              <w:rPr>
                <w:rFonts w:ascii="宋体" w:hAnsi="宋体" w:eastAsia="宋体"/>
                <w:sz w:val="16"/>
              </w:rPr>
              <w:t>27.47亿美元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93823">
            <w:pPr>
              <w:jc w:val="center"/>
            </w:pPr>
            <w:r>
              <w:rPr>
                <w:rFonts w:ascii="宋体" w:hAnsi="宋体" w:eastAsia="宋体"/>
                <w:sz w:val="16"/>
              </w:rPr>
              <w:t>91.57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31B1F">
            <w:pPr>
              <w:jc w:val="center"/>
            </w:pPr>
            <w:r>
              <w:rPr>
                <w:rFonts w:ascii="宋体" w:hAnsi="宋体" w:eastAsia="宋体"/>
                <w:sz w:val="16"/>
              </w:rPr>
              <w:t>18.31</w:t>
            </w:r>
          </w:p>
        </w:tc>
      </w:tr>
      <w:tr w14:paraId="4AAEEC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2677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51BD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91BFC">
            <w:pPr>
              <w:jc w:val="center"/>
            </w:pPr>
            <w:r>
              <w:rPr>
                <w:rFonts w:ascii="宋体" w:hAnsi="宋体" w:eastAsia="宋体"/>
                <w:sz w:val="16"/>
              </w:rPr>
              <w:t>强化口岸基础设施建设及维护提升口岸通关效率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B07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62AA7">
            <w:pPr>
              <w:jc w:val="center"/>
            </w:pPr>
            <w:r>
              <w:rPr>
                <w:rFonts w:ascii="宋体" w:hAnsi="宋体" w:eastAsia="宋体"/>
                <w:sz w:val="16"/>
              </w:rPr>
              <w:t>喀什地区卡拉苏口岸管理委员会2024年工作计划及总结、喀什地区卡拉苏口岸管理委员会领导班子2023年度工作总结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DAC6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6CD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242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6332F">
            <w:pPr>
              <w:jc w:val="center"/>
            </w:pPr>
            <w:r>
              <w:rPr>
                <w:rFonts w:ascii="宋体" w:hAnsi="宋体" w:eastAsia="宋体"/>
                <w:sz w:val="16"/>
              </w:rPr>
              <w:t>20</w:t>
            </w:r>
          </w:p>
        </w:tc>
      </w:tr>
      <w:tr w14:paraId="66CA4A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AAA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BA9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8FDFF">
            <w:pPr>
              <w:jc w:val="center"/>
            </w:pPr>
            <w:r>
              <w:rPr>
                <w:rFonts w:ascii="宋体" w:hAnsi="宋体" w:eastAsia="宋体"/>
                <w:sz w:val="16"/>
              </w:rPr>
              <w:t>口岸工作对我区贸易，教育，医疗等方面的保障率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9DD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DA46C">
            <w:pPr>
              <w:jc w:val="center"/>
            </w:pPr>
            <w:r>
              <w:rPr>
                <w:rFonts w:ascii="宋体" w:hAnsi="宋体" w:eastAsia="宋体"/>
                <w:sz w:val="16"/>
              </w:rPr>
              <w:t>喀什地区卡拉苏口岸管理委员会2024年工作计划、喀什地区卡拉苏口岸管理委员会领导班子2023年度工作总结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35B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0A9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A7A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30591">
            <w:pPr>
              <w:jc w:val="center"/>
            </w:pPr>
            <w:r>
              <w:rPr>
                <w:rFonts w:ascii="宋体" w:hAnsi="宋体" w:eastAsia="宋体"/>
                <w:sz w:val="16"/>
              </w:rPr>
              <w:t>10</w:t>
            </w:r>
          </w:p>
        </w:tc>
      </w:tr>
      <w:tr w14:paraId="2E69CE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7FF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4B3F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1D041">
            <w:pPr>
              <w:jc w:val="center"/>
            </w:pPr>
            <w:r>
              <w:rPr>
                <w:rFonts w:ascii="宋体" w:hAnsi="宋体" w:eastAsia="宋体"/>
                <w:sz w:val="16"/>
              </w:rPr>
              <w:t>卡拉苏口岸全年通关时长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1520C">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8C1C7">
            <w:pPr>
              <w:jc w:val="center"/>
            </w:pPr>
            <w:r>
              <w:rPr>
                <w:rFonts w:ascii="宋体" w:hAnsi="宋体" w:eastAsia="宋体"/>
                <w:sz w:val="16"/>
              </w:rPr>
              <w:t>喀什地区卡拉苏口岸管理委员会2024年工作计划、喀什地区卡拉苏口岸管理委员会领导班子2023年度工作总结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B3C6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8C6DE">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13E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A7941">
            <w:pPr>
              <w:jc w:val="center"/>
            </w:pPr>
            <w:r>
              <w:rPr>
                <w:rFonts w:ascii="宋体" w:hAnsi="宋体" w:eastAsia="宋体"/>
                <w:sz w:val="16"/>
              </w:rPr>
              <w:t>20</w:t>
            </w:r>
          </w:p>
        </w:tc>
      </w:tr>
    </w:tbl>
    <w:p w14:paraId="2FB90D28">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1"/>
        <w:gridCol w:w="615"/>
        <w:gridCol w:w="615"/>
        <w:gridCol w:w="776"/>
        <w:gridCol w:w="632"/>
        <w:gridCol w:w="596"/>
        <w:gridCol w:w="632"/>
      </w:tblGrid>
      <w:tr w14:paraId="2B626A5B">
        <w:tblPrEx>
          <w:tblCellMar>
            <w:top w:w="0" w:type="dxa"/>
            <w:left w:w="108" w:type="dxa"/>
            <w:bottom w:w="0" w:type="dxa"/>
            <w:right w:w="108" w:type="dxa"/>
          </w:tblCellMar>
        </w:tblPrEx>
        <w:tc>
          <w:tcPr>
            <w:tcW w:w="8848" w:type="dxa"/>
            <w:gridSpan w:val="14"/>
            <w:vAlign w:val="center"/>
          </w:tcPr>
          <w:p w14:paraId="1254FBC9">
            <w:pPr>
              <w:jc w:val="center"/>
            </w:pPr>
            <w:r>
              <w:rPr>
                <w:rFonts w:ascii="宋体" w:hAnsi="宋体" w:eastAsia="宋体"/>
                <w:sz w:val="24"/>
              </w:rPr>
              <w:t>项目支出绩效自评表</w:t>
            </w:r>
          </w:p>
        </w:tc>
      </w:tr>
      <w:tr w14:paraId="21C041DB">
        <w:tblPrEx>
          <w:tblCellMar>
            <w:top w:w="0" w:type="dxa"/>
            <w:left w:w="108" w:type="dxa"/>
            <w:bottom w:w="0" w:type="dxa"/>
            <w:right w:w="108" w:type="dxa"/>
          </w:tblCellMar>
        </w:tblPrEx>
        <w:tc>
          <w:tcPr>
            <w:tcW w:w="8848" w:type="dxa"/>
            <w:gridSpan w:val="14"/>
            <w:vAlign w:val="center"/>
          </w:tcPr>
          <w:p w14:paraId="792DD35F">
            <w:pPr>
              <w:jc w:val="center"/>
            </w:pPr>
            <w:r>
              <w:rPr>
                <w:rFonts w:ascii="宋体" w:hAnsi="宋体" w:eastAsia="宋体"/>
                <w:sz w:val="24"/>
              </w:rPr>
              <w:t>(2024年度)</w:t>
            </w:r>
          </w:p>
        </w:tc>
      </w:tr>
      <w:tr w14:paraId="7DE497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7A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CC0E6B">
            <w:pPr>
              <w:jc w:val="center"/>
            </w:pPr>
            <w:r>
              <w:rPr>
                <w:rFonts w:ascii="宋体" w:hAnsi="宋体" w:eastAsia="宋体"/>
                <w:sz w:val="16"/>
              </w:rPr>
              <w:t>2023年边境地区转移支付项目</w:t>
            </w:r>
          </w:p>
        </w:tc>
      </w:tr>
      <w:tr w14:paraId="2750E1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F5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02A6C">
            <w:pPr>
              <w:jc w:val="center"/>
            </w:pPr>
            <w:r>
              <w:rPr>
                <w:rFonts w:ascii="宋体" w:hAnsi="宋体" w:eastAsia="宋体"/>
                <w:sz w:val="16"/>
              </w:rPr>
              <w:t>喀什地区财政局行政政法科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32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E72FAF">
            <w:pPr>
              <w:jc w:val="center"/>
            </w:pPr>
            <w:r>
              <w:rPr>
                <w:rFonts w:ascii="宋体" w:hAnsi="宋体" w:eastAsia="宋体"/>
                <w:sz w:val="16"/>
              </w:rPr>
              <w:t>喀什地区卡拉苏口岸管理委员会</w:t>
            </w:r>
          </w:p>
        </w:tc>
      </w:tr>
      <w:tr w14:paraId="53AEBC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ADA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046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AEE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24E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857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26B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664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1B3D">
            <w:pPr>
              <w:jc w:val="center"/>
            </w:pPr>
            <w:r>
              <w:rPr>
                <w:rFonts w:ascii="宋体" w:hAnsi="宋体" w:eastAsia="宋体"/>
                <w:sz w:val="16"/>
              </w:rPr>
              <w:t>得分</w:t>
            </w:r>
          </w:p>
        </w:tc>
      </w:tr>
      <w:tr w14:paraId="2645D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D7B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BBF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02044">
            <w:pPr>
              <w:jc w:val="center"/>
            </w:pPr>
            <w:r>
              <w:rPr>
                <w:rFonts w:ascii="宋体" w:hAnsi="宋体" w:eastAsia="宋体"/>
                <w:sz w:val="16"/>
              </w:rPr>
              <w:t>252.95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04DD">
            <w:pPr>
              <w:jc w:val="center"/>
            </w:pPr>
            <w:r>
              <w:rPr>
                <w:rFonts w:ascii="宋体" w:hAnsi="宋体" w:eastAsia="宋体"/>
                <w:sz w:val="16"/>
              </w:rPr>
              <w:t>252.95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222B9">
            <w:pPr>
              <w:jc w:val="center"/>
            </w:pPr>
            <w:r>
              <w:rPr>
                <w:rFonts w:ascii="宋体" w:hAnsi="宋体" w:eastAsia="宋体"/>
                <w:sz w:val="16"/>
              </w:rPr>
              <w:t>252.95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8C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B76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57FA">
            <w:pPr>
              <w:jc w:val="center"/>
            </w:pPr>
            <w:r>
              <w:rPr>
                <w:rFonts w:ascii="宋体" w:hAnsi="宋体" w:eastAsia="宋体"/>
                <w:sz w:val="16"/>
              </w:rPr>
              <w:t>10.00分</w:t>
            </w:r>
          </w:p>
        </w:tc>
      </w:tr>
      <w:tr w14:paraId="2BC82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D0B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32F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8AF48">
            <w:pPr>
              <w:jc w:val="center"/>
            </w:pPr>
            <w:r>
              <w:rPr>
                <w:rFonts w:ascii="宋体" w:hAnsi="宋体" w:eastAsia="宋体"/>
                <w:sz w:val="16"/>
              </w:rPr>
              <w:t>252.95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034AD">
            <w:pPr>
              <w:jc w:val="center"/>
            </w:pPr>
            <w:r>
              <w:rPr>
                <w:rFonts w:ascii="宋体" w:hAnsi="宋体" w:eastAsia="宋体"/>
                <w:sz w:val="16"/>
              </w:rPr>
              <w:t>252.95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57108">
            <w:pPr>
              <w:jc w:val="center"/>
            </w:pPr>
            <w:r>
              <w:rPr>
                <w:rFonts w:ascii="宋体" w:hAnsi="宋体" w:eastAsia="宋体"/>
                <w:sz w:val="16"/>
              </w:rPr>
              <w:t>252.95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C5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4F4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B6E6">
            <w:pPr>
              <w:jc w:val="center"/>
            </w:pPr>
            <w:r>
              <w:rPr>
                <w:rFonts w:ascii="宋体" w:hAnsi="宋体" w:eastAsia="宋体"/>
                <w:sz w:val="16"/>
              </w:rPr>
              <w:t>—</w:t>
            </w:r>
          </w:p>
        </w:tc>
      </w:tr>
      <w:tr w14:paraId="37B73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864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738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BF8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395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386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64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21F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B732">
            <w:pPr>
              <w:jc w:val="center"/>
            </w:pPr>
            <w:r>
              <w:rPr>
                <w:rFonts w:ascii="宋体" w:hAnsi="宋体" w:eastAsia="宋体"/>
                <w:sz w:val="16"/>
              </w:rPr>
              <w:t>—</w:t>
            </w:r>
          </w:p>
        </w:tc>
      </w:tr>
      <w:tr w14:paraId="766D94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824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E44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CE0C47">
            <w:pPr>
              <w:jc w:val="center"/>
            </w:pPr>
            <w:r>
              <w:rPr>
                <w:rFonts w:ascii="宋体" w:hAnsi="宋体" w:eastAsia="宋体"/>
                <w:sz w:val="16"/>
              </w:rPr>
              <w:t>实际完成情况</w:t>
            </w:r>
          </w:p>
        </w:tc>
      </w:tr>
      <w:tr w14:paraId="45517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3E7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130B1">
            <w:pPr>
              <w:jc w:val="both"/>
            </w:pPr>
            <w:r>
              <w:rPr>
                <w:rFonts w:ascii="宋体" w:hAnsi="宋体" w:eastAsia="宋体"/>
                <w:sz w:val="16"/>
              </w:rPr>
              <w:t>该项目资金252.95万元用于开展口岸各类活动一次、口岸</w:t>
            </w:r>
            <w:r>
              <w:rPr>
                <w:rFonts w:hint="eastAsia" w:ascii="宋体" w:hAnsi="宋体"/>
                <w:sz w:val="16"/>
                <w:lang w:eastAsia="zh-CN"/>
              </w:rPr>
              <w:t>维</w:t>
            </w:r>
            <w:r>
              <w:rPr>
                <w:rFonts w:ascii="宋体" w:hAnsi="宋体" w:eastAsia="宋体"/>
                <w:sz w:val="16"/>
              </w:rPr>
              <w:t>护2次、租用口岸运转保障公务用车数量1辆，该项目的实施保障2023年喀什地区卡拉苏口岸各项工作正常开展进一步扩大卡拉苏口岸开放，提升通关效率，优化口岸营商环境，保障口岸基础设施正常运转，改善通关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5A80C6">
            <w:pPr>
              <w:jc w:val="both"/>
            </w:pPr>
            <w:r>
              <w:rPr>
                <w:rFonts w:ascii="宋体" w:hAnsi="宋体" w:eastAsia="宋体"/>
                <w:sz w:val="16"/>
              </w:rPr>
              <w:t>该项目财政拨款资金252.95万元，用于开展口岸各类活动一次、口岸维修护2次、租用口岸运转保障公务用车数量1辆，该项目的实施保障2023年喀什地区卡拉苏口岸各项工作正常开展进一步扩大卡拉苏口岸开放，提升通关效率，优化口岸营商环境，保障口岸基础设施正常运转，改善通关条件。卡拉苏口岸此次项目财政拨款252.45万元，口岸开展各类活动次数：1次，已完成指标数；口岸维修护次数：2次，已完成指标数；租用口岸运转保障公务用车数量：1辆，已完成指标数；工程验收合格率（%）：100%，已完成指标数；项目完成时间：2024</w:t>
            </w:r>
            <w:r>
              <w:rPr>
                <w:rFonts w:hint="eastAsia" w:ascii="宋体" w:hAnsi="宋体"/>
                <w:sz w:val="16"/>
                <w:lang w:val="en-US" w:eastAsia="zh-CN"/>
              </w:rPr>
              <w:t>年</w:t>
            </w:r>
            <w:r>
              <w:rPr>
                <w:rFonts w:ascii="宋体" w:hAnsi="宋体" w:eastAsia="宋体"/>
                <w:sz w:val="16"/>
              </w:rPr>
              <w:t>6月30日前；其中口岸办公经费：38.60万元，已完成支付；口岸</w:t>
            </w:r>
            <w:r>
              <w:rPr>
                <w:rFonts w:hint="eastAsia" w:ascii="宋体" w:hAnsi="宋体"/>
                <w:sz w:val="16"/>
                <w:lang w:eastAsia="zh-CN"/>
              </w:rPr>
              <w:t>维</w:t>
            </w:r>
            <w:r>
              <w:rPr>
                <w:rFonts w:ascii="宋体" w:hAnsi="宋体" w:eastAsia="宋体"/>
                <w:sz w:val="16"/>
              </w:rPr>
              <w:t>护费：79.30万元，已完成支付；口岸一线生活保障费：135.10万元，已完成支付；有效增强边境管控能力增长率：增强；口岸联检单位及进出口涉外贸易企业满意率：100%</w:t>
            </w:r>
          </w:p>
        </w:tc>
      </w:tr>
      <w:tr w14:paraId="0DFD2A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43AA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DF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B5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A3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DF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47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68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84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DC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7E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34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5E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A62D6">
            <w:pPr>
              <w:jc w:val="center"/>
            </w:pPr>
            <w:r>
              <w:rPr>
                <w:rFonts w:ascii="宋体" w:hAnsi="宋体" w:eastAsia="宋体"/>
                <w:sz w:val="16"/>
              </w:rPr>
              <w:t>偏差原因分析及改进措施</w:t>
            </w:r>
          </w:p>
        </w:tc>
      </w:tr>
      <w:tr w14:paraId="6AC611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A35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8BEF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3D4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2BCF">
            <w:pPr>
              <w:jc w:val="center"/>
            </w:pPr>
            <w:r>
              <w:rPr>
                <w:rFonts w:ascii="宋体" w:hAnsi="宋体" w:eastAsia="宋体"/>
                <w:sz w:val="16"/>
              </w:rPr>
              <w:t>口岸开展各类活动次数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DD1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1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71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7F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C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14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6EA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29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2072">
            <w:pPr>
              <w:jc w:val="center"/>
            </w:pPr>
          </w:p>
        </w:tc>
      </w:tr>
      <w:tr w14:paraId="6B681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A4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4A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802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73BF">
            <w:pPr>
              <w:jc w:val="center"/>
            </w:pPr>
            <w:r>
              <w:rPr>
                <w:rFonts w:ascii="宋体" w:hAnsi="宋体" w:eastAsia="宋体"/>
                <w:sz w:val="16"/>
              </w:rPr>
              <w:t>口岸</w:t>
            </w:r>
            <w:r>
              <w:rPr>
                <w:rFonts w:hint="eastAsia" w:ascii="宋体" w:hAnsi="宋体"/>
                <w:sz w:val="16"/>
                <w:lang w:eastAsia="zh-CN"/>
              </w:rPr>
              <w:t>维</w:t>
            </w:r>
            <w:r>
              <w:rPr>
                <w:rFonts w:ascii="宋体" w:hAnsi="宋体" w:eastAsia="宋体"/>
                <w:sz w:val="16"/>
              </w:rPr>
              <w:t>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4F9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A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C1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3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8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FD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71E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9F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54D0C">
            <w:pPr>
              <w:jc w:val="center"/>
            </w:pPr>
          </w:p>
        </w:tc>
      </w:tr>
      <w:tr w14:paraId="00CDA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AB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F3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FF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C339">
            <w:pPr>
              <w:jc w:val="center"/>
            </w:pPr>
            <w:r>
              <w:rPr>
                <w:rFonts w:ascii="宋体" w:hAnsi="宋体" w:eastAsia="宋体"/>
                <w:sz w:val="16"/>
              </w:rPr>
              <w:t>租用口岸运转保障公务用车数量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7A38">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8D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68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D9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5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B8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9B2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03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84478">
            <w:pPr>
              <w:jc w:val="center"/>
            </w:pPr>
          </w:p>
        </w:tc>
      </w:tr>
      <w:tr w14:paraId="6B617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87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49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51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D260">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4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C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D5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B9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9B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3F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2E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BC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8B42">
            <w:pPr>
              <w:jc w:val="center"/>
            </w:pPr>
          </w:p>
        </w:tc>
      </w:tr>
      <w:tr w14:paraId="01E6E38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B11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71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C9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C7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A546">
            <w:pPr>
              <w:jc w:val="center"/>
            </w:pPr>
            <w:r>
              <w:rPr>
                <w:rFonts w:ascii="宋体" w:hAnsi="宋体" w:eastAsia="宋体"/>
                <w:sz w:val="16"/>
              </w:rPr>
              <w:t>=2024年</w:t>
            </w:r>
            <w:r>
              <w:rPr>
                <w:rFonts w:hint="eastAsia" w:ascii="宋体" w:hAnsi="宋体"/>
                <w:sz w:val="16"/>
                <w:lang w:eastAsia="zh-CN"/>
              </w:rPr>
              <w:t>6月30日</w:t>
            </w:r>
            <w:r>
              <w:rPr>
                <w:rFonts w:ascii="宋体" w:hAnsi="宋体" w:eastAsia="宋体"/>
                <w:sz w:val="16"/>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76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53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17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1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3D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71F9">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05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40C8">
            <w:pPr>
              <w:jc w:val="center"/>
            </w:pPr>
          </w:p>
        </w:tc>
      </w:tr>
      <w:tr w14:paraId="1550F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6A2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030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A99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3D61">
            <w:pPr>
              <w:jc w:val="center"/>
            </w:pPr>
            <w:r>
              <w:rPr>
                <w:rFonts w:ascii="宋体" w:hAnsi="宋体" w:eastAsia="宋体"/>
                <w:sz w:val="16"/>
              </w:rPr>
              <w:t>口岸办公经费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411B">
            <w:pPr>
              <w:jc w:val="center"/>
            </w:pPr>
            <w:r>
              <w:rPr>
                <w:rFonts w:ascii="宋体" w:hAnsi="宋体" w:eastAsia="宋体"/>
                <w:sz w:val="16"/>
              </w:rPr>
              <w:t>&lt;=38.60万元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D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5F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5D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C67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52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FAF0">
            <w:pPr>
              <w:jc w:val="center"/>
            </w:pPr>
            <w:r>
              <w:rPr>
                <w:rFonts w:ascii="宋体" w:hAnsi="宋体" w:eastAsia="宋体"/>
                <w:sz w:val="16"/>
              </w:rPr>
              <w:t>=38.6万元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2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3A690">
            <w:pPr>
              <w:jc w:val="center"/>
            </w:pPr>
          </w:p>
        </w:tc>
      </w:tr>
      <w:tr w14:paraId="205C4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E1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FD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1D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85DA">
            <w:pPr>
              <w:jc w:val="center"/>
            </w:pPr>
            <w:r>
              <w:rPr>
                <w:rFonts w:ascii="宋体" w:hAnsi="宋体" w:eastAsia="宋体"/>
                <w:sz w:val="16"/>
              </w:rPr>
              <w:t>口岸</w:t>
            </w:r>
            <w:r>
              <w:rPr>
                <w:rFonts w:hint="eastAsia" w:ascii="宋体" w:hAnsi="宋体"/>
                <w:sz w:val="16"/>
                <w:lang w:eastAsia="zh-CN"/>
              </w:rPr>
              <w:t>维修</w:t>
            </w:r>
            <w:r>
              <w:rPr>
                <w:rFonts w:ascii="宋体" w:hAnsi="宋体" w:eastAsia="宋体"/>
                <w:sz w:val="16"/>
              </w:rPr>
              <w:t>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6A07">
            <w:pPr>
              <w:jc w:val="center"/>
            </w:pPr>
            <w:r>
              <w:rPr>
                <w:rFonts w:ascii="宋体" w:hAnsi="宋体" w:eastAsia="宋体"/>
                <w:sz w:val="16"/>
              </w:rPr>
              <w:t>&lt;=79.30万元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67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9F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C7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4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5D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7661">
            <w:pPr>
              <w:jc w:val="center"/>
            </w:pPr>
            <w:r>
              <w:rPr>
                <w:rFonts w:ascii="宋体" w:hAnsi="宋体" w:eastAsia="宋体"/>
                <w:sz w:val="16"/>
              </w:rPr>
              <w:t>=79.27万元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58D6">
            <w:pPr>
              <w:jc w:val="center"/>
            </w:pPr>
            <w:r>
              <w:rPr>
                <w:rFonts w:ascii="宋体" w:hAnsi="宋体" w:eastAsia="宋体"/>
                <w:sz w:val="16"/>
              </w:rPr>
              <w:t>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C6AC4">
            <w:pPr>
              <w:jc w:val="center"/>
            </w:pPr>
            <w:r>
              <w:rPr>
                <w:rFonts w:ascii="宋体" w:hAnsi="宋体" w:eastAsia="宋体"/>
                <w:sz w:val="16"/>
              </w:rPr>
              <w:t>偏差原因：年初绩效目标设置不合理，经济成本指标保留了一位小数，导致出现偏差</w:t>
            </w:r>
          </w:p>
        </w:tc>
      </w:tr>
      <w:tr w14:paraId="115AF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C2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F0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B2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2C85">
            <w:pPr>
              <w:jc w:val="center"/>
            </w:pPr>
            <w:r>
              <w:rPr>
                <w:rFonts w:ascii="宋体" w:hAnsi="宋体" w:eastAsia="宋体"/>
                <w:sz w:val="16"/>
              </w:rPr>
              <w:t>口岸一线生活保障费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470C">
            <w:pPr>
              <w:jc w:val="center"/>
            </w:pPr>
            <w:r>
              <w:rPr>
                <w:rFonts w:ascii="宋体" w:hAnsi="宋体" w:eastAsia="宋体"/>
                <w:sz w:val="16"/>
              </w:rPr>
              <w:t>&lt;=135.10万元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2E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42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82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1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8B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4789">
            <w:pPr>
              <w:jc w:val="center"/>
            </w:pPr>
            <w:r>
              <w:rPr>
                <w:rFonts w:ascii="宋体" w:hAnsi="宋体" w:eastAsia="宋体"/>
                <w:sz w:val="16"/>
              </w:rPr>
              <w:t>=135.08万元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E583">
            <w:pPr>
              <w:jc w:val="center"/>
            </w:pPr>
            <w:r>
              <w:rPr>
                <w:rFonts w:ascii="宋体" w:hAnsi="宋体" w:eastAsia="宋体"/>
                <w:sz w:val="16"/>
              </w:rPr>
              <w:t>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7EA7A">
            <w:pPr>
              <w:jc w:val="center"/>
            </w:pPr>
            <w:r>
              <w:rPr>
                <w:rFonts w:ascii="宋体" w:hAnsi="宋体" w:eastAsia="宋体"/>
                <w:sz w:val="16"/>
              </w:rPr>
              <w:t>偏差原因：年初绩效目标设置不合理，经济成本指标保留了一位小数，导致出现偏差</w:t>
            </w:r>
          </w:p>
        </w:tc>
      </w:tr>
      <w:tr w14:paraId="12702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94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88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4A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30D8">
            <w:pPr>
              <w:jc w:val="center"/>
            </w:pPr>
            <w:r>
              <w:rPr>
                <w:rFonts w:ascii="宋体" w:hAnsi="宋体" w:eastAsia="宋体"/>
                <w:sz w:val="16"/>
              </w:rPr>
              <w:t>有效增强边境管控能力增长率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68D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D2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66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35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B9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B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602A">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D6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519FD">
            <w:pPr>
              <w:jc w:val="center"/>
            </w:pPr>
          </w:p>
        </w:tc>
      </w:tr>
      <w:tr w14:paraId="16062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51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F5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29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3FBF">
            <w:pPr>
              <w:jc w:val="center"/>
            </w:pPr>
            <w:r>
              <w:rPr>
                <w:rFonts w:ascii="宋体" w:hAnsi="宋体" w:eastAsia="宋体"/>
                <w:sz w:val="16"/>
              </w:rPr>
              <w:t>口岸联检单位及进出口涉外贸易企业满意率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C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F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7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16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0C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D3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C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52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47B9D">
            <w:pPr>
              <w:jc w:val="center"/>
            </w:pPr>
          </w:p>
        </w:tc>
      </w:tr>
      <w:tr w14:paraId="58D82F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249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7C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96A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960B">
            <w:pPr>
              <w:jc w:val="center"/>
            </w:pPr>
            <w:r>
              <w:rPr>
                <w:rFonts w:ascii="宋体" w:hAnsi="宋体" w:eastAsia="宋体"/>
                <w:sz w:val="16"/>
              </w:rPr>
              <w:t>99.98分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B61408"/>
        </w:tc>
      </w:tr>
    </w:tbl>
    <w:p w14:paraId="11CBA96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A6239E6">
        <w:tblPrEx>
          <w:tblCellMar>
            <w:top w:w="0" w:type="dxa"/>
            <w:left w:w="108" w:type="dxa"/>
            <w:bottom w:w="0" w:type="dxa"/>
            <w:right w:w="108" w:type="dxa"/>
          </w:tblCellMar>
        </w:tblPrEx>
        <w:tc>
          <w:tcPr>
            <w:tcW w:w="8848" w:type="dxa"/>
            <w:gridSpan w:val="14"/>
            <w:vAlign w:val="center"/>
          </w:tcPr>
          <w:p w14:paraId="271933FB">
            <w:pPr>
              <w:jc w:val="center"/>
            </w:pPr>
            <w:r>
              <w:rPr>
                <w:rFonts w:ascii="宋体" w:hAnsi="宋体" w:eastAsia="宋体"/>
                <w:sz w:val="24"/>
              </w:rPr>
              <w:t>项目支出绩效自评表</w:t>
            </w:r>
          </w:p>
        </w:tc>
      </w:tr>
      <w:tr w14:paraId="48F1CFA1">
        <w:tblPrEx>
          <w:tblCellMar>
            <w:top w:w="0" w:type="dxa"/>
            <w:left w:w="108" w:type="dxa"/>
            <w:bottom w:w="0" w:type="dxa"/>
            <w:right w:w="108" w:type="dxa"/>
          </w:tblCellMar>
        </w:tblPrEx>
        <w:tc>
          <w:tcPr>
            <w:tcW w:w="8848" w:type="dxa"/>
            <w:gridSpan w:val="14"/>
            <w:vAlign w:val="center"/>
          </w:tcPr>
          <w:p w14:paraId="23D09A71">
            <w:pPr>
              <w:jc w:val="center"/>
            </w:pPr>
            <w:r>
              <w:rPr>
                <w:rFonts w:ascii="宋体" w:hAnsi="宋体" w:eastAsia="宋体"/>
                <w:sz w:val="24"/>
              </w:rPr>
              <w:t>(2024年度)</w:t>
            </w:r>
          </w:p>
        </w:tc>
      </w:tr>
      <w:tr w14:paraId="55DA79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A0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0F8F08">
            <w:pPr>
              <w:jc w:val="center"/>
            </w:pPr>
            <w:r>
              <w:rPr>
                <w:rFonts w:ascii="宋体" w:hAnsi="宋体" w:eastAsia="宋体"/>
                <w:sz w:val="16"/>
              </w:rPr>
              <w:t>2024年免除查验没有问题外贸企业吊装移位仓储费用试点项目</w:t>
            </w:r>
          </w:p>
        </w:tc>
      </w:tr>
      <w:tr w14:paraId="1ADE45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02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49A748">
            <w:pPr>
              <w:jc w:val="center"/>
            </w:pPr>
            <w:r>
              <w:rPr>
                <w:rFonts w:ascii="宋体" w:hAnsi="宋体" w:eastAsia="宋体"/>
                <w:sz w:val="16"/>
              </w:rPr>
              <w:t>喀什地区财政局行政政法科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A3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604E22">
            <w:pPr>
              <w:jc w:val="center"/>
            </w:pPr>
            <w:r>
              <w:rPr>
                <w:rFonts w:ascii="宋体" w:hAnsi="宋体" w:eastAsia="宋体"/>
                <w:sz w:val="16"/>
              </w:rPr>
              <w:t>喀什地区卡拉苏口岸管理委员会</w:t>
            </w:r>
          </w:p>
        </w:tc>
      </w:tr>
      <w:tr w14:paraId="716419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D72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0BA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68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921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7DF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61A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5E8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F0B2">
            <w:pPr>
              <w:jc w:val="center"/>
            </w:pPr>
            <w:r>
              <w:rPr>
                <w:rFonts w:ascii="宋体" w:hAnsi="宋体" w:eastAsia="宋体"/>
                <w:sz w:val="16"/>
              </w:rPr>
              <w:t>得分</w:t>
            </w:r>
          </w:p>
        </w:tc>
      </w:tr>
      <w:tr w14:paraId="2BFD7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B54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08A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A8982">
            <w:pPr>
              <w:jc w:val="center"/>
            </w:pPr>
            <w:r>
              <w:rPr>
                <w:rFonts w:ascii="宋体" w:hAnsi="宋体" w:eastAsia="宋体"/>
                <w:sz w:val="16"/>
              </w:rPr>
              <w:t>181.22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821FF">
            <w:pPr>
              <w:jc w:val="center"/>
            </w:pPr>
            <w:r>
              <w:rPr>
                <w:rFonts w:ascii="宋体" w:hAnsi="宋体" w:eastAsia="宋体"/>
                <w:sz w:val="16"/>
              </w:rPr>
              <w:t>181.22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79DB">
            <w:pPr>
              <w:jc w:val="center"/>
            </w:pPr>
            <w:r>
              <w:rPr>
                <w:rFonts w:ascii="宋体" w:hAnsi="宋体" w:eastAsia="宋体"/>
                <w:sz w:val="16"/>
              </w:rPr>
              <w:t>176.07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AC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5C4E8">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EB06">
            <w:pPr>
              <w:jc w:val="center"/>
            </w:pPr>
            <w:r>
              <w:rPr>
                <w:rFonts w:ascii="宋体" w:hAnsi="宋体" w:eastAsia="宋体"/>
                <w:sz w:val="16"/>
              </w:rPr>
              <w:t>10.00分</w:t>
            </w:r>
          </w:p>
        </w:tc>
      </w:tr>
      <w:tr w14:paraId="6E0B8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6C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C50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58C79">
            <w:pPr>
              <w:jc w:val="center"/>
            </w:pPr>
            <w:r>
              <w:rPr>
                <w:rFonts w:ascii="宋体" w:hAnsi="宋体" w:eastAsia="宋体"/>
                <w:sz w:val="16"/>
              </w:rPr>
              <w:t>181.22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3FFCE">
            <w:pPr>
              <w:jc w:val="center"/>
            </w:pPr>
            <w:r>
              <w:rPr>
                <w:rFonts w:ascii="宋体" w:hAnsi="宋体" w:eastAsia="宋体"/>
                <w:sz w:val="16"/>
              </w:rPr>
              <w:t>181.22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F645C">
            <w:pPr>
              <w:jc w:val="center"/>
            </w:pPr>
            <w:r>
              <w:rPr>
                <w:rFonts w:ascii="宋体" w:hAnsi="宋体" w:eastAsia="宋体"/>
                <w:sz w:val="16"/>
              </w:rPr>
              <w:t>176.07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5D8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B9B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A1BD">
            <w:pPr>
              <w:jc w:val="center"/>
            </w:pPr>
            <w:r>
              <w:rPr>
                <w:rFonts w:ascii="宋体" w:hAnsi="宋体" w:eastAsia="宋体"/>
                <w:sz w:val="16"/>
              </w:rPr>
              <w:t>—</w:t>
            </w:r>
          </w:p>
        </w:tc>
      </w:tr>
      <w:tr w14:paraId="78A42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D92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A2E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A2E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99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C6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441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B83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F331">
            <w:pPr>
              <w:jc w:val="center"/>
            </w:pPr>
            <w:r>
              <w:rPr>
                <w:rFonts w:ascii="宋体" w:hAnsi="宋体" w:eastAsia="宋体"/>
                <w:sz w:val="16"/>
              </w:rPr>
              <w:t>—</w:t>
            </w:r>
          </w:p>
        </w:tc>
      </w:tr>
      <w:tr w14:paraId="2C803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22D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C79A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3905F8">
            <w:pPr>
              <w:jc w:val="center"/>
            </w:pPr>
            <w:r>
              <w:rPr>
                <w:rFonts w:ascii="宋体" w:hAnsi="宋体" w:eastAsia="宋体"/>
                <w:sz w:val="16"/>
              </w:rPr>
              <w:t>实际完成情况</w:t>
            </w:r>
          </w:p>
        </w:tc>
      </w:tr>
      <w:tr w14:paraId="644A0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449F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CF84F">
            <w:pPr>
              <w:jc w:val="both"/>
            </w:pPr>
            <w:r>
              <w:rPr>
                <w:rFonts w:ascii="宋体" w:hAnsi="宋体" w:eastAsia="宋体"/>
                <w:sz w:val="16"/>
              </w:rPr>
              <w:t>本项目依据国务院《关于改进口岸工作支持外贸发展的若干意见》（国发〖2016〗16号）、《关于印发</w:t>
            </w:r>
            <w:r>
              <w:rPr>
                <w:rFonts w:hint="eastAsia" w:ascii="宋体" w:hAnsi="宋体"/>
                <w:sz w:val="16"/>
                <w:lang w:eastAsia="zh-CN"/>
              </w:rPr>
              <w:t>〈</w:t>
            </w:r>
            <w:r>
              <w:rPr>
                <w:rFonts w:ascii="宋体" w:hAnsi="宋体" w:eastAsia="宋体"/>
                <w:sz w:val="16"/>
              </w:rPr>
              <w:t>新疆维吾尔自治区关于免除查验没有问题外贸企业吊装移位仓储费用全面试点工作的实施方案&gt;的通知》（新财行</w:t>
            </w:r>
            <w:r>
              <w:rPr>
                <w:rFonts w:hint="eastAsia" w:ascii="宋体" w:hAnsi="宋体"/>
                <w:sz w:val="16"/>
                <w:lang w:eastAsia="zh-CN"/>
              </w:rPr>
              <w:t>〔2024〕319号</w:t>
            </w:r>
            <w:r>
              <w:rPr>
                <w:rFonts w:ascii="宋体" w:hAnsi="宋体" w:eastAsia="宋体"/>
                <w:sz w:val="16"/>
              </w:rPr>
              <w:t>）文件精神立项，符合国家、自治区以及喀什地区等相关政策、规划和法律法规。    2024年拨付专项资金免除查验没有问题外贸企业吊装移位仓储费资金共计181.22万元，目前统计免除查验没有问题外贸企业大于等于17家，计划平均每个外贸企业10.66万元的补贴资金。财政拨付的专项资金保障外贸企业享受补贴，保障卡拉苏口岸通关正常运转。减轻外贸企业的经济负担，促进外贸稳定健康发展；预计在2024年底前执行完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1818BE">
            <w:pPr>
              <w:jc w:val="both"/>
            </w:pPr>
            <w:r>
              <w:rPr>
                <w:rFonts w:ascii="宋体" w:hAnsi="宋体" w:eastAsia="宋体"/>
                <w:sz w:val="16"/>
              </w:rPr>
              <w:t>本项目为查验没有问题外贸企业吊装移位仓储费用全面试点资金，全年拨款资金181.22万元，2024年免除查验没有问题外贸企业吊装移位仓储费用目标完成值为176.07万元，共19家查验没有问题外贸企业，目标完成率较好。将</w:t>
            </w:r>
            <w:r>
              <w:rPr>
                <w:rFonts w:hint="eastAsia" w:ascii="宋体" w:hAnsi="宋体"/>
                <w:sz w:val="16"/>
                <w:lang w:eastAsia="zh-CN"/>
              </w:rPr>
              <w:t>达到</w:t>
            </w:r>
            <w:r>
              <w:rPr>
                <w:rFonts w:ascii="宋体" w:hAnsi="宋体" w:eastAsia="宋体"/>
                <w:sz w:val="16"/>
              </w:rPr>
              <w:t>减轻外贸企业负担，促进外贸稳定有序发展。</w:t>
            </w:r>
          </w:p>
        </w:tc>
      </w:tr>
      <w:tr w14:paraId="30D6C4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D94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3B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53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D1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A7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84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E1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BF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C7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B9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191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97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E2318">
            <w:pPr>
              <w:jc w:val="center"/>
            </w:pPr>
            <w:r>
              <w:rPr>
                <w:rFonts w:ascii="宋体" w:hAnsi="宋体" w:eastAsia="宋体"/>
                <w:sz w:val="16"/>
              </w:rPr>
              <w:t>偏差原因分析及改进措施</w:t>
            </w:r>
          </w:p>
        </w:tc>
      </w:tr>
      <w:tr w14:paraId="3403F7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E03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5D89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CA0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02A4">
            <w:pPr>
              <w:jc w:val="center"/>
            </w:pPr>
            <w:r>
              <w:rPr>
                <w:rFonts w:ascii="宋体" w:hAnsi="宋体" w:eastAsia="宋体"/>
                <w:sz w:val="16"/>
              </w:rPr>
              <w:t>受益外贸企业数量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EA82">
            <w:pPr>
              <w:jc w:val="center"/>
            </w:pPr>
            <w:r>
              <w:rPr>
                <w:rFonts w:ascii="宋体" w:hAnsi="宋体" w:eastAsia="宋体"/>
                <w:sz w:val="16"/>
              </w:rPr>
              <w:t>&gt;=17个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1C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16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02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7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7A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8BCA">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E40A">
            <w:pPr>
              <w:jc w:val="center"/>
            </w:pPr>
            <w:r>
              <w:rPr>
                <w:rFonts w:ascii="宋体" w:hAnsi="宋体" w:eastAsia="宋体"/>
                <w:sz w:val="16"/>
              </w:rPr>
              <w:t>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FF7E8">
            <w:pPr>
              <w:jc w:val="center"/>
            </w:pPr>
            <w:r>
              <w:rPr>
                <w:rFonts w:ascii="宋体" w:hAnsi="宋体" w:eastAsia="宋体"/>
                <w:sz w:val="16"/>
              </w:rPr>
              <w:t>偏差原因：绩效目标设置不合理，数量指标设置较少，导致出现偏差</w:t>
            </w:r>
          </w:p>
        </w:tc>
      </w:tr>
      <w:tr w14:paraId="60B5D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58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8E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69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227A0">
            <w:pPr>
              <w:jc w:val="center"/>
            </w:pPr>
            <w:r>
              <w:rPr>
                <w:rFonts w:ascii="宋体" w:hAnsi="宋体" w:eastAsia="宋体"/>
                <w:sz w:val="16"/>
              </w:rPr>
              <w:t>保障口岸数量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B7D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94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5E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6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B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14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55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A3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A4479">
            <w:pPr>
              <w:jc w:val="center"/>
            </w:pPr>
          </w:p>
        </w:tc>
      </w:tr>
      <w:tr w14:paraId="41399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C0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64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76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A8FC">
            <w:pPr>
              <w:jc w:val="center"/>
            </w:pPr>
            <w:r>
              <w:rPr>
                <w:rFonts w:ascii="宋体" w:hAnsi="宋体" w:eastAsia="宋体"/>
                <w:sz w:val="16"/>
              </w:rPr>
              <w:t>外贸企业补贴准确率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67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4FF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73E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D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48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2E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F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E5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DC22">
            <w:pPr>
              <w:jc w:val="center"/>
            </w:pPr>
          </w:p>
        </w:tc>
      </w:tr>
      <w:tr w14:paraId="68AB6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77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3D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8E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8F34">
            <w:pPr>
              <w:jc w:val="center"/>
            </w:pPr>
            <w:r>
              <w:rPr>
                <w:rFonts w:ascii="宋体" w:hAnsi="宋体" w:eastAsia="宋体"/>
                <w:sz w:val="16"/>
              </w:rPr>
              <w:t>外贸企业补贴按时结算率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53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21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FD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E9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46F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111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5A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D2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5D3E1">
            <w:pPr>
              <w:jc w:val="center"/>
            </w:pPr>
          </w:p>
        </w:tc>
      </w:tr>
      <w:tr w14:paraId="6FFBA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0A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9F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2F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C11F">
            <w:pPr>
              <w:jc w:val="center"/>
            </w:pPr>
            <w:r>
              <w:rPr>
                <w:rFonts w:ascii="宋体" w:hAnsi="宋体" w:eastAsia="宋体"/>
                <w:sz w:val="16"/>
              </w:rPr>
              <w:t>外贸企业项目平均补贴成本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7B7C">
            <w:pPr>
              <w:jc w:val="center"/>
            </w:pPr>
            <w:r>
              <w:rPr>
                <w:rFonts w:ascii="宋体" w:hAnsi="宋体" w:eastAsia="宋体"/>
                <w:sz w:val="16"/>
              </w:rPr>
              <w:t>&lt;=10.66万元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3EE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E1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87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7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CD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4B06">
            <w:pPr>
              <w:jc w:val="center"/>
            </w:pPr>
            <w:r>
              <w:rPr>
                <w:rFonts w:ascii="宋体" w:hAnsi="宋体" w:eastAsia="宋体"/>
                <w:sz w:val="16"/>
              </w:rPr>
              <w:t>=9.27万元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B6AE">
            <w:pPr>
              <w:jc w:val="center"/>
            </w:pPr>
            <w:r>
              <w:rPr>
                <w:rFonts w:ascii="宋体" w:hAnsi="宋体" w:eastAsia="宋体"/>
                <w:sz w:val="16"/>
              </w:rPr>
              <w:t>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0C6C2">
            <w:pPr>
              <w:jc w:val="center"/>
            </w:pPr>
            <w:r>
              <w:rPr>
                <w:rFonts w:ascii="宋体" w:hAnsi="宋体" w:eastAsia="宋体"/>
                <w:sz w:val="16"/>
              </w:rPr>
              <w:t>偏差原因：口岸12月的免除查验没有问题外贸企业吊装移位仓储费在2025年一月份才能汇总完成，导致出现偏差</w:t>
            </w:r>
          </w:p>
        </w:tc>
      </w:tr>
      <w:tr w14:paraId="0CEEB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AE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55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57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EB8A">
            <w:pPr>
              <w:jc w:val="center"/>
            </w:pPr>
            <w:r>
              <w:rPr>
                <w:rFonts w:ascii="宋体" w:hAnsi="宋体" w:eastAsia="宋体"/>
                <w:sz w:val="16"/>
              </w:rPr>
              <w:t>减轻外贸企业负担，促进外贸稳定健康发展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CEE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078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881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9F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52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C1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FA7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81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E31AF">
            <w:pPr>
              <w:jc w:val="center"/>
            </w:pPr>
          </w:p>
        </w:tc>
      </w:tr>
      <w:tr w14:paraId="658B2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2F4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2E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48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22EC">
            <w:pPr>
              <w:jc w:val="center"/>
            </w:pPr>
            <w:r>
              <w:rPr>
                <w:rFonts w:ascii="宋体" w:hAnsi="宋体" w:eastAsia="宋体"/>
                <w:sz w:val="16"/>
              </w:rPr>
              <w:t>受益外贸企业满意度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4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35C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8C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DE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CA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59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19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BE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6BD4A">
            <w:pPr>
              <w:jc w:val="center"/>
            </w:pPr>
          </w:p>
        </w:tc>
      </w:tr>
      <w:tr w14:paraId="2EEB88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0E7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A1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F2B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6DFC">
            <w:pPr>
              <w:jc w:val="center"/>
            </w:pPr>
            <w:r>
              <w:rPr>
                <w:rFonts w:ascii="宋体" w:hAnsi="宋体" w:eastAsia="宋体"/>
                <w:sz w:val="16"/>
              </w:rPr>
              <w:t>97.43分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8E84BA"/>
        </w:tc>
      </w:tr>
    </w:tbl>
    <w:p w14:paraId="065A4553">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20"/>
        <w:gridCol w:w="618"/>
        <w:gridCol w:w="620"/>
        <w:gridCol w:w="615"/>
        <w:gridCol w:w="615"/>
        <w:gridCol w:w="776"/>
        <w:gridCol w:w="632"/>
        <w:gridCol w:w="595"/>
        <w:gridCol w:w="626"/>
      </w:tblGrid>
      <w:tr w14:paraId="4B16C51E">
        <w:tblPrEx>
          <w:tblCellMar>
            <w:top w:w="0" w:type="dxa"/>
            <w:left w:w="108" w:type="dxa"/>
            <w:bottom w:w="0" w:type="dxa"/>
            <w:right w:w="108" w:type="dxa"/>
          </w:tblCellMar>
        </w:tblPrEx>
        <w:tc>
          <w:tcPr>
            <w:tcW w:w="8848" w:type="dxa"/>
            <w:gridSpan w:val="14"/>
            <w:vAlign w:val="center"/>
          </w:tcPr>
          <w:p w14:paraId="6C1AAB68">
            <w:pPr>
              <w:jc w:val="center"/>
            </w:pPr>
            <w:r>
              <w:rPr>
                <w:rFonts w:ascii="宋体" w:hAnsi="宋体" w:eastAsia="宋体"/>
                <w:sz w:val="24"/>
              </w:rPr>
              <w:t>项目支出绩效自评表</w:t>
            </w:r>
          </w:p>
        </w:tc>
      </w:tr>
      <w:tr w14:paraId="54423864">
        <w:tblPrEx>
          <w:tblCellMar>
            <w:top w:w="0" w:type="dxa"/>
            <w:left w:w="108" w:type="dxa"/>
            <w:bottom w:w="0" w:type="dxa"/>
            <w:right w:w="108" w:type="dxa"/>
          </w:tblCellMar>
        </w:tblPrEx>
        <w:tc>
          <w:tcPr>
            <w:tcW w:w="8848" w:type="dxa"/>
            <w:gridSpan w:val="14"/>
            <w:vAlign w:val="center"/>
          </w:tcPr>
          <w:p w14:paraId="13DD4C4A">
            <w:pPr>
              <w:jc w:val="center"/>
            </w:pPr>
            <w:r>
              <w:rPr>
                <w:rFonts w:ascii="宋体" w:hAnsi="宋体" w:eastAsia="宋体"/>
                <w:sz w:val="24"/>
              </w:rPr>
              <w:t>(2024年度)</w:t>
            </w:r>
          </w:p>
        </w:tc>
      </w:tr>
      <w:tr w14:paraId="602A43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66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287415">
            <w:pPr>
              <w:jc w:val="center"/>
            </w:pPr>
            <w:r>
              <w:rPr>
                <w:rFonts w:ascii="宋体" w:hAnsi="宋体" w:eastAsia="宋体"/>
                <w:sz w:val="16"/>
              </w:rPr>
              <w:t>保障口岸运转项目</w:t>
            </w:r>
          </w:p>
        </w:tc>
      </w:tr>
      <w:tr w14:paraId="0E56CC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AC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14CBD">
            <w:pPr>
              <w:jc w:val="center"/>
            </w:pPr>
            <w:r>
              <w:rPr>
                <w:rFonts w:ascii="宋体" w:hAnsi="宋体" w:eastAsia="宋体"/>
                <w:sz w:val="16"/>
              </w:rPr>
              <w:t>喀什地区财政局行政政法科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87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7D87BD">
            <w:pPr>
              <w:jc w:val="center"/>
            </w:pPr>
            <w:r>
              <w:rPr>
                <w:rFonts w:ascii="宋体" w:hAnsi="宋体" w:eastAsia="宋体"/>
                <w:sz w:val="16"/>
              </w:rPr>
              <w:t>喀什地区卡拉苏口岸管理委员会</w:t>
            </w:r>
          </w:p>
        </w:tc>
      </w:tr>
      <w:tr w14:paraId="54A1E5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996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210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569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FED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FEA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CB7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494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6E8A">
            <w:pPr>
              <w:jc w:val="center"/>
            </w:pPr>
            <w:r>
              <w:rPr>
                <w:rFonts w:ascii="宋体" w:hAnsi="宋体" w:eastAsia="宋体"/>
                <w:sz w:val="16"/>
              </w:rPr>
              <w:t>得分</w:t>
            </w:r>
          </w:p>
        </w:tc>
      </w:tr>
      <w:tr w14:paraId="7E58C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CD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5D3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18CB0">
            <w:pPr>
              <w:jc w:val="center"/>
            </w:pPr>
            <w:r>
              <w:rPr>
                <w:rFonts w:ascii="宋体" w:hAnsi="宋体" w:eastAsia="宋体"/>
                <w:sz w:val="16"/>
              </w:rPr>
              <w:t>892.68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2BEA8">
            <w:pPr>
              <w:jc w:val="center"/>
            </w:pPr>
            <w:r>
              <w:rPr>
                <w:rFonts w:ascii="宋体" w:hAnsi="宋体" w:eastAsia="宋体"/>
                <w:sz w:val="16"/>
              </w:rPr>
              <w:t>1,051.68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C867F">
            <w:pPr>
              <w:jc w:val="center"/>
            </w:pPr>
            <w:r>
              <w:rPr>
                <w:rFonts w:ascii="宋体" w:hAnsi="宋体" w:eastAsia="宋体"/>
                <w:sz w:val="16"/>
              </w:rPr>
              <w:t>752.35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6ED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F6112">
            <w:pPr>
              <w:jc w:val="center"/>
            </w:pPr>
            <w:r>
              <w:rPr>
                <w:rFonts w:ascii="宋体" w:hAnsi="宋体" w:eastAsia="宋体"/>
                <w:sz w:val="16"/>
              </w:rPr>
              <w:t>71.54%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0A90">
            <w:pPr>
              <w:jc w:val="center"/>
            </w:pPr>
            <w:r>
              <w:rPr>
                <w:rFonts w:ascii="宋体" w:hAnsi="宋体" w:eastAsia="宋体"/>
                <w:sz w:val="16"/>
              </w:rPr>
              <w:t>2.89分</w:t>
            </w:r>
          </w:p>
        </w:tc>
      </w:tr>
      <w:tr w14:paraId="5E41E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CD5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8F5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FCB4B">
            <w:pPr>
              <w:jc w:val="center"/>
            </w:pPr>
            <w:r>
              <w:rPr>
                <w:rFonts w:ascii="宋体" w:hAnsi="宋体" w:eastAsia="宋体"/>
                <w:sz w:val="16"/>
              </w:rPr>
              <w:t>892.68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60F76">
            <w:pPr>
              <w:jc w:val="center"/>
            </w:pPr>
            <w:r>
              <w:rPr>
                <w:rFonts w:ascii="宋体" w:hAnsi="宋体" w:eastAsia="宋体"/>
                <w:sz w:val="16"/>
              </w:rPr>
              <w:t>1,051.68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591C">
            <w:pPr>
              <w:jc w:val="center"/>
            </w:pPr>
            <w:r>
              <w:rPr>
                <w:rFonts w:ascii="宋体" w:hAnsi="宋体" w:eastAsia="宋体"/>
                <w:sz w:val="16"/>
              </w:rPr>
              <w:t>752.35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D56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12A3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B3DD">
            <w:pPr>
              <w:jc w:val="center"/>
            </w:pPr>
            <w:r>
              <w:rPr>
                <w:rFonts w:ascii="宋体" w:hAnsi="宋体" w:eastAsia="宋体"/>
                <w:sz w:val="16"/>
              </w:rPr>
              <w:t>—</w:t>
            </w:r>
          </w:p>
        </w:tc>
      </w:tr>
      <w:tr w14:paraId="1662A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824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174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60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68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81A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5D1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493D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B451">
            <w:pPr>
              <w:jc w:val="center"/>
            </w:pPr>
            <w:r>
              <w:rPr>
                <w:rFonts w:ascii="宋体" w:hAnsi="宋体" w:eastAsia="宋体"/>
                <w:sz w:val="16"/>
              </w:rPr>
              <w:t>—</w:t>
            </w:r>
          </w:p>
        </w:tc>
      </w:tr>
      <w:tr w14:paraId="0B834B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FA1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FC3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DF4F8">
            <w:pPr>
              <w:jc w:val="center"/>
            </w:pPr>
            <w:r>
              <w:rPr>
                <w:rFonts w:ascii="宋体" w:hAnsi="宋体" w:eastAsia="宋体"/>
                <w:sz w:val="16"/>
              </w:rPr>
              <w:t>实际完成情况</w:t>
            </w:r>
          </w:p>
        </w:tc>
      </w:tr>
      <w:tr w14:paraId="5706A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5AF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FDBBF">
            <w:pPr>
              <w:jc w:val="both"/>
            </w:pPr>
            <w:r>
              <w:rPr>
                <w:rFonts w:ascii="宋体" w:hAnsi="宋体" w:eastAsia="宋体"/>
                <w:sz w:val="16"/>
              </w:rPr>
              <w:t>保障2024年喀什地区卡拉苏口岸各项工作正常展开，口岸正常运转，优化口岸通关环境，改善通关条件，提升口岸通关效率。做好喀什地区口岸各项工作。一是进一步完善喀什地区卡拉苏口岸基础设施，二是及时维修维护破损的口岸水电暖及其他基础设施；三是按照地委领导批示，及时做好卡拉苏总体规划，确保口岸未来发展有据可依；四是节假日期间及时慰问走访口岸各联检单位，进一步提升口岸联检单位的协调力度；五是及时购置米面油及肉、蔬菜等，确保口岸的安全稳定、环境整洁及卡拉苏食堂的正常运行，为口岸各联检单位提供</w:t>
            </w:r>
            <w:r>
              <w:rPr>
                <w:rFonts w:hint="eastAsia" w:ascii="宋体" w:hAnsi="宋体"/>
                <w:sz w:val="16"/>
                <w:lang w:eastAsia="zh-CN"/>
              </w:rPr>
              <w:t>后勤保障</w:t>
            </w:r>
            <w:r>
              <w:rPr>
                <w:rFonts w:ascii="宋体" w:hAnsi="宋体" w:eastAsia="宋体"/>
                <w:sz w:val="16"/>
              </w:rPr>
              <w:t>。六是进一步扩大口岸开放，提升通关效率，优化口岸营商环境，保障口岸基础设施正常运转，改善通关条件。项目预算安排资金1051.68万元，其中：财政资金1051.68，其他资金0万元，保障口岸正常运转1051.68万元。2024年度保障口岸运转项目资金1051.68万元，其中：1、口岸办公经费 150.28万元，2、口岸专用材料费9.9万元，3、口岸委托业务费 162.54万元，4、口岸维修护费354.61万元，5、口岸工作差旅费22.28万元，6、口岸工作专用设备购置费26.5万元，7、口岸工作办公设备购置费26.9万元，8、口岸邮电费16.45万元，9、口岸物业管理费65.8万元，10、其他商品和服务支出216.38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91B26B">
            <w:pPr>
              <w:jc w:val="both"/>
            </w:pPr>
            <w:r>
              <w:rPr>
                <w:rFonts w:ascii="宋体" w:hAnsi="宋体" w:eastAsia="宋体"/>
                <w:sz w:val="16"/>
              </w:rPr>
              <w:t>保障2024年喀什地区卡拉苏口岸各项工作正常展开，口岸正常运转，优化口岸通关环境，改善通关条件，提升口岸通关效率。</w:t>
            </w:r>
            <w:r>
              <w:rPr>
                <w:rFonts w:hint="eastAsia" w:ascii="宋体" w:hAnsi="宋体"/>
                <w:sz w:val="16"/>
                <w:lang w:eastAsia="zh-CN"/>
              </w:rPr>
              <w:t>保障</w:t>
            </w:r>
            <w:r>
              <w:rPr>
                <w:rFonts w:ascii="宋体" w:hAnsi="宋体" w:eastAsia="宋体"/>
                <w:sz w:val="16"/>
              </w:rPr>
              <w:t>2024年喀什地区卡拉苏口岸各项工作正常展开，口岸正常运转，优化口岸通关环境，改善通关条件，提升口岸通关效率。做好喀什地区口岸各项工作。一是进一步完善喀什地区卡拉苏口岸基础设施，二是及时维修维护破损的口岸水电暖及其他基础设施；三是按照地委领导批示，及时做好卡拉苏总体规划，确保口岸未来发展有据可依；四是节假日期间及时慰问走访口岸各联检单位，进一步提升口岸联检单位的协调力度；五是及时购置米面油及肉、蔬菜等，确保口岸的安全稳定、环境整洁及卡拉苏食堂的正常运行，为口岸各联检单位提供</w:t>
            </w:r>
            <w:r>
              <w:rPr>
                <w:rFonts w:hint="eastAsia" w:ascii="宋体" w:hAnsi="宋体"/>
                <w:sz w:val="16"/>
                <w:lang w:eastAsia="zh-CN"/>
              </w:rPr>
              <w:t>后勤保障</w:t>
            </w:r>
            <w:r>
              <w:rPr>
                <w:rFonts w:ascii="宋体" w:hAnsi="宋体" w:eastAsia="宋体"/>
                <w:sz w:val="16"/>
              </w:rPr>
              <w:t>。六是进一步扩大口岸开放，提升通关效率，优化口岸营商环境，保障口岸基础设施正常运转，改善通关条件。项目预算安排资金1051.68万元，其中：财政资金1051.68，其他资金0万元，保障口岸正常运转1051.68万元。2024年度保障口岸运转项目资金1051.68万元，</w:t>
            </w:r>
            <w:r>
              <w:rPr>
                <w:rFonts w:ascii="宋体" w:hAnsi="宋体" w:eastAsia="宋体"/>
                <w:sz w:val="16"/>
              </w:rPr>
              <w:br w:type="textWrapping"/>
            </w:r>
            <w:r>
              <w:rPr>
                <w:rFonts w:ascii="宋体" w:hAnsi="宋体" w:eastAsia="宋体"/>
                <w:sz w:val="16"/>
              </w:rPr>
              <w:t>已执行目标为：办公费208.35万元；购置费122.01万元；维修维护费288.57万元；一线生活保障133.42万元。项目完成率适中，需要进一步优化和完善资金执行率。</w:t>
            </w:r>
          </w:p>
        </w:tc>
      </w:tr>
      <w:tr w14:paraId="2C7B9A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8CF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B3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7D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0C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13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72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6C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24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9F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FE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32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A1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EFF97">
            <w:pPr>
              <w:jc w:val="center"/>
            </w:pPr>
            <w:r>
              <w:rPr>
                <w:rFonts w:ascii="宋体" w:hAnsi="宋体" w:eastAsia="宋体"/>
                <w:sz w:val="16"/>
              </w:rPr>
              <w:t>偏差原因分析及改进措施</w:t>
            </w:r>
          </w:p>
        </w:tc>
      </w:tr>
      <w:tr w14:paraId="73B46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7AD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12D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CC1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6465">
            <w:pPr>
              <w:jc w:val="center"/>
            </w:pPr>
            <w:r>
              <w:rPr>
                <w:rFonts w:ascii="宋体" w:hAnsi="宋体" w:eastAsia="宋体"/>
                <w:sz w:val="16"/>
              </w:rPr>
              <w:t>口岸开展各类活动次数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B271">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34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C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C0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C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DC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771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EF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79112">
            <w:pPr>
              <w:jc w:val="center"/>
            </w:pPr>
          </w:p>
        </w:tc>
      </w:tr>
      <w:tr w14:paraId="1769A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C0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5E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759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798F">
            <w:pPr>
              <w:jc w:val="center"/>
            </w:pPr>
            <w:r>
              <w:rPr>
                <w:rFonts w:ascii="宋体" w:hAnsi="宋体" w:eastAsia="宋体"/>
                <w:sz w:val="16"/>
              </w:rPr>
              <w:t>租用口岸运转保障公务用车数量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E30B">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0D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EF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11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2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52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62D7">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9E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34C7">
            <w:pPr>
              <w:jc w:val="center"/>
            </w:pPr>
          </w:p>
        </w:tc>
      </w:tr>
      <w:tr w14:paraId="26E0F3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EE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10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EC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DA24">
            <w:pPr>
              <w:jc w:val="center"/>
            </w:pPr>
            <w:r>
              <w:rPr>
                <w:rFonts w:ascii="宋体" w:hAnsi="宋体" w:eastAsia="宋体"/>
                <w:sz w:val="16"/>
              </w:rPr>
              <w:t>口岸购置次数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3CE0">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C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63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FD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AB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3D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32F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D8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1D96">
            <w:pPr>
              <w:jc w:val="center"/>
            </w:pPr>
          </w:p>
        </w:tc>
      </w:tr>
      <w:tr w14:paraId="26F78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A2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F9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E1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7138">
            <w:pPr>
              <w:jc w:val="center"/>
            </w:pPr>
            <w:r>
              <w:rPr>
                <w:rFonts w:ascii="宋体" w:hAnsi="宋体" w:eastAsia="宋体"/>
                <w:sz w:val="16"/>
              </w:rPr>
              <w:t>口岸维修维护次数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4864">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B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E7D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5E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65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47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EC35">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A1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0176D">
            <w:pPr>
              <w:jc w:val="center"/>
            </w:pPr>
          </w:p>
        </w:tc>
      </w:tr>
      <w:tr w14:paraId="06B28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63D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D1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A9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A684">
            <w:pPr>
              <w:jc w:val="center"/>
            </w:pPr>
            <w:r>
              <w:rPr>
                <w:rFonts w:ascii="宋体" w:hAnsi="宋体" w:eastAsia="宋体"/>
                <w:sz w:val="16"/>
              </w:rPr>
              <w:t>工程及采购验收合格率（%）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9F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8C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73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AC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CE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51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1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20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47941">
            <w:pPr>
              <w:jc w:val="center"/>
            </w:pPr>
          </w:p>
        </w:tc>
      </w:tr>
      <w:tr w14:paraId="4C3BE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04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A5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2D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698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FE1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5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D5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18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74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01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F7F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F33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FDF6D">
            <w:pPr>
              <w:jc w:val="center"/>
            </w:pPr>
          </w:p>
        </w:tc>
      </w:tr>
      <w:tr w14:paraId="27723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547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853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408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D914">
            <w:pPr>
              <w:jc w:val="center"/>
            </w:pPr>
            <w:r>
              <w:rPr>
                <w:rFonts w:ascii="宋体" w:hAnsi="宋体" w:eastAsia="宋体"/>
                <w:sz w:val="16"/>
              </w:rPr>
              <w:t>口岸办公经费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A25F">
            <w:pPr>
              <w:jc w:val="center"/>
            </w:pPr>
            <w:r>
              <w:rPr>
                <w:rFonts w:ascii="宋体" w:hAnsi="宋体" w:eastAsia="宋体"/>
                <w:sz w:val="16"/>
              </w:rPr>
              <w:t>&lt;=254.83万元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F8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8C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70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8E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39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6E97">
            <w:pPr>
              <w:jc w:val="center"/>
            </w:pPr>
            <w:r>
              <w:rPr>
                <w:rFonts w:ascii="宋体" w:hAnsi="宋体" w:eastAsia="宋体"/>
                <w:sz w:val="16"/>
              </w:rPr>
              <w:t>=208.35万元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33A1">
            <w:pPr>
              <w:jc w:val="center"/>
            </w:pPr>
            <w:r>
              <w:rPr>
                <w:rFonts w:ascii="宋体" w:hAnsi="宋体" w:eastAsia="宋体"/>
                <w:sz w:val="16"/>
              </w:rPr>
              <w:t>4.35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4A74A">
            <w:pPr>
              <w:jc w:val="center"/>
            </w:pPr>
            <w:r>
              <w:rPr>
                <w:rFonts w:ascii="宋体" w:hAnsi="宋体" w:eastAsia="宋体"/>
                <w:sz w:val="16"/>
              </w:rPr>
              <w:t>偏差原因：年初办公费采购目录设置不合理，导致办公费滞留，导致出现偏差；改进措施：将进一步完善采购目录设置机制，提高资金执行率。</w:t>
            </w:r>
          </w:p>
        </w:tc>
      </w:tr>
      <w:tr w14:paraId="0ABB3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6A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EF1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3A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E553">
            <w:pPr>
              <w:jc w:val="center"/>
            </w:pPr>
            <w:r>
              <w:rPr>
                <w:rFonts w:ascii="宋体" w:hAnsi="宋体" w:eastAsia="宋体"/>
                <w:sz w:val="16"/>
              </w:rPr>
              <w:t>口岸购置费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0DB3">
            <w:pPr>
              <w:jc w:val="center"/>
            </w:pPr>
            <w:r>
              <w:rPr>
                <w:rFonts w:ascii="宋体" w:hAnsi="宋体" w:eastAsia="宋体"/>
                <w:sz w:val="16"/>
              </w:rPr>
              <w:t>&lt;=225.84万元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0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1A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8BD0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9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B4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7CA0">
            <w:pPr>
              <w:jc w:val="center"/>
            </w:pPr>
            <w:r>
              <w:rPr>
                <w:rFonts w:ascii="宋体" w:hAnsi="宋体" w:eastAsia="宋体"/>
                <w:sz w:val="16"/>
              </w:rPr>
              <w:t>=122.01万元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9BF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EF3A">
            <w:pPr>
              <w:jc w:val="center"/>
            </w:pPr>
            <w:r>
              <w:rPr>
                <w:rFonts w:ascii="宋体" w:hAnsi="宋体" w:eastAsia="宋体"/>
                <w:sz w:val="16"/>
              </w:rPr>
              <w:t>偏差原因：年初预算采购目录设置不合理，导致购置费余留，出现偏差。改进措施：将进一步完善采购目录设置机制，提高资金执行率。</w:t>
            </w:r>
          </w:p>
        </w:tc>
      </w:tr>
      <w:tr w14:paraId="1AEF9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0B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8F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8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3B8D">
            <w:pPr>
              <w:jc w:val="center"/>
            </w:pPr>
            <w:r>
              <w:rPr>
                <w:rFonts w:ascii="宋体" w:hAnsi="宋体" w:eastAsia="宋体"/>
                <w:sz w:val="16"/>
              </w:rPr>
              <w:t>口岸</w:t>
            </w:r>
            <w:r>
              <w:rPr>
                <w:rFonts w:hint="eastAsia" w:ascii="宋体" w:hAnsi="宋体"/>
                <w:sz w:val="16"/>
                <w:lang w:eastAsia="zh-CN"/>
              </w:rPr>
              <w:t>维修</w:t>
            </w:r>
            <w:r>
              <w:rPr>
                <w:rFonts w:ascii="宋体" w:hAnsi="宋体" w:eastAsia="宋体"/>
                <w:sz w:val="16"/>
              </w:rPr>
              <w:t>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F6A3">
            <w:pPr>
              <w:jc w:val="center"/>
            </w:pPr>
            <w:r>
              <w:rPr>
                <w:rFonts w:ascii="宋体" w:hAnsi="宋体" w:eastAsia="宋体"/>
                <w:sz w:val="16"/>
              </w:rPr>
              <w:t>&lt;=354.61万元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5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18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6B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9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F4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17FD">
            <w:pPr>
              <w:jc w:val="center"/>
            </w:pPr>
            <w:r>
              <w:rPr>
                <w:rFonts w:ascii="宋体" w:hAnsi="宋体" w:eastAsia="宋体"/>
                <w:sz w:val="16"/>
              </w:rPr>
              <w:t>=288.57万元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2035">
            <w:pPr>
              <w:jc w:val="center"/>
            </w:pPr>
            <w:r>
              <w:rPr>
                <w:rFonts w:ascii="宋体" w:hAnsi="宋体" w:eastAsia="宋体"/>
                <w:sz w:val="16"/>
              </w:rPr>
              <w:t>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E9BF">
            <w:pPr>
              <w:jc w:val="center"/>
            </w:pPr>
            <w:r>
              <w:rPr>
                <w:rFonts w:ascii="宋体" w:hAnsi="宋体" w:eastAsia="宋体"/>
                <w:sz w:val="16"/>
              </w:rPr>
              <w:t>偏差原因：年初预算采购目录设置不合理，导致维修维护费滞留，导致出现偏差。改进措施：将进一步完善采购目录设置机制，提高资金执行率。</w:t>
            </w:r>
          </w:p>
        </w:tc>
      </w:tr>
      <w:tr w14:paraId="4A4AC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942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610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C7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BA76">
            <w:pPr>
              <w:jc w:val="center"/>
            </w:pPr>
            <w:r>
              <w:rPr>
                <w:rFonts w:ascii="宋体" w:hAnsi="宋体" w:eastAsia="宋体"/>
                <w:sz w:val="16"/>
              </w:rPr>
              <w:t>口岸一线生活保障费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8511">
            <w:pPr>
              <w:jc w:val="center"/>
            </w:pPr>
            <w:r>
              <w:rPr>
                <w:rFonts w:ascii="宋体" w:hAnsi="宋体" w:eastAsia="宋体"/>
                <w:sz w:val="16"/>
              </w:rPr>
              <w:t>&lt;=216.4万元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5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A7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EF7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91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09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A369">
            <w:pPr>
              <w:jc w:val="center"/>
            </w:pPr>
            <w:r>
              <w:rPr>
                <w:rFonts w:ascii="宋体" w:hAnsi="宋体" w:eastAsia="宋体"/>
                <w:sz w:val="16"/>
              </w:rPr>
              <w:t>=133.42万元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F883">
            <w:pPr>
              <w:jc w:val="center"/>
            </w:pPr>
            <w:r>
              <w:rPr>
                <w:rFonts w:ascii="宋体" w:hAnsi="宋体" w:eastAsia="宋体"/>
                <w:sz w:val="16"/>
              </w:rPr>
              <w:t>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411F5">
            <w:pPr>
              <w:jc w:val="center"/>
            </w:pPr>
            <w:r>
              <w:rPr>
                <w:rFonts w:ascii="宋体" w:hAnsi="宋体" w:eastAsia="宋体"/>
                <w:sz w:val="16"/>
              </w:rPr>
              <w:t>偏差原因：口岸一线生活保障资金合同时间为2024年6月至2025年6月，导致出现偏差；改进措施：将进一步完善一线保障设置机制，提高资金执行率。</w:t>
            </w:r>
          </w:p>
        </w:tc>
      </w:tr>
      <w:tr w14:paraId="1B1A6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B8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DD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54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10AD">
            <w:pPr>
              <w:jc w:val="center"/>
            </w:pPr>
            <w:r>
              <w:rPr>
                <w:rFonts w:ascii="宋体" w:hAnsi="宋体" w:eastAsia="宋体"/>
                <w:sz w:val="16"/>
              </w:rPr>
              <w:t>有效增强边境管控能力增长率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35B7">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22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B6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D1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79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7F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1CFB">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6F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99A38">
            <w:pPr>
              <w:jc w:val="center"/>
            </w:pPr>
          </w:p>
        </w:tc>
      </w:tr>
      <w:tr w14:paraId="0EE4B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B4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4D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0C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E55F">
            <w:pPr>
              <w:jc w:val="center"/>
            </w:pPr>
            <w:r>
              <w:rPr>
                <w:rFonts w:ascii="宋体" w:hAnsi="宋体" w:eastAsia="宋体"/>
                <w:sz w:val="16"/>
              </w:rPr>
              <w:t>口岸联检单位及进出口涉外贸易企业满意率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3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5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16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F2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BF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85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7E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0D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71E13">
            <w:pPr>
              <w:jc w:val="center"/>
            </w:pPr>
          </w:p>
        </w:tc>
      </w:tr>
      <w:tr w14:paraId="601B3E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94E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B39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DC6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3F44">
            <w:pPr>
              <w:jc w:val="center"/>
            </w:pPr>
            <w:r>
              <w:rPr>
                <w:rFonts w:ascii="宋体" w:hAnsi="宋体" w:eastAsia="宋体"/>
                <w:sz w:val="16"/>
              </w:rPr>
              <w:t>81.6分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82399A"/>
        </w:tc>
      </w:tr>
    </w:tbl>
    <w:p w14:paraId="3052DF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94D6CC8">
        <w:tblPrEx>
          <w:tblCellMar>
            <w:top w:w="0" w:type="dxa"/>
            <w:left w:w="108" w:type="dxa"/>
            <w:bottom w:w="0" w:type="dxa"/>
            <w:right w:w="108" w:type="dxa"/>
          </w:tblCellMar>
        </w:tblPrEx>
        <w:tc>
          <w:tcPr>
            <w:tcW w:w="8848" w:type="dxa"/>
            <w:gridSpan w:val="14"/>
            <w:vAlign w:val="center"/>
          </w:tcPr>
          <w:p w14:paraId="2285B3FA">
            <w:pPr>
              <w:jc w:val="center"/>
            </w:pPr>
            <w:r>
              <w:rPr>
                <w:rFonts w:ascii="宋体" w:hAnsi="宋体" w:eastAsia="宋体"/>
                <w:sz w:val="24"/>
              </w:rPr>
              <w:t>项目支出绩效自评表</w:t>
            </w:r>
          </w:p>
        </w:tc>
      </w:tr>
      <w:tr w14:paraId="65201889">
        <w:tblPrEx>
          <w:tblCellMar>
            <w:top w:w="0" w:type="dxa"/>
            <w:left w:w="108" w:type="dxa"/>
            <w:bottom w:w="0" w:type="dxa"/>
            <w:right w:w="108" w:type="dxa"/>
          </w:tblCellMar>
        </w:tblPrEx>
        <w:tc>
          <w:tcPr>
            <w:tcW w:w="8848" w:type="dxa"/>
            <w:gridSpan w:val="14"/>
            <w:vAlign w:val="center"/>
          </w:tcPr>
          <w:p w14:paraId="23BA8DD3">
            <w:pPr>
              <w:jc w:val="center"/>
            </w:pPr>
            <w:r>
              <w:rPr>
                <w:rFonts w:ascii="宋体" w:hAnsi="宋体" w:eastAsia="宋体"/>
                <w:sz w:val="24"/>
              </w:rPr>
              <w:t>(2024年度)</w:t>
            </w:r>
          </w:p>
        </w:tc>
      </w:tr>
      <w:tr w14:paraId="3EDDC5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89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0C31AE">
            <w:pPr>
              <w:jc w:val="center"/>
            </w:pPr>
            <w:r>
              <w:rPr>
                <w:rFonts w:ascii="宋体" w:hAnsi="宋体" w:eastAsia="宋体"/>
                <w:sz w:val="16"/>
              </w:rPr>
              <w:t>关爱干部职工项目</w:t>
            </w:r>
          </w:p>
        </w:tc>
      </w:tr>
      <w:tr w14:paraId="3CD27F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93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53C37">
            <w:pPr>
              <w:jc w:val="center"/>
            </w:pPr>
            <w:r>
              <w:rPr>
                <w:rFonts w:ascii="宋体" w:hAnsi="宋体" w:eastAsia="宋体"/>
                <w:sz w:val="16"/>
              </w:rPr>
              <w:t>喀什地区财政局行政政法科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134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949F05">
            <w:pPr>
              <w:jc w:val="center"/>
            </w:pPr>
            <w:r>
              <w:rPr>
                <w:rFonts w:ascii="宋体" w:hAnsi="宋体" w:eastAsia="宋体"/>
                <w:sz w:val="16"/>
              </w:rPr>
              <w:t>喀什地区卡拉苏口岸管理委员会</w:t>
            </w:r>
          </w:p>
        </w:tc>
      </w:tr>
      <w:tr w14:paraId="18068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FD8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8C3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F6D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E66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9FD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E72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BCD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8D16">
            <w:pPr>
              <w:jc w:val="center"/>
            </w:pPr>
            <w:r>
              <w:rPr>
                <w:rFonts w:ascii="宋体" w:hAnsi="宋体" w:eastAsia="宋体"/>
                <w:sz w:val="16"/>
              </w:rPr>
              <w:t>得分</w:t>
            </w:r>
          </w:p>
        </w:tc>
      </w:tr>
      <w:tr w14:paraId="69339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BB5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AAC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50BE5">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41825">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EE1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416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1B3C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A96E">
            <w:pPr>
              <w:jc w:val="center"/>
            </w:pPr>
            <w:r>
              <w:rPr>
                <w:rFonts w:ascii="宋体" w:hAnsi="宋体" w:eastAsia="宋体"/>
                <w:sz w:val="16"/>
              </w:rPr>
              <w:t>10.00分</w:t>
            </w:r>
          </w:p>
        </w:tc>
      </w:tr>
      <w:tr w14:paraId="3A34F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0F8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7F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8873F">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F607B">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01F25">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0E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32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BD62">
            <w:pPr>
              <w:jc w:val="center"/>
            </w:pPr>
            <w:r>
              <w:rPr>
                <w:rFonts w:ascii="宋体" w:hAnsi="宋体" w:eastAsia="宋体"/>
                <w:sz w:val="16"/>
              </w:rPr>
              <w:t>—</w:t>
            </w:r>
          </w:p>
        </w:tc>
      </w:tr>
      <w:tr w14:paraId="5716E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9B9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83E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605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AF5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305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745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61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F97C">
            <w:pPr>
              <w:jc w:val="center"/>
            </w:pPr>
            <w:r>
              <w:rPr>
                <w:rFonts w:ascii="宋体" w:hAnsi="宋体" w:eastAsia="宋体"/>
                <w:sz w:val="16"/>
              </w:rPr>
              <w:t>—</w:t>
            </w:r>
          </w:p>
        </w:tc>
      </w:tr>
      <w:tr w14:paraId="755F30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728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99E2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45181">
            <w:pPr>
              <w:jc w:val="center"/>
            </w:pPr>
            <w:r>
              <w:rPr>
                <w:rFonts w:ascii="宋体" w:hAnsi="宋体" w:eastAsia="宋体"/>
                <w:sz w:val="16"/>
              </w:rPr>
              <w:t>实际完成情况</w:t>
            </w:r>
          </w:p>
        </w:tc>
      </w:tr>
      <w:tr w14:paraId="333FC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ECD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F728CD">
            <w:pPr>
              <w:jc w:val="both"/>
            </w:pPr>
            <w:r>
              <w:rPr>
                <w:rFonts w:ascii="宋体" w:hAnsi="宋体" w:eastAsia="宋体"/>
                <w:sz w:val="16"/>
              </w:rPr>
              <w:t>根据自治区人民政府颁发《关于加强边远、艰苦地区干部保健工作的试行办法》的通知</w:t>
            </w:r>
            <w:bookmarkStart w:id="0" w:name="_GoBack"/>
            <w:bookmarkEnd w:id="0"/>
            <w:r>
              <w:rPr>
                <w:rFonts w:ascii="宋体" w:hAnsi="宋体" w:eastAsia="宋体"/>
                <w:sz w:val="16"/>
              </w:rPr>
              <w:t>新政发〖1980〗203号的文件精神，由地区财政拨付1.2万元，安排口岸职工每年一次体检，体检人数大于等于11人。及时发现干部职工患大病可能，降低干部发病率，确保干部职工身体健康。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5CA3EE">
            <w:pPr>
              <w:jc w:val="both"/>
            </w:pPr>
            <w:r>
              <w:rPr>
                <w:rFonts w:ascii="宋体" w:hAnsi="宋体" w:eastAsia="宋体"/>
                <w:sz w:val="16"/>
              </w:rPr>
              <w:t>为了确保干部身心健康，财政安排口岸关爱干部体检项目资金1.2万元，已支付1.2万元。1、体检项目总5项，完成率100%；2、在职在编人员覆盖率达到100%。严格按照指标完成了目标值。</w:t>
            </w:r>
          </w:p>
        </w:tc>
      </w:tr>
      <w:tr w14:paraId="256038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348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B4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A0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D7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9B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C8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78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C4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32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EF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47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B66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E15CC">
            <w:pPr>
              <w:jc w:val="center"/>
            </w:pPr>
            <w:r>
              <w:rPr>
                <w:rFonts w:ascii="宋体" w:hAnsi="宋体" w:eastAsia="宋体"/>
                <w:sz w:val="16"/>
              </w:rPr>
              <w:t>偏差原因分析及改进措施</w:t>
            </w:r>
          </w:p>
        </w:tc>
      </w:tr>
      <w:tr w14:paraId="0735F9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43C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BEE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3C5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DAB6">
            <w:pPr>
              <w:jc w:val="center"/>
            </w:pPr>
            <w:r>
              <w:rPr>
                <w:rFonts w:ascii="宋体" w:hAnsi="宋体" w:eastAsia="宋体"/>
                <w:sz w:val="16"/>
              </w:rPr>
              <w:t>体检项目数量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A725">
            <w:pPr>
              <w:jc w:val="center"/>
            </w:pPr>
            <w:r>
              <w:rPr>
                <w:rFonts w:ascii="宋体" w:hAnsi="宋体" w:eastAsia="宋体"/>
                <w:sz w:val="16"/>
              </w:rPr>
              <w:t>&gt;=5项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CE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EB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0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2B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13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2587">
            <w:pPr>
              <w:jc w:val="center"/>
            </w:pPr>
            <w:r>
              <w:rPr>
                <w:rFonts w:ascii="宋体" w:hAnsi="宋体" w:eastAsia="宋体"/>
                <w:sz w:val="16"/>
              </w:rPr>
              <w: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93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1E41F">
            <w:pPr>
              <w:jc w:val="center"/>
            </w:pPr>
          </w:p>
        </w:tc>
      </w:tr>
      <w:tr w14:paraId="24C15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DF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F13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884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2939">
            <w:pPr>
              <w:jc w:val="center"/>
            </w:pPr>
            <w:r>
              <w:rPr>
                <w:rFonts w:ascii="宋体" w:hAnsi="宋体" w:eastAsia="宋体"/>
                <w:sz w:val="16"/>
              </w:rPr>
              <w:t>参加体检人数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D169">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43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FA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45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C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3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1944">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31B1">
            <w:pPr>
              <w:jc w:val="center"/>
            </w:pPr>
            <w:r>
              <w:rPr>
                <w:rFonts w:ascii="宋体" w:hAnsi="宋体" w:eastAsia="宋体"/>
                <w:sz w:val="16"/>
              </w:rPr>
              <w:t>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0A14E">
            <w:pPr>
              <w:jc w:val="center"/>
            </w:pPr>
            <w:r>
              <w:rPr>
                <w:rFonts w:ascii="宋体" w:hAnsi="宋体" w:eastAsia="宋体"/>
                <w:sz w:val="16"/>
              </w:rPr>
              <w:t>原因分析：由于新在编人员4人年初已完成体检，因此该项目人数变为7人。改进措施：根据实际情况合理设置不精准，未考虑实际情况。</w:t>
            </w:r>
          </w:p>
        </w:tc>
      </w:tr>
      <w:tr w14:paraId="4018D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91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CF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55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2568">
            <w:pPr>
              <w:jc w:val="center"/>
            </w:pPr>
            <w:r>
              <w:rPr>
                <w:rFonts w:ascii="宋体" w:hAnsi="宋体" w:eastAsia="宋体"/>
                <w:sz w:val="16"/>
              </w:rPr>
              <w:t>在职在编人员体检覆盖率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2B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15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8B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DB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FC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A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6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7C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7A951">
            <w:pPr>
              <w:jc w:val="center"/>
            </w:pPr>
          </w:p>
        </w:tc>
      </w:tr>
      <w:tr w14:paraId="7B1CA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F6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E07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C8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B846">
            <w:pPr>
              <w:jc w:val="center"/>
            </w:pPr>
            <w:r>
              <w:rPr>
                <w:rFonts w:ascii="宋体" w:hAnsi="宋体" w:eastAsia="宋体"/>
                <w:sz w:val="16"/>
              </w:rPr>
              <w:t>体检项目完成时间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B82B">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72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15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EB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2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5E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D143">
            <w:pPr>
              <w:jc w:val="center"/>
            </w:pPr>
            <w:r>
              <w:rPr>
                <w:rFonts w:ascii="宋体" w:hAnsi="宋体" w:eastAsia="宋体"/>
                <w:sz w:val="16"/>
              </w:rPr>
              <w:t>=2024年6月6日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87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4AB5">
            <w:pPr>
              <w:jc w:val="center"/>
            </w:pPr>
          </w:p>
        </w:tc>
      </w:tr>
      <w:tr w14:paraId="6CBC7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05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D8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30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A1C8">
            <w:pPr>
              <w:jc w:val="center"/>
            </w:pPr>
            <w:r>
              <w:rPr>
                <w:rFonts w:ascii="宋体" w:hAnsi="宋体" w:eastAsia="宋体"/>
                <w:sz w:val="16"/>
              </w:rPr>
              <w:t>体检资金人均标准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AAF3">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67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D9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18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74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89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6234">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20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731C3">
            <w:pPr>
              <w:jc w:val="center"/>
            </w:pPr>
          </w:p>
        </w:tc>
      </w:tr>
      <w:tr w14:paraId="601BF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97A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20A4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0AB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DFAF">
            <w:pPr>
              <w:jc w:val="center"/>
            </w:pPr>
            <w:r>
              <w:rPr>
                <w:rFonts w:ascii="宋体" w:hAnsi="宋体" w:eastAsia="宋体"/>
                <w:sz w:val="16"/>
              </w:rPr>
              <w:t>发现干部职工疾病及时率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859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F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E3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0D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C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5B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655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AB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51A7D">
            <w:pPr>
              <w:jc w:val="center"/>
            </w:pPr>
          </w:p>
        </w:tc>
      </w:tr>
      <w:tr w14:paraId="08A7C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80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F4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22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B922">
            <w:pPr>
              <w:jc w:val="center"/>
            </w:pPr>
            <w:r>
              <w:rPr>
                <w:rFonts w:ascii="宋体" w:hAnsi="宋体" w:eastAsia="宋体"/>
                <w:sz w:val="16"/>
              </w:rPr>
              <w:t>口岸工作人员工作效率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E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A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90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7C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C9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2D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4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3B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4FD22">
            <w:pPr>
              <w:jc w:val="center"/>
            </w:pPr>
          </w:p>
        </w:tc>
      </w:tr>
      <w:tr w14:paraId="1F9E8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3F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0C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5F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D501">
            <w:pPr>
              <w:jc w:val="center"/>
            </w:pPr>
            <w:r>
              <w:rPr>
                <w:rFonts w:ascii="宋体" w:hAnsi="宋体" w:eastAsia="宋体"/>
                <w:sz w:val="16"/>
              </w:rPr>
              <w:t>参加体检人员满意度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E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6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9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1D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88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E6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A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81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5759B">
            <w:pPr>
              <w:jc w:val="center"/>
            </w:pPr>
          </w:p>
        </w:tc>
      </w:tr>
      <w:tr w14:paraId="1D66B9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12D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D2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9C4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B926">
            <w:pPr>
              <w:jc w:val="center"/>
            </w:pPr>
            <w:r>
              <w:rPr>
                <w:rFonts w:ascii="宋体" w:hAnsi="宋体" w:eastAsia="宋体"/>
                <w:sz w:val="16"/>
              </w:rPr>
              <w:t>91.16分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FFA0EC"/>
        </w:tc>
      </w:tr>
    </w:tbl>
    <w:p w14:paraId="085DBAE5">
      <w:r>
        <w:br w:type="page"/>
      </w:r>
    </w:p>
    <w:p w14:paraId="69DBFC8A">
      <w:pPr>
        <w:spacing w:line="640" w:lineRule="exact"/>
        <w:ind w:firstLine="640"/>
        <w:jc w:val="both"/>
        <w:outlineLvl w:val="2"/>
      </w:pPr>
      <w:r>
        <w:rPr>
          <w:rFonts w:ascii="黑体" w:hAnsi="黑体" w:eastAsia="黑体"/>
          <w:sz w:val="32"/>
        </w:rPr>
        <w:t>十二、其他需说明的事项</w:t>
      </w:r>
    </w:p>
    <w:p w14:paraId="31EE5376">
      <w:pPr>
        <w:spacing w:line="580" w:lineRule="exact"/>
        <w:ind w:firstLine="640"/>
        <w:jc w:val="both"/>
      </w:pPr>
      <w:r>
        <w:rPr>
          <w:rFonts w:ascii="仿宋_GB2312" w:hAnsi="仿宋_GB2312" w:eastAsia="仿宋_GB2312"/>
          <w:b w:val="0"/>
          <w:sz w:val="32"/>
        </w:rPr>
        <w:t>本部门无其他需说明的事项。</w:t>
      </w:r>
    </w:p>
    <w:p w14:paraId="0890AA97">
      <w:r>
        <w:br w:type="page"/>
      </w:r>
    </w:p>
    <w:p w14:paraId="0D201449">
      <w:pPr>
        <w:spacing w:line="240" w:lineRule="auto"/>
        <w:jc w:val="center"/>
        <w:outlineLvl w:val="1"/>
      </w:pPr>
      <w:r>
        <w:rPr>
          <w:rFonts w:ascii="黑体" w:hAnsi="黑体" w:eastAsia="黑体"/>
          <w:sz w:val="32"/>
        </w:rPr>
        <w:t>第三部分 专业名词解释</w:t>
      </w:r>
    </w:p>
    <w:p w14:paraId="77F5403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F901E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7869A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AC8B2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F9B22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5FF9C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80BC5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8AAE7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80B84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3D10F3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EF379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16ED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6438A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9EDB4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D9D021">
      <w:r>
        <w:br w:type="page"/>
      </w:r>
    </w:p>
    <w:p w14:paraId="12F89BCC">
      <w:pPr>
        <w:spacing w:line="240" w:lineRule="auto"/>
        <w:jc w:val="center"/>
        <w:outlineLvl w:val="1"/>
      </w:pPr>
      <w:r>
        <w:rPr>
          <w:rFonts w:ascii="黑体" w:hAnsi="黑体" w:eastAsia="黑体"/>
          <w:sz w:val="32"/>
        </w:rPr>
        <w:t>第四部分 部门决算报表（见附表）</w:t>
      </w:r>
    </w:p>
    <w:p w14:paraId="57D46179">
      <w:pPr>
        <w:spacing w:line="240" w:lineRule="auto"/>
        <w:ind w:firstLine="640"/>
        <w:jc w:val="both"/>
      </w:pPr>
      <w:r>
        <w:rPr>
          <w:rFonts w:ascii="仿宋_GB2312" w:hAnsi="仿宋_GB2312" w:eastAsia="仿宋_GB2312"/>
          <w:b w:val="0"/>
          <w:sz w:val="32"/>
        </w:rPr>
        <w:t>一、《收入支出决算总表》</w:t>
      </w:r>
    </w:p>
    <w:p w14:paraId="6C51F972">
      <w:pPr>
        <w:spacing w:line="240" w:lineRule="auto"/>
        <w:ind w:firstLine="640"/>
        <w:jc w:val="both"/>
      </w:pPr>
      <w:r>
        <w:rPr>
          <w:rFonts w:ascii="仿宋_GB2312" w:hAnsi="仿宋_GB2312" w:eastAsia="仿宋_GB2312"/>
          <w:b w:val="0"/>
          <w:sz w:val="32"/>
        </w:rPr>
        <w:t>二、《收入决算表》</w:t>
      </w:r>
    </w:p>
    <w:p w14:paraId="6B028290">
      <w:pPr>
        <w:spacing w:line="240" w:lineRule="auto"/>
        <w:ind w:firstLine="640"/>
        <w:jc w:val="both"/>
      </w:pPr>
      <w:r>
        <w:rPr>
          <w:rFonts w:ascii="仿宋_GB2312" w:hAnsi="仿宋_GB2312" w:eastAsia="仿宋_GB2312"/>
          <w:b w:val="0"/>
          <w:sz w:val="32"/>
        </w:rPr>
        <w:t>三、《支出决算表》</w:t>
      </w:r>
    </w:p>
    <w:p w14:paraId="04D72124">
      <w:pPr>
        <w:spacing w:line="240" w:lineRule="auto"/>
        <w:ind w:firstLine="640"/>
        <w:jc w:val="both"/>
      </w:pPr>
      <w:r>
        <w:rPr>
          <w:rFonts w:ascii="仿宋_GB2312" w:hAnsi="仿宋_GB2312" w:eastAsia="仿宋_GB2312"/>
          <w:b w:val="0"/>
          <w:sz w:val="32"/>
        </w:rPr>
        <w:t>四、《财政拨款收入支出决算总表》</w:t>
      </w:r>
    </w:p>
    <w:p w14:paraId="1AAD7499">
      <w:pPr>
        <w:spacing w:line="240" w:lineRule="auto"/>
        <w:ind w:firstLine="640"/>
        <w:jc w:val="both"/>
      </w:pPr>
      <w:r>
        <w:rPr>
          <w:rFonts w:ascii="仿宋_GB2312" w:hAnsi="仿宋_GB2312" w:eastAsia="仿宋_GB2312"/>
          <w:b w:val="0"/>
          <w:sz w:val="32"/>
        </w:rPr>
        <w:t>五、《一般公共预算财政拨款支出决算表》</w:t>
      </w:r>
    </w:p>
    <w:p w14:paraId="1E1CC43F">
      <w:pPr>
        <w:spacing w:line="240" w:lineRule="auto"/>
        <w:ind w:firstLine="640"/>
        <w:jc w:val="both"/>
      </w:pPr>
      <w:r>
        <w:rPr>
          <w:rFonts w:ascii="仿宋_GB2312" w:hAnsi="仿宋_GB2312" w:eastAsia="仿宋_GB2312"/>
          <w:b w:val="0"/>
          <w:sz w:val="32"/>
        </w:rPr>
        <w:t>六、《一般公共预算财政拨款基本支出决算表》</w:t>
      </w:r>
    </w:p>
    <w:p w14:paraId="09467144">
      <w:pPr>
        <w:spacing w:line="240" w:lineRule="auto"/>
        <w:ind w:firstLine="640"/>
        <w:jc w:val="both"/>
      </w:pPr>
      <w:r>
        <w:rPr>
          <w:rFonts w:ascii="仿宋_GB2312" w:hAnsi="仿宋_GB2312" w:eastAsia="仿宋_GB2312"/>
          <w:b w:val="0"/>
          <w:sz w:val="32"/>
        </w:rPr>
        <w:t>七、《政府性基金预算财政拨款收入支出决算表》</w:t>
      </w:r>
    </w:p>
    <w:p w14:paraId="4E29C62F">
      <w:pPr>
        <w:spacing w:line="240" w:lineRule="auto"/>
        <w:ind w:firstLine="640"/>
        <w:jc w:val="both"/>
      </w:pPr>
      <w:r>
        <w:rPr>
          <w:rFonts w:ascii="仿宋_GB2312" w:hAnsi="仿宋_GB2312" w:eastAsia="仿宋_GB2312"/>
          <w:b w:val="0"/>
          <w:sz w:val="32"/>
        </w:rPr>
        <w:t>八、《国有资本经营预算财政拨款收入支出决算表》</w:t>
      </w:r>
    </w:p>
    <w:p w14:paraId="308C502D">
      <w:pPr>
        <w:spacing w:line="240" w:lineRule="auto"/>
        <w:ind w:firstLine="640"/>
        <w:jc w:val="both"/>
      </w:pPr>
      <w:r>
        <w:rPr>
          <w:rFonts w:ascii="仿宋_GB2312" w:hAnsi="仿宋_GB2312" w:eastAsia="仿宋_GB2312"/>
          <w:b w:val="0"/>
          <w:sz w:val="32"/>
        </w:rPr>
        <w:t>九、《财政拨款“三公”经费支出决算表》</w:t>
      </w:r>
    </w:p>
    <w:p w14:paraId="280220DB">
      <w:pPr>
        <w:spacing w:line="240" w:lineRule="auto"/>
        <w:ind w:firstLine="640"/>
        <w:jc w:val="both"/>
      </w:pPr>
    </w:p>
    <w:p w14:paraId="62312108">
      <w:pPr>
        <w:spacing w:line="240" w:lineRule="auto"/>
        <w:ind w:firstLine="640"/>
        <w:jc w:val="both"/>
      </w:pPr>
    </w:p>
    <w:p w14:paraId="282FCD63">
      <w:pPr>
        <w:spacing w:line="240" w:lineRule="auto"/>
        <w:ind w:firstLine="640"/>
        <w:jc w:val="both"/>
      </w:pPr>
    </w:p>
    <w:p w14:paraId="556D653F">
      <w:pPr>
        <w:spacing w:line="240" w:lineRule="auto"/>
        <w:ind w:firstLine="640"/>
        <w:jc w:val="both"/>
      </w:pPr>
    </w:p>
    <w:p w14:paraId="1FEA732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4E0D8F"/>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1A5482"/>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4003</Words>
  <Characters>4681</Characters>
  <Lines>0</Lines>
  <Paragraphs>0</Paragraphs>
  <TotalTime>6</TotalTime>
  <ScaleCrop>false</ScaleCrop>
  <LinksUpToDate>false</LinksUpToDate>
  <CharactersWithSpaces>4689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2025-09-03T11:55:34Z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