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536F2A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喀什地区国有资产监督管理委员会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E4FB2A">
      <w:r>
        <w:br w:type="page"/>
      </w:r>
    </w:p>
    <w:p w14:paraId="1FA35B94">
      <w:pPr>
        <w:spacing w:line="640" w:lineRule="exact"/>
        <w:jc w:val="center"/>
        <w:outlineLvl w:val="1"/>
      </w:pPr>
      <w:r>
        <w:rPr>
          <w:rFonts w:ascii="黑体" w:hAnsi="黑体" w:eastAsia="黑体"/>
          <w:sz w:val="32"/>
        </w:rPr>
        <w:t>第一部分 部门概况</w:t>
      </w:r>
    </w:p>
    <w:p w14:paraId="6752B452">
      <w:pPr>
        <w:spacing w:line="640" w:lineRule="exact"/>
        <w:ind w:firstLine="640"/>
        <w:jc w:val="both"/>
        <w:outlineLvl w:val="2"/>
      </w:pPr>
      <w:r>
        <w:rPr>
          <w:rFonts w:ascii="黑体" w:hAnsi="黑体" w:eastAsia="黑体"/>
          <w:sz w:val="32"/>
        </w:rPr>
        <w:t>一、主要职能</w:t>
      </w:r>
    </w:p>
    <w:p w14:paraId="010F57F9">
      <w:pPr>
        <w:spacing w:line="580" w:lineRule="exact"/>
        <w:ind w:firstLine="640"/>
        <w:jc w:val="both"/>
      </w:pPr>
      <w:r>
        <w:rPr>
          <w:rFonts w:ascii="仿宋_GB2312" w:hAnsi="仿宋_GB2312" w:eastAsia="仿宋_GB2312"/>
          <w:sz w:val="32"/>
        </w:rPr>
        <w:t>（一）根据地区行署授权，依照《中华人民共和国公司法》《中华人民共和国企业国有资产法》等法律、法规履行出资人职责，监管地区区属企业的国有资产，加强国有资产管理，对各县（市）国有资产管理工作进行指导和监督。</w:t>
      </w:r>
    </w:p>
    <w:p w14:paraId="307B135B">
      <w:pPr>
        <w:spacing w:line="580" w:lineRule="exact"/>
        <w:ind w:firstLine="640"/>
        <w:jc w:val="both"/>
      </w:pPr>
      <w:r>
        <w:rPr>
          <w:rFonts w:ascii="仿宋_GB2312" w:hAnsi="仿宋_GB2312" w:eastAsia="仿宋_GB2312"/>
          <w:sz w:val="32"/>
        </w:rPr>
        <w:t>（二）承担所监管企业国有资产保值增值的责任。建立和完善国有资产保值增值指标体系，拟订考核标准，通过统计、稽核等对监管企业国有资产保值增值情况进行监管；向地区行署报告所监管企业国有资产监管运营情况。</w:t>
      </w:r>
    </w:p>
    <w:p w14:paraId="2826A531">
      <w:pPr>
        <w:spacing w:line="580" w:lineRule="exact"/>
        <w:ind w:firstLine="640"/>
        <w:jc w:val="both"/>
      </w:pPr>
      <w:r>
        <w:rPr>
          <w:rFonts w:ascii="仿宋_GB2312" w:hAnsi="仿宋_GB2312" w:eastAsia="仿宋_GB2312"/>
          <w:sz w:val="32"/>
        </w:rPr>
        <w:t>（三）坚持和加强党的领导，履行所监管企业党建工作的日常管理职责。指导监管企业做好党的建设和全面从严治党工作；会同有关部门做好所监管企业领导班子管理和人才队伍建设工作；通过法定程序，按照干部管理权限对所监管企业领导人员进行考核、任免并根据其经营业绩进行奖惩，建立适应中国特色现代国有企业制度要求和市场竞争需要的选人用人机制，完善经营者激励和约束机制；协调指导所监管企业做好工会、青年、妇女和信访等工作。</w:t>
      </w:r>
    </w:p>
    <w:p w14:paraId="62776A5E">
      <w:pPr>
        <w:spacing w:line="580" w:lineRule="exact"/>
        <w:ind w:firstLine="640"/>
        <w:jc w:val="both"/>
      </w:pPr>
      <w:r>
        <w:rPr>
          <w:rFonts w:ascii="仿宋_GB2312" w:hAnsi="仿宋_GB2312" w:eastAsia="仿宋_GB2312"/>
          <w:sz w:val="32"/>
        </w:rPr>
        <w:t>（四）指导推进国有企业改革和重组，推进国有企业的现代企业制度建设，完善公司治理结构；以管资本为主推动国有资本合理流动，加快</w:t>
      </w:r>
      <w:r>
        <w:rPr>
          <w:rFonts w:hint="eastAsia" w:ascii="仿宋_GB2312" w:hAnsi="仿宋_GB2312" w:eastAsia="仿宋_GB2312"/>
          <w:sz w:val="32"/>
          <w:lang w:eastAsia="zh-CN"/>
        </w:rPr>
        <w:t>国有国有经济布局优化和结构调整</w:t>
      </w:r>
      <w:r>
        <w:rPr>
          <w:rFonts w:ascii="仿宋_GB2312" w:hAnsi="仿宋_GB2312" w:eastAsia="仿宋_GB2312"/>
          <w:sz w:val="32"/>
        </w:rPr>
        <w:t>经济布局优化、结构调整、战略性重组。</w:t>
      </w:r>
    </w:p>
    <w:p w14:paraId="595EF091">
      <w:pPr>
        <w:spacing w:line="580" w:lineRule="exact"/>
        <w:ind w:firstLine="640"/>
        <w:jc w:val="both"/>
      </w:pPr>
      <w:r>
        <w:rPr>
          <w:rFonts w:ascii="仿宋_GB2312" w:hAnsi="仿宋_GB2312" w:eastAsia="仿宋_GB2312"/>
          <w:sz w:val="32"/>
        </w:rPr>
        <w:t>（五）负责所监管企业负责人经营业绩考核和薪酬管理，提出所监管企业负责人收入分配政策并组织实施和监督检查</w:t>
      </w:r>
      <w:r>
        <w:rPr>
          <w:rFonts w:hint="eastAsia" w:ascii="仿宋_GB2312" w:hAnsi="仿宋_GB2312" w:eastAsia="仿宋_GB2312"/>
          <w:sz w:val="32"/>
          <w:lang w:eastAsia="zh-CN"/>
        </w:rPr>
        <w:t>；</w:t>
      </w:r>
      <w:r>
        <w:rPr>
          <w:rFonts w:ascii="仿宋_GB2312" w:hAnsi="仿宋_GB2312" w:eastAsia="仿宋_GB2312"/>
          <w:sz w:val="32"/>
        </w:rPr>
        <w:t>完善所监管企业经营业绩考核制度，促进企业履行经济责任、政治责任</w:t>
      </w:r>
      <w:r>
        <w:rPr>
          <w:rFonts w:hint="eastAsia" w:ascii="仿宋_GB2312" w:hAnsi="仿宋_GB2312" w:eastAsia="仿宋_GB2312"/>
          <w:sz w:val="32"/>
          <w:lang w:eastAsia="zh-CN"/>
        </w:rPr>
        <w:t>、</w:t>
      </w:r>
      <w:r>
        <w:rPr>
          <w:rFonts w:ascii="仿宋_GB2312" w:hAnsi="仿宋_GB2312" w:eastAsia="仿宋_GB2312"/>
          <w:sz w:val="32"/>
        </w:rPr>
        <w:t>社会责任。</w:t>
      </w:r>
    </w:p>
    <w:p w14:paraId="28239CC6">
      <w:pPr>
        <w:spacing w:line="580" w:lineRule="exact"/>
        <w:ind w:firstLine="640"/>
        <w:jc w:val="both"/>
      </w:pPr>
      <w:r>
        <w:rPr>
          <w:rFonts w:ascii="仿宋_GB2312" w:hAnsi="仿宋_GB2312" w:eastAsia="仿宋_GB2312"/>
          <w:sz w:val="32"/>
        </w:rPr>
        <w:t>（六）负责组织所监管企业上交国有资本收益，参与制定国有资本经营预算有关管理制度和办法，承办所监管企业</w:t>
      </w:r>
      <w:r>
        <w:rPr>
          <w:rFonts w:hint="eastAsia" w:ascii="仿宋_GB2312" w:hAnsi="仿宋_GB2312" w:eastAsia="仿宋_GB2312"/>
          <w:sz w:val="32"/>
          <w:lang w:eastAsia="zh-CN"/>
        </w:rPr>
        <w:t>国有资本经营预算</w:t>
      </w:r>
      <w:r>
        <w:rPr>
          <w:rFonts w:ascii="仿宋_GB2312" w:hAnsi="仿宋_GB2312" w:eastAsia="仿宋_GB2312"/>
          <w:sz w:val="32"/>
        </w:rPr>
        <w:t>编制和执行等工作；组织实施改组（组建）国有资本投资、运营公司，指导企业开展国有资本运营，推进经营性国有资产集中统一监管。</w:t>
      </w:r>
    </w:p>
    <w:p w14:paraId="3AD427CB">
      <w:pPr>
        <w:spacing w:line="640" w:lineRule="exact"/>
        <w:ind w:firstLine="640"/>
        <w:jc w:val="both"/>
        <w:outlineLvl w:val="2"/>
      </w:pPr>
      <w:r>
        <w:rPr>
          <w:rFonts w:ascii="黑体" w:hAnsi="黑体" w:eastAsia="黑体"/>
          <w:sz w:val="32"/>
        </w:rPr>
        <w:t>二、机构设置及人员情况</w:t>
      </w:r>
    </w:p>
    <w:p w14:paraId="012F7C86">
      <w:pPr>
        <w:spacing w:line="580" w:lineRule="exact"/>
        <w:ind w:firstLine="640"/>
        <w:jc w:val="both"/>
      </w:pPr>
      <w:r>
        <w:rPr>
          <w:rFonts w:ascii="仿宋_GB2312" w:hAnsi="仿宋_GB2312" w:eastAsia="仿宋_GB2312"/>
          <w:sz w:val="32"/>
        </w:rPr>
        <w:t>喀什地区国有资产监督管理委员会2024年度，实有人数40人，其中：在职人员23人，增加5人；离休人员0人，增加0人；退休人员17人,增加1人。</w:t>
      </w:r>
    </w:p>
    <w:p w14:paraId="19D18184">
      <w:pPr>
        <w:spacing w:line="580" w:lineRule="exact"/>
        <w:ind w:firstLine="640"/>
        <w:jc w:val="both"/>
      </w:pPr>
      <w:r>
        <w:rPr>
          <w:rFonts w:ascii="仿宋_GB2312" w:hAnsi="仿宋_GB2312" w:eastAsia="仿宋_GB2312"/>
          <w:sz w:val="32"/>
        </w:rPr>
        <w:t>喀什地区国有资产监督管理委员会无下属预算单位，下设4个科室，分别是：办公室、统计监督科、产权管理科、企业党务工作科。</w:t>
      </w:r>
    </w:p>
    <w:p w14:paraId="556CE4CE">
      <w:r>
        <w:br w:type="page"/>
      </w:r>
    </w:p>
    <w:p w14:paraId="15E641C5">
      <w:pPr>
        <w:spacing w:line="240" w:lineRule="auto"/>
        <w:jc w:val="center"/>
        <w:outlineLvl w:val="1"/>
      </w:pPr>
      <w:r>
        <w:rPr>
          <w:rFonts w:ascii="黑体" w:hAnsi="黑体" w:eastAsia="黑体"/>
          <w:sz w:val="32"/>
        </w:rPr>
        <w:t>第二部分 部门决算情况说明</w:t>
      </w:r>
    </w:p>
    <w:p w14:paraId="66124D3B">
      <w:pPr>
        <w:spacing w:line="640" w:lineRule="exact"/>
        <w:ind w:firstLine="640"/>
        <w:jc w:val="both"/>
        <w:outlineLvl w:val="2"/>
      </w:pPr>
      <w:r>
        <w:rPr>
          <w:rFonts w:ascii="黑体" w:hAnsi="黑体" w:eastAsia="黑体"/>
          <w:sz w:val="32"/>
        </w:rPr>
        <w:t>一、收入支出决算总体情况说明</w:t>
      </w:r>
    </w:p>
    <w:p w14:paraId="3C85AF71">
      <w:pPr>
        <w:spacing w:line="580" w:lineRule="exact"/>
        <w:ind w:firstLine="640"/>
        <w:jc w:val="both"/>
      </w:pPr>
      <w:r>
        <w:rPr>
          <w:rFonts w:ascii="仿宋_GB2312" w:hAnsi="仿宋_GB2312" w:eastAsia="仿宋_GB2312"/>
          <w:b/>
          <w:sz w:val="32"/>
        </w:rPr>
        <w:t>2024年度收入总计30,144.26万元，</w:t>
      </w:r>
      <w:r>
        <w:rPr>
          <w:rFonts w:ascii="仿宋_GB2312" w:hAnsi="仿宋_GB2312" w:eastAsia="仿宋_GB2312"/>
          <w:b w:val="0"/>
          <w:sz w:val="32"/>
        </w:rPr>
        <w:t>其中：本年收入合计30,144.26万元，使用非财政拨款结余（含专用结余）0.00万元，年初结转和结余0.00万元。</w:t>
      </w:r>
    </w:p>
    <w:p w14:paraId="65026DBC">
      <w:pPr>
        <w:spacing w:line="580" w:lineRule="exact"/>
        <w:ind w:firstLine="640"/>
        <w:jc w:val="both"/>
      </w:pPr>
      <w:r>
        <w:rPr>
          <w:rFonts w:ascii="仿宋_GB2312" w:hAnsi="仿宋_GB2312" w:eastAsia="仿宋_GB2312"/>
          <w:b/>
          <w:sz w:val="32"/>
        </w:rPr>
        <w:t>2024年度支出总计30,144.26万元，</w:t>
      </w:r>
      <w:r>
        <w:rPr>
          <w:rFonts w:ascii="仿宋_GB2312" w:hAnsi="仿宋_GB2312" w:eastAsia="仿宋_GB2312"/>
          <w:b w:val="0"/>
          <w:sz w:val="32"/>
        </w:rPr>
        <w:t>其中：本年支出合计30,144.26万元，结余分配0.00万元，年末结转和结余0.00万元。</w:t>
      </w:r>
    </w:p>
    <w:p w14:paraId="396F4D4A">
      <w:pPr>
        <w:spacing w:line="580" w:lineRule="exact"/>
        <w:ind w:firstLine="640"/>
        <w:jc w:val="both"/>
      </w:pPr>
      <w:r>
        <w:rPr>
          <w:rFonts w:ascii="仿宋_GB2312" w:hAnsi="仿宋_GB2312" w:eastAsia="仿宋_GB2312"/>
          <w:b w:val="0"/>
          <w:sz w:val="32"/>
        </w:rPr>
        <w:t>收入支出总体与上年相比，增加29,556.92万元，增长5,032.34%，主要原因是：本年增加国有企业注册资本金项目，导致经费较上年增加。</w:t>
      </w:r>
    </w:p>
    <w:p w14:paraId="579710BD">
      <w:pPr>
        <w:spacing w:line="640" w:lineRule="exact"/>
        <w:ind w:firstLine="640"/>
        <w:jc w:val="both"/>
        <w:outlineLvl w:val="2"/>
      </w:pPr>
      <w:r>
        <w:rPr>
          <w:rFonts w:ascii="黑体" w:hAnsi="黑体" w:eastAsia="黑体"/>
          <w:sz w:val="32"/>
        </w:rPr>
        <w:t>二、收入决算情况说明</w:t>
      </w:r>
    </w:p>
    <w:p w14:paraId="4EDD96CE">
      <w:pPr>
        <w:spacing w:line="580" w:lineRule="exact"/>
        <w:ind w:firstLine="640"/>
        <w:jc w:val="both"/>
      </w:pPr>
      <w:r>
        <w:rPr>
          <w:rFonts w:ascii="仿宋_GB2312" w:hAnsi="仿宋_GB2312" w:eastAsia="仿宋_GB2312"/>
          <w:b/>
          <w:sz w:val="32"/>
        </w:rPr>
        <w:t>本年收入30,144.26万元，</w:t>
      </w:r>
      <w:r>
        <w:rPr>
          <w:rFonts w:ascii="仿宋_GB2312" w:hAnsi="仿宋_GB2312" w:eastAsia="仿宋_GB2312"/>
          <w:b w:val="0"/>
          <w:sz w:val="32"/>
        </w:rPr>
        <w:t>其中：财政拨款收入30,139.61万元，占99.98%；上级补助收入0.00万元，占0.00%；事业收入0.00万元，占0.00%；经营收入0.00万元，占0.00%；附属单位上缴收入0.00万元，占0.00%；其他收入4.65万元，占0.02%。</w:t>
      </w:r>
    </w:p>
    <w:p w14:paraId="575C2C31">
      <w:pPr>
        <w:spacing w:line="640" w:lineRule="exact"/>
        <w:ind w:firstLine="640"/>
        <w:jc w:val="both"/>
        <w:outlineLvl w:val="2"/>
      </w:pPr>
      <w:r>
        <w:rPr>
          <w:rFonts w:ascii="黑体" w:hAnsi="黑体" w:eastAsia="黑体"/>
          <w:sz w:val="32"/>
        </w:rPr>
        <w:t>三、支出决算情况说明</w:t>
      </w:r>
    </w:p>
    <w:p w14:paraId="7E173A74">
      <w:pPr>
        <w:spacing w:line="580" w:lineRule="exact"/>
        <w:ind w:firstLine="640"/>
        <w:jc w:val="both"/>
      </w:pPr>
      <w:r>
        <w:rPr>
          <w:rFonts w:ascii="仿宋_GB2312" w:hAnsi="仿宋_GB2312" w:eastAsia="仿宋_GB2312"/>
          <w:b/>
          <w:sz w:val="32"/>
        </w:rPr>
        <w:t>本年支出30,144.26万元，</w:t>
      </w:r>
      <w:r>
        <w:rPr>
          <w:rFonts w:ascii="仿宋_GB2312" w:hAnsi="仿宋_GB2312" w:eastAsia="仿宋_GB2312"/>
          <w:b w:val="0"/>
          <w:sz w:val="32"/>
        </w:rPr>
        <w:t>其中：基本支出494.94万元，占1.64%；项目支出29,649.32万元，占98.36%；上缴上级支出0.00万元，占0.00%；经营支出0.00万元，占0.00%；对附属单位补助支出0.00万元，占0.00%。</w:t>
      </w:r>
    </w:p>
    <w:p w14:paraId="228EB1B3">
      <w:pPr>
        <w:spacing w:line="640" w:lineRule="exact"/>
        <w:ind w:firstLine="640"/>
        <w:jc w:val="both"/>
        <w:outlineLvl w:val="2"/>
      </w:pPr>
      <w:r>
        <w:rPr>
          <w:rFonts w:ascii="黑体" w:hAnsi="黑体" w:eastAsia="黑体"/>
          <w:sz w:val="32"/>
        </w:rPr>
        <w:t>四、财政拨款收入支出决算总体情况说明</w:t>
      </w:r>
    </w:p>
    <w:p w14:paraId="5777A633">
      <w:pPr>
        <w:spacing w:line="580" w:lineRule="exact"/>
        <w:ind w:firstLine="640"/>
        <w:jc w:val="both"/>
      </w:pPr>
      <w:r>
        <w:rPr>
          <w:rFonts w:ascii="仿宋_GB2312" w:hAnsi="仿宋_GB2312" w:eastAsia="仿宋_GB2312"/>
          <w:b/>
          <w:sz w:val="32"/>
        </w:rPr>
        <w:t>2024年度财政拨款收入总计30,139.61万元，</w:t>
      </w:r>
      <w:r>
        <w:rPr>
          <w:rFonts w:ascii="仿宋_GB2312" w:hAnsi="仿宋_GB2312" w:eastAsia="仿宋_GB2312"/>
          <w:b w:val="0"/>
          <w:sz w:val="32"/>
        </w:rPr>
        <w:t>其中：年初财政拨款结转和结余0.00万元，本年财政拨款收入30,139.61万元。</w:t>
      </w:r>
      <w:r>
        <w:rPr>
          <w:rFonts w:ascii="仿宋_GB2312" w:hAnsi="仿宋_GB2312" w:eastAsia="仿宋_GB2312"/>
          <w:b/>
          <w:sz w:val="32"/>
        </w:rPr>
        <w:t>财政拨款支出总计30,139.61万元，</w:t>
      </w:r>
      <w:r>
        <w:rPr>
          <w:rFonts w:ascii="仿宋_GB2312" w:hAnsi="仿宋_GB2312" w:eastAsia="仿宋_GB2312"/>
          <w:b w:val="0"/>
          <w:sz w:val="32"/>
        </w:rPr>
        <w:t>其中：年末财政拨款结转和结余0.00万元，本年财政拨款支出30,139.61万元。</w:t>
      </w:r>
    </w:p>
    <w:p w14:paraId="00F508B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增加29,552.27万元，增长5,031.54%，主要原因是：本年增加国有企业注册资本金项目，导致经费较上年增加。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22,973.49万元，决算数30,139.61万元，预决算差异率31.19%，主要原因是：本年在职人员工资调薪，工资、社保、公积金等相关人员经费增加，年中追加人员经费。年中追加关闭破产改制企业退休人员2024年三项费用项目，导致预决算存在差异。</w:t>
      </w:r>
    </w:p>
    <w:p w14:paraId="3CF5FE67">
      <w:pPr>
        <w:spacing w:line="640" w:lineRule="exact"/>
        <w:ind w:firstLine="640"/>
        <w:jc w:val="both"/>
        <w:outlineLvl w:val="2"/>
      </w:pPr>
      <w:r>
        <w:rPr>
          <w:rFonts w:ascii="黑体" w:hAnsi="黑体" w:eastAsia="黑体"/>
          <w:sz w:val="32"/>
        </w:rPr>
        <w:t>五、一般公共预算财政拨款支出决算情况说明</w:t>
      </w:r>
    </w:p>
    <w:p w14:paraId="40473726">
      <w:pPr>
        <w:spacing w:line="640" w:lineRule="exact"/>
        <w:ind w:firstLine="640"/>
        <w:jc w:val="both"/>
        <w:outlineLvl w:val="3"/>
      </w:pPr>
      <w:r>
        <w:rPr>
          <w:rFonts w:ascii="楷体_GB2312" w:hAnsi="楷体_GB2312" w:eastAsia="楷体_GB2312"/>
          <w:b/>
          <w:sz w:val="32"/>
        </w:rPr>
        <w:t>（一）一般公共预算财政拨款支出决算总体情况</w:t>
      </w:r>
    </w:p>
    <w:p w14:paraId="40663403">
      <w:pPr>
        <w:spacing w:line="580" w:lineRule="exact"/>
        <w:ind w:firstLine="640"/>
        <w:jc w:val="both"/>
      </w:pPr>
      <w:r>
        <w:rPr>
          <w:rFonts w:ascii="仿宋_GB2312" w:hAnsi="仿宋_GB2312" w:eastAsia="仿宋_GB2312"/>
          <w:b/>
          <w:sz w:val="32"/>
        </w:rPr>
        <w:t>2024年度一般公共预算财政拨款支出30,128.61万元，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增加29,541.27万元，增长5,029.67%，主要原因是：本年增加国有企业注册资本金项目，导致经费较上年增加。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22,973.49万元，决算数30,128.61万元，预决算差异率31.15%，主要原因是：本年在职人员工资调薪，工资、社保、公积金等相关人员经费增加，年中追加人员经费。年中追加关闭破产改制企业退休人员2024年三项费用项目，导致预决算存在差异。</w:t>
      </w:r>
    </w:p>
    <w:p w14:paraId="4A0934F7">
      <w:pPr>
        <w:spacing w:line="640" w:lineRule="exact"/>
        <w:ind w:firstLine="640"/>
        <w:jc w:val="both"/>
        <w:outlineLvl w:val="3"/>
      </w:pPr>
      <w:r>
        <w:rPr>
          <w:rFonts w:ascii="楷体_GB2312" w:hAnsi="楷体_GB2312" w:eastAsia="楷体_GB2312"/>
          <w:b/>
          <w:sz w:val="32"/>
        </w:rPr>
        <w:t>（二）一般公共预算财政拨款支出决算结构情况</w:t>
      </w:r>
    </w:p>
    <w:p w14:paraId="3D608ABD">
      <w:pPr>
        <w:spacing w:line="580" w:lineRule="exact"/>
        <w:ind w:firstLine="640"/>
        <w:jc w:val="both"/>
      </w:pPr>
      <w:r>
        <w:rPr>
          <w:rFonts w:ascii="仿宋_GB2312" w:hAnsi="仿宋_GB2312" w:eastAsia="仿宋_GB2312"/>
          <w:b w:val="0"/>
          <w:sz w:val="32"/>
        </w:rPr>
        <w:t>1.一般公共服务支出(类)2.20万元,占0.007%。</w:t>
      </w:r>
    </w:p>
    <w:p w14:paraId="21F5E28D">
      <w:pPr>
        <w:spacing w:line="580" w:lineRule="exact"/>
        <w:ind w:firstLine="640"/>
        <w:jc w:val="both"/>
      </w:pPr>
      <w:r>
        <w:rPr>
          <w:rFonts w:ascii="仿宋_GB2312" w:hAnsi="仿宋_GB2312" w:eastAsia="仿宋_GB2312"/>
          <w:b w:val="0"/>
          <w:sz w:val="32"/>
        </w:rPr>
        <w:t>2.社会保障和就业支出(类)150.63万元,占0.50%。</w:t>
      </w:r>
    </w:p>
    <w:p w14:paraId="69857B38">
      <w:pPr>
        <w:spacing w:line="580" w:lineRule="exact"/>
        <w:ind w:firstLine="640"/>
        <w:jc w:val="both"/>
      </w:pPr>
      <w:r>
        <w:rPr>
          <w:rFonts w:ascii="仿宋_GB2312" w:hAnsi="仿宋_GB2312" w:eastAsia="仿宋_GB2312"/>
          <w:b w:val="0"/>
          <w:sz w:val="32"/>
        </w:rPr>
        <w:t>3.卫生健康支出(类)17.84万元,占0.06%。</w:t>
      </w:r>
    </w:p>
    <w:p w14:paraId="0D5499C1">
      <w:pPr>
        <w:spacing w:line="580" w:lineRule="exact"/>
        <w:ind w:firstLine="640"/>
        <w:jc w:val="both"/>
      </w:pPr>
      <w:r>
        <w:rPr>
          <w:rFonts w:ascii="仿宋_GB2312" w:hAnsi="仿宋_GB2312" w:eastAsia="仿宋_GB2312"/>
          <w:b w:val="0"/>
          <w:sz w:val="32"/>
        </w:rPr>
        <w:t>4.资源勘探工业信息等支出(类)29,928.39万元,占99.34%。</w:t>
      </w:r>
    </w:p>
    <w:p w14:paraId="642E4D53">
      <w:pPr>
        <w:spacing w:line="580" w:lineRule="exact"/>
        <w:ind w:firstLine="640"/>
        <w:jc w:val="both"/>
      </w:pPr>
      <w:r>
        <w:rPr>
          <w:rFonts w:ascii="仿宋_GB2312" w:hAnsi="仿宋_GB2312" w:eastAsia="仿宋_GB2312"/>
          <w:b w:val="0"/>
          <w:sz w:val="32"/>
        </w:rPr>
        <w:t>5.住房保障支出(类)29.56万元,占0.10%。</w:t>
      </w:r>
    </w:p>
    <w:p w14:paraId="5F951283">
      <w:pPr>
        <w:spacing w:line="640" w:lineRule="exact"/>
        <w:ind w:firstLine="640"/>
        <w:jc w:val="both"/>
        <w:outlineLvl w:val="3"/>
      </w:pPr>
      <w:r>
        <w:rPr>
          <w:rFonts w:ascii="楷体_GB2312" w:hAnsi="楷体_GB2312" w:eastAsia="楷体_GB2312"/>
          <w:b/>
          <w:sz w:val="32"/>
        </w:rPr>
        <w:t>（三）一般公共预算财政拨款支出决算具体情况</w:t>
      </w:r>
    </w:p>
    <w:p w14:paraId="24A8F2B9">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1.一般公共服务支出(类)组织事务(款)其他组织事务支出(项):支出决算数为0.00万元，比上年决算减少0.80万元，下降100.00%,主要原因是：本年减少援疆干部人才南疆工作补贴项目，导致经费较上年减少。</w:t>
      </w:r>
    </w:p>
    <w:p w14:paraId="1259E2D5">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2.一般公共服务支出(类)统战事务(款)宗教事务(项):支出决算数为2.20万元，比上年决算增加1.71万元，增长348.98%,主要原因是：本年专项项目经费增加，生活补助经费增加。</w:t>
      </w:r>
    </w:p>
    <w:p w14:paraId="1264D39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27.76万元，比上年决算增加7.69万元，增长38.32%,主要原因是：本年新增退休人员、退休人员基础绩效奖，导致退休费较上年增加。</w:t>
      </w:r>
    </w:p>
    <w:p w14:paraId="0681D8F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35.42万元，比上年决算增加3.31万元，增长10.31%,主要原因是：本年在职人员增加，养老保险缴费较上年增加。</w:t>
      </w:r>
    </w:p>
    <w:p w14:paraId="7657A06F">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9.63万元，比上年决算减少0.32万元，下降3.22%,主要原因是：本年新增退休人员较上年减少，职业年金缴费较上年减少。</w:t>
      </w:r>
    </w:p>
    <w:p w14:paraId="0AD1D591">
      <w:pPr>
        <w:spacing w:line="580" w:lineRule="exact"/>
        <w:ind w:firstLine="640"/>
        <w:jc w:val="both"/>
      </w:pPr>
      <w:r>
        <w:rPr>
          <w:rFonts w:ascii="仿宋_GB2312" w:hAnsi="仿宋_GB2312" w:eastAsia="仿宋_GB2312"/>
          <w:b w:val="0"/>
          <w:sz w:val="32"/>
        </w:rPr>
        <w:t>6.社会保障和就业支出(类)企业改革补助(款)其他企业改革发展补助(项):支出决算数为77.81万元，比上年决算减少21.14万元，下降21.36%,主要原因是：本年减少破产改制企业人员补助，导致支出较上年减少。</w:t>
      </w:r>
    </w:p>
    <w:p w14:paraId="769C992D">
      <w:pPr>
        <w:spacing w:line="580" w:lineRule="exact"/>
        <w:ind w:firstLine="640"/>
        <w:jc w:val="both"/>
      </w:pPr>
      <w:r>
        <w:rPr>
          <w:rFonts w:ascii="仿宋_GB2312" w:hAnsi="仿宋_GB2312" w:eastAsia="仿宋_GB2312"/>
          <w:b w:val="0"/>
          <w:sz w:val="32"/>
        </w:rPr>
        <w:t>7.卫生健康支出(类)行政事业单位医疗(款)行政单位医疗(项):支出决算数为15.05万元，比上年决算增加0.85万元，增长5.99%,主要原因是：本年在职人员增加，行政单位医疗支出较上年增加。</w:t>
      </w:r>
    </w:p>
    <w:p w14:paraId="72A30B2B">
      <w:pPr>
        <w:spacing w:line="580" w:lineRule="exact"/>
        <w:ind w:firstLine="640"/>
        <w:jc w:val="both"/>
      </w:pPr>
      <w:r>
        <w:rPr>
          <w:rFonts w:ascii="仿宋_GB2312" w:hAnsi="仿宋_GB2312" w:eastAsia="仿宋_GB2312"/>
          <w:b w:val="0"/>
          <w:sz w:val="32"/>
        </w:rPr>
        <w:t>8.卫生健康支出(类)行政事业单位医疗(款)公务员医疗补助(项):支出决算数为2.79万元，比上年决算减少0.21万元，下降7.00%,主要原因是：本年度因政策调整，退休人员基本医疗不由单位缴纳，导致经费减少。</w:t>
      </w:r>
    </w:p>
    <w:p w14:paraId="568ABC74">
      <w:pPr>
        <w:spacing w:line="580" w:lineRule="exact"/>
        <w:ind w:firstLine="640"/>
        <w:jc w:val="both"/>
      </w:pPr>
      <w:r>
        <w:rPr>
          <w:rFonts w:ascii="仿宋_GB2312" w:hAnsi="仿宋_GB2312" w:eastAsia="仿宋_GB2312"/>
          <w:b w:val="0"/>
          <w:sz w:val="32"/>
        </w:rPr>
        <w:t>9.资源勘探工业信息等支出(类)国有资产监管(款)行政运行(项):支出决算数为372.53万元，比上年决算增加47.81万元，增长14.72%,主要原因是：本年在职人员工资调薪，工资等相关人员经费增加。</w:t>
      </w:r>
    </w:p>
    <w:p w14:paraId="45EEB847">
      <w:pPr>
        <w:spacing w:line="580" w:lineRule="exact"/>
        <w:ind w:firstLine="640"/>
        <w:jc w:val="both"/>
      </w:pPr>
      <w:r>
        <w:rPr>
          <w:rFonts w:ascii="仿宋_GB2312" w:hAnsi="仿宋_GB2312" w:eastAsia="仿宋_GB2312"/>
          <w:b w:val="0"/>
          <w:sz w:val="32"/>
        </w:rPr>
        <w:t>10.资源勘探工业信息等支出(类)国有资产监管(款)一般行政管理事务(项):支出决算数为29,555.86万元，比上年决算增加29,500.18万元，增长52,981.65%,主要原因是：本年增加国有企业注册资本金项目，导致经费较上年增加。</w:t>
      </w:r>
    </w:p>
    <w:p w14:paraId="77F41746">
      <w:pPr>
        <w:spacing w:line="580" w:lineRule="exact"/>
        <w:ind w:firstLine="640"/>
        <w:jc w:val="both"/>
      </w:pPr>
      <w:r>
        <w:rPr>
          <w:rFonts w:ascii="仿宋_GB2312" w:hAnsi="仿宋_GB2312" w:eastAsia="仿宋_GB2312"/>
          <w:b w:val="0"/>
          <w:sz w:val="32"/>
        </w:rPr>
        <w:t>11.住房保障支出(类)住房改革支出(款)住房公积金(项):支出决算数为29.56万元，比上年决算增加3.52万元，增长13.52%,主要原因是：本年在职人员工资基数调增，公积金缴费基数上涨，相应支出增加。</w:t>
      </w:r>
    </w:p>
    <w:p w14:paraId="62AA559F">
      <w:pPr>
        <w:spacing w:line="580" w:lineRule="exact"/>
        <w:ind w:firstLine="640"/>
        <w:jc w:val="both"/>
      </w:pPr>
      <w:r>
        <w:rPr>
          <w:rFonts w:ascii="仿宋_GB2312" w:hAnsi="仿宋_GB2312" w:eastAsia="仿宋_GB2312"/>
          <w:b w:val="0"/>
          <w:sz w:val="32"/>
        </w:rPr>
        <w:t>12.其他支出(类)其他支出(款)其他支出(项):支出决算数为0.00万元，比上年决算减少1.32万元，下降100.00%,主要原因是：本年专项项目经费减少，因此其他支出项减少。</w:t>
      </w:r>
    </w:p>
    <w:p w14:paraId="70E7855D">
      <w:pPr>
        <w:spacing w:line="640" w:lineRule="exact"/>
        <w:ind w:firstLine="640"/>
        <w:jc w:val="both"/>
        <w:outlineLvl w:val="2"/>
      </w:pPr>
      <w:r>
        <w:rPr>
          <w:rFonts w:ascii="黑体" w:hAnsi="黑体" w:eastAsia="黑体"/>
          <w:sz w:val="32"/>
        </w:rPr>
        <w:t>六、一般公共预算财政拨款基本支出决算情况说明</w:t>
      </w:r>
    </w:p>
    <w:p w14:paraId="0F733291">
      <w:pPr>
        <w:spacing w:line="580" w:lineRule="exact"/>
        <w:ind w:firstLine="640"/>
        <w:jc w:val="both"/>
      </w:pPr>
      <w:r>
        <w:rPr>
          <w:rFonts w:ascii="仿宋_GB2312" w:hAnsi="仿宋_GB2312" w:eastAsia="仿宋_GB2312"/>
          <w:b w:val="0"/>
          <w:sz w:val="32"/>
        </w:rPr>
        <w:t>2024年度一般公共预算财政拨款基本支出494.94万元，其中：</w:t>
      </w:r>
      <w:r>
        <w:rPr>
          <w:rFonts w:ascii="仿宋_GB2312" w:hAnsi="仿宋_GB2312" w:eastAsia="仿宋_GB2312"/>
          <w:b/>
          <w:sz w:val="32"/>
        </w:rPr>
        <w:t>人员经费454.34万元，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17047D84">
      <w:pPr>
        <w:spacing w:line="580" w:lineRule="exact"/>
        <w:ind w:firstLine="640"/>
        <w:jc w:val="both"/>
      </w:pPr>
      <w:r>
        <w:rPr>
          <w:rFonts w:ascii="仿宋_GB2312" w:hAnsi="仿宋_GB2312" w:eastAsia="仿宋_GB2312"/>
          <w:b/>
          <w:sz w:val="32"/>
        </w:rPr>
        <w:t>公用经费40.60万元，</w:t>
      </w:r>
      <w:r>
        <w:rPr>
          <w:rFonts w:ascii="仿宋_GB2312" w:hAnsi="仿宋_GB2312" w:eastAsia="仿宋_GB2312"/>
          <w:b w:val="0"/>
          <w:sz w:val="32"/>
        </w:rPr>
        <w:t>包括：办公费、手续费、水费、电费、邮电费、取暖费、差旅费、专用材料费、工会经费、公务用车运行维护费。</w:t>
      </w:r>
    </w:p>
    <w:p w14:paraId="7C376BCE">
      <w:pPr>
        <w:spacing w:line="640" w:lineRule="exact"/>
        <w:ind w:firstLine="640"/>
        <w:jc w:val="both"/>
        <w:outlineLvl w:val="2"/>
      </w:pPr>
      <w:r>
        <w:rPr>
          <w:rFonts w:ascii="黑体" w:hAnsi="黑体" w:eastAsia="黑体"/>
          <w:sz w:val="32"/>
        </w:rPr>
        <w:t>七、政府性基金预算财政拨款收入支出决算情况说明</w:t>
      </w:r>
    </w:p>
    <w:p w14:paraId="6D206FD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D573DBB">
      <w:pPr>
        <w:spacing w:line="640" w:lineRule="exact"/>
        <w:ind w:firstLine="640"/>
        <w:jc w:val="both"/>
        <w:outlineLvl w:val="2"/>
      </w:pPr>
      <w:r>
        <w:rPr>
          <w:rFonts w:ascii="黑体" w:hAnsi="黑体" w:eastAsia="黑体"/>
          <w:sz w:val="32"/>
        </w:rPr>
        <w:t>八、国有资本经营预算财政拨款收入支出决算情况说明</w:t>
      </w:r>
    </w:p>
    <w:p w14:paraId="311F1264">
      <w:pPr>
        <w:spacing w:line="580" w:lineRule="exact"/>
        <w:ind w:firstLine="640"/>
        <w:jc w:val="both"/>
      </w:pPr>
      <w:r>
        <w:rPr>
          <w:rFonts w:ascii="仿宋_GB2312" w:hAnsi="仿宋_GB2312" w:eastAsia="仿宋_GB2312"/>
          <w:b/>
          <w:sz w:val="32"/>
        </w:rPr>
        <w:t>2024年度国有资本经营预算财政拨款收入总计11.00万元，</w:t>
      </w:r>
      <w:r>
        <w:rPr>
          <w:rFonts w:ascii="仿宋_GB2312" w:hAnsi="仿宋_GB2312" w:eastAsia="仿宋_GB2312"/>
          <w:b w:val="0"/>
          <w:sz w:val="32"/>
        </w:rPr>
        <w:t>其中：年初结转和结余0.00万元，本年收入11.00万元。</w:t>
      </w:r>
      <w:r>
        <w:rPr>
          <w:rFonts w:ascii="仿宋_GB2312" w:hAnsi="仿宋_GB2312" w:eastAsia="仿宋_GB2312"/>
          <w:b/>
          <w:sz w:val="32"/>
        </w:rPr>
        <w:t>国有资本经营预算财政拨款支出总计11.00万元，</w:t>
      </w:r>
      <w:r>
        <w:rPr>
          <w:rFonts w:ascii="仿宋_GB2312" w:hAnsi="仿宋_GB2312" w:eastAsia="仿宋_GB2312"/>
          <w:b w:val="0"/>
          <w:sz w:val="32"/>
        </w:rPr>
        <w:t>其中：年末结转和结余0.00万元，本年支出11.00万元。</w:t>
      </w:r>
    </w:p>
    <w:p w14:paraId="4EE28356">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增加11.00万元，增长100.00%，主要原因是：本年新增喀什广建退休人员医保费及取暖费项目，因此增长100%。</w:t>
      </w:r>
      <w:r>
        <w:rPr>
          <w:rFonts w:ascii="仿宋_GB2312" w:hAnsi="仿宋_GB2312" w:eastAsia="仿宋_GB2312"/>
          <w:b/>
          <w:sz w:val="32"/>
        </w:rPr>
        <w:t>与年初预算相比，</w:t>
      </w:r>
      <w:r>
        <w:rPr>
          <w:rFonts w:ascii="仿宋_GB2312" w:hAnsi="仿宋_GB2312" w:eastAsia="仿宋_GB2312"/>
          <w:b w:val="0"/>
          <w:sz w:val="32"/>
        </w:rPr>
        <w:t>年初预算数0.00万元，决算数11.00万元，预决算差异率100.00%，主要原因是：年中追加喀什广建退休人员医保费及取暖费项目。</w:t>
      </w:r>
    </w:p>
    <w:p w14:paraId="7143ED9E">
      <w:pPr>
        <w:spacing w:line="580" w:lineRule="exact"/>
        <w:ind w:firstLine="640"/>
        <w:jc w:val="both"/>
      </w:pPr>
      <w:r>
        <w:rPr>
          <w:rFonts w:ascii="仿宋_GB2312" w:hAnsi="仿宋_GB2312" w:eastAsia="仿宋_GB2312"/>
          <w:sz w:val="32"/>
        </w:rPr>
        <w:t>国有资本经营预算财政拨款支出11.00万元。</w:t>
      </w:r>
    </w:p>
    <w:p w14:paraId="0B21CA7B">
      <w:pPr>
        <w:spacing w:line="580" w:lineRule="exact"/>
        <w:ind w:firstLine="640"/>
        <w:jc w:val="both"/>
      </w:pPr>
      <w:r>
        <w:rPr>
          <w:rFonts w:ascii="仿宋_GB2312" w:hAnsi="仿宋_GB2312" w:eastAsia="仿宋_GB2312"/>
          <w:b w:val="0"/>
          <w:sz w:val="32"/>
        </w:rPr>
        <w:t>1.国有资本经营预算支出(类)解决历史遗留问题及改革成本支出(款)其他解决历史遗留问题及改革成本支出(项):支出决算数为11.00万元，比上年决算增加11.00万元，增长100.00%,主要原因是：本年新增喀什广建退休人员医保费及取暖费项目，因此增长100%。</w:t>
      </w:r>
    </w:p>
    <w:p w14:paraId="41DA0208">
      <w:pPr>
        <w:spacing w:line="640" w:lineRule="exact"/>
        <w:ind w:firstLine="640"/>
        <w:jc w:val="both"/>
        <w:outlineLvl w:val="2"/>
      </w:pPr>
      <w:r>
        <w:rPr>
          <w:rFonts w:ascii="黑体" w:hAnsi="黑体" w:eastAsia="黑体"/>
          <w:sz w:val="32"/>
        </w:rPr>
        <w:t>九、财政拨款“三公”经费支出决算情况说明</w:t>
      </w:r>
    </w:p>
    <w:p w14:paraId="00F6DD85">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0.00万元，增长0.00%，主要原因是：“三公”经费与上年一致无变化。其中：因公出国（境）费支出0.00万元，占0.00%，比上年增加0.00万元，增长0.00%，主要原因是：2023年与2024年均未安排因公出国（境）费支出。公务用车购置及运行维护费支出1.80万元，占100.00%，比上年增加0.00万元，增长0.00%，主要原因是：公务用车运行维护费与上年一致无变化。公务接待费支出0.00万元，占0.00%，比上年增加0.00万元，增长0.00%，主要原因是：2023年与2024年均未安排公务接待费支出。</w:t>
      </w:r>
    </w:p>
    <w:p w14:paraId="5EE7569C">
      <w:pPr>
        <w:spacing w:line="580" w:lineRule="exact"/>
        <w:ind w:firstLine="640"/>
        <w:jc w:val="both"/>
      </w:pPr>
      <w:r>
        <w:rPr>
          <w:rFonts w:ascii="仿宋_GB2312" w:hAnsi="仿宋_GB2312" w:eastAsia="仿宋_GB2312"/>
          <w:b/>
          <w:sz w:val="32"/>
        </w:rPr>
        <w:t>具体情况如下：</w:t>
      </w:r>
    </w:p>
    <w:p w14:paraId="04F490D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67180D8">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1辆。国有资产占用情况中固定资产车辆0辆，与公务用车保有量差异原因是：借用其他单位车辆，车辆费用由本部门支付。</w:t>
      </w:r>
    </w:p>
    <w:p w14:paraId="6AFA8EA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DE1B42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1.80万元，决算数1.80万元，预决算差异率0.00%，主要原因是：严格按照预算执行，预决算无差异。公务接待费全年预算数0.00万元，决算数0.00万元，预决算差异率0.00%，主要原因是：本部门无公务接待费。</w:t>
      </w:r>
    </w:p>
    <w:p w14:paraId="78C262BC">
      <w:pPr>
        <w:spacing w:line="640" w:lineRule="exact"/>
        <w:ind w:firstLine="640"/>
        <w:jc w:val="both"/>
        <w:outlineLvl w:val="2"/>
      </w:pPr>
      <w:r>
        <w:rPr>
          <w:rFonts w:ascii="黑体" w:hAnsi="黑体" w:eastAsia="黑体"/>
          <w:sz w:val="32"/>
        </w:rPr>
        <w:t>十、其他重要事项的情况说明</w:t>
      </w:r>
    </w:p>
    <w:p w14:paraId="39B7CA7F">
      <w:pPr>
        <w:spacing w:line="640" w:lineRule="exact"/>
        <w:ind w:firstLine="640"/>
        <w:jc w:val="both"/>
        <w:outlineLvl w:val="3"/>
      </w:pPr>
      <w:r>
        <w:rPr>
          <w:rFonts w:ascii="楷体_GB2312" w:hAnsi="楷体_GB2312" w:eastAsia="楷体_GB2312"/>
          <w:b/>
          <w:sz w:val="32"/>
        </w:rPr>
        <w:t>（一）机关运行经费及公用经费支出情况</w:t>
      </w:r>
    </w:p>
    <w:p w14:paraId="4B45070F">
      <w:pPr>
        <w:spacing w:line="580" w:lineRule="exact"/>
        <w:ind w:firstLine="640"/>
        <w:jc w:val="both"/>
      </w:pPr>
      <w:r>
        <w:rPr>
          <w:rFonts w:ascii="仿宋_GB2312" w:hAnsi="仿宋_GB2312" w:eastAsia="仿宋_GB2312"/>
          <w:b w:val="0"/>
          <w:sz w:val="32"/>
        </w:rPr>
        <w:t>2024年度喀什地区国有资产监督管理委员会（行政单位和参照公务员法管理事业单位）机关运行经费支出40.60万元，比上年增加21.71万元，增长114.93%，主要原因是：本年增加办公费、水电费、办公用房取暖费等机关运行经费支出，导致经费较上年增加。</w:t>
      </w:r>
    </w:p>
    <w:p w14:paraId="3938C819">
      <w:pPr>
        <w:spacing w:line="640" w:lineRule="exact"/>
        <w:ind w:firstLine="640"/>
        <w:jc w:val="both"/>
        <w:outlineLvl w:val="3"/>
      </w:pPr>
      <w:r>
        <w:rPr>
          <w:rFonts w:ascii="楷体_GB2312" w:hAnsi="楷体_GB2312" w:eastAsia="楷体_GB2312"/>
          <w:b/>
          <w:sz w:val="32"/>
        </w:rPr>
        <w:t>（二）政府采购情况</w:t>
      </w:r>
    </w:p>
    <w:p w14:paraId="0367EDC6">
      <w:pPr>
        <w:spacing w:line="580" w:lineRule="exact"/>
        <w:ind w:firstLine="640"/>
        <w:jc w:val="both"/>
      </w:pPr>
      <w:r>
        <w:rPr>
          <w:rFonts w:ascii="仿宋_GB2312" w:hAnsi="仿宋_GB2312" w:eastAsia="仿宋_GB2312"/>
          <w:b w:val="0"/>
          <w:sz w:val="32"/>
        </w:rPr>
        <w:t>2024年度政府采购支出总额29.51万元，其中：政府采购货物支出24.15万元、政府采购工程支出0.00万元、政府采购服务支出5.36万元。</w:t>
      </w:r>
    </w:p>
    <w:p w14:paraId="35611D58">
      <w:pPr>
        <w:spacing w:line="580" w:lineRule="exact"/>
        <w:ind w:firstLine="640"/>
        <w:jc w:val="both"/>
      </w:pPr>
      <w:r>
        <w:rPr>
          <w:rFonts w:ascii="仿宋_GB2312" w:hAnsi="仿宋_GB2312" w:eastAsia="仿宋_GB2312"/>
          <w:b w:val="0"/>
          <w:sz w:val="32"/>
        </w:rPr>
        <w:t>授予中小企业合同金额29.51万元，占政府采购支出总额的100.00%，其中：授予小微企业合同金额24.97万元，占政府采购支出总额的84.62%。</w:t>
      </w:r>
    </w:p>
    <w:p w14:paraId="78F96CFB">
      <w:pPr>
        <w:spacing w:line="640" w:lineRule="exact"/>
        <w:ind w:firstLine="640"/>
        <w:jc w:val="both"/>
        <w:outlineLvl w:val="3"/>
      </w:pPr>
      <w:r>
        <w:rPr>
          <w:rFonts w:ascii="楷体_GB2312" w:hAnsi="楷体_GB2312" w:eastAsia="楷体_GB2312"/>
          <w:b/>
          <w:sz w:val="32"/>
        </w:rPr>
        <w:t>（三）国有资产占用情况说明</w:t>
      </w:r>
    </w:p>
    <w:p w14:paraId="75DEFDAC">
      <w:pPr>
        <w:spacing w:line="580" w:lineRule="exact"/>
        <w:ind w:firstLine="640"/>
        <w:jc w:val="both"/>
      </w:pPr>
      <w:r>
        <w:rPr>
          <w:rFonts w:ascii="仿宋_GB2312" w:hAnsi="仿宋_GB2312" w:eastAsia="仿宋_GB2312"/>
          <w:b w:val="0"/>
          <w:sz w:val="32"/>
        </w:rPr>
        <w:t>截至2024年12月31日，房屋1,245.00平方米，价值60.18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1台（套）。</w:t>
      </w:r>
    </w:p>
    <w:p w14:paraId="269AD656">
      <w:pPr>
        <w:spacing w:line="640" w:lineRule="exact"/>
        <w:ind w:firstLine="640"/>
        <w:jc w:val="both"/>
        <w:outlineLvl w:val="2"/>
      </w:pPr>
      <w:r>
        <w:rPr>
          <w:rFonts w:ascii="黑体" w:hAnsi="黑体" w:eastAsia="黑体"/>
          <w:sz w:val="32"/>
        </w:rPr>
        <w:t>十一、预算绩效的情况说明</w:t>
      </w:r>
    </w:p>
    <w:p w14:paraId="4DCD441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根据预算绩效管理要求，本部门2024年度预算绩效管理形成整体支出绩效自评表1个，全年预算总额30,231.51万元，实际执行总额30,144.26万元；预算绩效评价项目1</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24</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720.35</w:t>
      </w:r>
      <w:r>
        <w:rPr>
          <w:rFonts w:ascii="仿宋_GB2312" w:hAnsi="仿宋_GB2312" w:eastAsia="仿宋_GB2312"/>
          <w:b w:val="0"/>
          <w:sz w:val="32"/>
        </w:rPr>
        <w:t>万元，全年执行数</w:t>
      </w:r>
      <w:r>
        <w:rPr>
          <w:rFonts w:hint="eastAsia" w:ascii="仿宋_GB2312" w:hAnsi="仿宋_GB2312" w:eastAsia="仿宋_GB2312"/>
          <w:b w:val="0"/>
          <w:sz w:val="32"/>
        </w:rPr>
        <w:t>23</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573.94</w:t>
      </w:r>
      <w:r>
        <w:rPr>
          <w:rFonts w:ascii="仿宋_GB2312" w:hAnsi="仿宋_GB2312" w:eastAsia="仿宋_GB2312"/>
          <w:b w:val="0"/>
          <w:sz w:val="32"/>
        </w:rPr>
        <w:t>万元。预算绩效管理取得的成效：一是明确了预算项目绩效目标编制要求，分类别建立科学合理、细化量化、可比可测预算绩效指标体系，突出结果导向，重点考核实绩。二是加强了绩效业务学习及培训，提高业务人员绩效管理意识，进一步加强预算绩效管理工作，优化项目支出绩效指标体系，完善预算绩效管理制度，有效推动了下一年度预算绩效管理工作常态化、规范化。通过强化专业培训、学习考察、业务交流等措施，帮助和促进本部门现有人员提高绩效管理业务水平、实际工作能力。发现的问题及原因：一是绩效指标的明确性、可衡量性、相关性还需进一步提升。预算精细化管理还需完善，预算编制管理水平仍有进一步提升的空间。二是部分业务人员绩效管理意识有待增强，未能全面深入认识理解绩效管理工作的意义。绩效管理经验不足，预算绩效管理工作有待进一步落实。下一步改进措施：一是继续完善预算绩效管理相关工作制度，建立全过程预算绩效管理链条，有效贯彻落实全面实施绩效管理的精神。二是加大绩效工作宣传力度，强化绩效理念。三是完善绩效指标，提高整体绩效目标质量。提升预算精细化管理水平。具体附部门整体支出绩效自评表，项目支出绩效自评表和部门评价报告。</w:t>
      </w:r>
    </w:p>
    <w:p w14:paraId="4D8FBF9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227C63">
        <w:tc>
          <w:tcPr>
            <w:tcW w:w="8847" w:type="dxa"/>
            <w:gridSpan w:val="9"/>
            <w:vAlign w:val="center"/>
          </w:tcPr>
          <w:p w14:paraId="79B1329A">
            <w:pPr>
              <w:jc w:val="center"/>
            </w:pPr>
            <w:r>
              <w:rPr>
                <w:rFonts w:ascii="宋体" w:hAnsi="宋体" w:eastAsia="宋体"/>
                <w:sz w:val="24"/>
              </w:rPr>
              <w:t>部门整体支出绩效自评表</w:t>
            </w:r>
          </w:p>
        </w:tc>
      </w:tr>
      <w:tr w14:paraId="1A49FD32">
        <w:tblPrEx>
          <w:tblCellMar>
            <w:top w:w="0" w:type="dxa"/>
            <w:left w:w="108" w:type="dxa"/>
            <w:bottom w:w="0" w:type="dxa"/>
            <w:right w:w="108" w:type="dxa"/>
          </w:tblCellMar>
        </w:tblPrEx>
        <w:tc>
          <w:tcPr>
            <w:tcW w:w="8847" w:type="dxa"/>
            <w:gridSpan w:val="9"/>
            <w:vAlign w:val="center"/>
          </w:tcPr>
          <w:p w14:paraId="78EFE7D7">
            <w:pPr>
              <w:jc w:val="center"/>
            </w:pPr>
            <w:r>
              <w:rPr>
                <w:rFonts w:ascii="宋体" w:hAnsi="宋体" w:eastAsia="宋体"/>
                <w:sz w:val="24"/>
              </w:rPr>
              <w:t>（2024年度）</w:t>
            </w:r>
          </w:p>
        </w:tc>
      </w:tr>
      <w:tr w14:paraId="30D1F7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6881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E3A179">
            <w:pPr>
              <w:jc w:val="center"/>
            </w:pPr>
            <w:r>
              <w:rPr>
                <w:rFonts w:ascii="宋体" w:hAnsi="宋体" w:eastAsia="宋体"/>
                <w:sz w:val="16"/>
              </w:rPr>
              <w:t>喀什地区国有资产监督管理委员会</w:t>
            </w:r>
          </w:p>
        </w:tc>
      </w:tr>
      <w:tr w14:paraId="292ADD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FBF1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7F9A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8CFE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2870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9380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55CD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EA4F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2F40E">
            <w:pPr>
              <w:jc w:val="center"/>
            </w:pPr>
            <w:r>
              <w:rPr>
                <w:rFonts w:ascii="宋体" w:hAnsi="宋体" w:eastAsia="宋体"/>
                <w:sz w:val="16"/>
              </w:rPr>
              <w:t>得分</w:t>
            </w:r>
          </w:p>
        </w:tc>
      </w:tr>
      <w:tr w14:paraId="2234ED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DAE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3AAF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876E9">
            <w:pPr>
              <w:jc w:val="center"/>
            </w:pPr>
            <w:r>
              <w:rPr>
                <w:rFonts w:ascii="宋体" w:hAnsi="宋体" w:eastAsia="宋体"/>
                <w:sz w:val="16"/>
              </w:rPr>
              <w:t>22,973.49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37C90">
            <w:pPr>
              <w:jc w:val="center"/>
            </w:pPr>
            <w:r>
              <w:rPr>
                <w:rFonts w:ascii="宋体" w:hAnsi="宋体" w:eastAsia="宋体"/>
                <w:sz w:val="16"/>
              </w:rPr>
              <w:t>30,231.51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042C4">
            <w:pPr>
              <w:jc w:val="center"/>
            </w:pPr>
            <w:r>
              <w:rPr>
                <w:rFonts w:ascii="宋体" w:hAnsi="宋体" w:eastAsia="宋体"/>
                <w:sz w:val="16"/>
              </w:rPr>
              <w:t>30,144.26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C07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6003C">
            <w:pPr>
              <w:jc w:val="center"/>
            </w:pPr>
            <w:r>
              <w:rPr>
                <w:rFonts w:ascii="宋体" w:hAnsi="宋体" w:eastAsia="宋体"/>
                <w:sz w:val="16"/>
              </w:rPr>
              <w:t>99.71%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67E40">
            <w:pPr>
              <w:jc w:val="center"/>
            </w:pPr>
            <w:r>
              <w:rPr>
                <w:rFonts w:ascii="宋体" w:hAnsi="宋体" w:eastAsia="宋体"/>
                <w:sz w:val="16"/>
              </w:rPr>
              <w:t>9.97</w:t>
            </w:r>
          </w:p>
        </w:tc>
      </w:tr>
      <w:tr w14:paraId="5B7CDD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B56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C7FE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A858E">
            <w:pPr>
              <w:jc w:val="center"/>
            </w:pPr>
            <w:r>
              <w:rPr>
                <w:rFonts w:ascii="宋体" w:hAnsi="宋体" w:eastAsia="宋体"/>
                <w:sz w:val="16"/>
              </w:rPr>
              <w:t>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5B660">
            <w:pPr>
              <w:jc w:val="center"/>
            </w:pPr>
            <w:r>
              <w:rPr>
                <w:rFonts w:ascii="宋体" w:hAnsi="宋体" w:eastAsia="宋体"/>
                <w:sz w:val="16"/>
              </w:rPr>
              <w:t>7,219.79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72B67">
            <w:pPr>
              <w:jc w:val="center"/>
            </w:pPr>
            <w:r>
              <w:rPr>
                <w:rFonts w:ascii="宋体" w:hAnsi="宋体" w:eastAsia="宋体"/>
                <w:sz w:val="16"/>
              </w:rPr>
              <w:t>7,216.15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9C2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81A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26A5C">
            <w:pPr>
              <w:jc w:val="center"/>
            </w:pPr>
            <w:r>
              <w:rPr>
                <w:rFonts w:ascii="宋体" w:hAnsi="宋体" w:eastAsia="宋体"/>
                <w:sz w:val="16"/>
              </w:rPr>
              <w:t>—</w:t>
            </w:r>
          </w:p>
        </w:tc>
      </w:tr>
      <w:tr w14:paraId="527263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616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9B27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D57E3">
            <w:pPr>
              <w:jc w:val="center"/>
            </w:pPr>
            <w:r>
              <w:rPr>
                <w:rFonts w:ascii="宋体" w:hAnsi="宋体" w:eastAsia="宋体"/>
                <w:sz w:val="16"/>
              </w:rPr>
              <w:t>22,968.38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CB1E5">
            <w:pPr>
              <w:jc w:val="center"/>
            </w:pPr>
            <w:r>
              <w:rPr>
                <w:rFonts w:ascii="宋体" w:hAnsi="宋体" w:eastAsia="宋体"/>
                <w:sz w:val="16"/>
              </w:rPr>
              <w:t>23,006.72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336B3">
            <w:pPr>
              <w:jc w:val="center"/>
            </w:pPr>
            <w:r>
              <w:rPr>
                <w:rFonts w:ascii="宋体" w:hAnsi="宋体" w:eastAsia="宋体"/>
                <w:sz w:val="16"/>
              </w:rPr>
              <w:t>22,923.46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A8E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B03B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C687D">
            <w:pPr>
              <w:jc w:val="center"/>
            </w:pPr>
            <w:r>
              <w:rPr>
                <w:rFonts w:ascii="宋体" w:hAnsi="宋体" w:eastAsia="宋体"/>
                <w:sz w:val="16"/>
              </w:rPr>
              <w:t>—</w:t>
            </w:r>
          </w:p>
        </w:tc>
      </w:tr>
      <w:tr w14:paraId="7863A5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A64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439F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DBA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CD775">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C2ADC">
            <w:pPr>
              <w:jc w:val="center"/>
            </w:pPr>
            <w:r>
              <w:rPr>
                <w:rFonts w:ascii="宋体" w:hAnsi="宋体" w:eastAsia="宋体"/>
                <w:sz w:val="16"/>
              </w:rPr>
              <w:t>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F67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918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E32B">
            <w:pPr>
              <w:jc w:val="center"/>
            </w:pPr>
            <w:r>
              <w:rPr>
                <w:rFonts w:ascii="宋体" w:hAnsi="宋体" w:eastAsia="宋体"/>
                <w:sz w:val="16"/>
              </w:rPr>
              <w:t>—</w:t>
            </w:r>
          </w:p>
        </w:tc>
      </w:tr>
      <w:tr w14:paraId="2D1F60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09AC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813A0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D55C8A">
            <w:pPr>
              <w:jc w:val="center"/>
            </w:pPr>
            <w:r>
              <w:rPr>
                <w:rFonts w:ascii="宋体" w:hAnsi="宋体" w:eastAsia="宋体"/>
                <w:sz w:val="16"/>
              </w:rPr>
              <w:t>实际完成情况</w:t>
            </w:r>
          </w:p>
        </w:tc>
      </w:tr>
      <w:tr w14:paraId="54F3C5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53EA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BE1015">
            <w:pPr>
              <w:jc w:val="both"/>
            </w:pPr>
            <w:r>
              <w:rPr>
                <w:rFonts w:ascii="宋体" w:hAnsi="宋体" w:eastAsia="宋体"/>
                <w:sz w:val="16"/>
              </w:rPr>
              <w:t>2024年喀什地区国资国企资产总额达到800亿元以上，资产增长13.14%，收入总额达到103.2亿元，利润总额达到1.17亿元，收入、利润增长22.81%。以提高经济效益为核心，建立国资委领导包联地直企业制度，切实摸清企业的盈亏情况，进一步理清工作思路，明确工作目标，落实好扭亏增盈工作责任制，实行企业“一把手”负责制，进一步提高亏损企业经济效益，尽快全面扭亏为盈，推进企业经济整体水平和效益有大的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26A915">
            <w:pPr>
              <w:jc w:val="both"/>
            </w:pPr>
            <w:r>
              <w:rPr>
                <w:rFonts w:ascii="宋体" w:hAnsi="宋体" w:eastAsia="宋体"/>
                <w:sz w:val="16"/>
              </w:rPr>
              <w:t>2024年度配齐总经理企业5户；国有资产增长率13.14%;2024年国资国企收入总额103.2亿元；2024年国资国企利润总额1.17亿元；2024年国资国企收入、利润增长率13.14%，实行了企业“一把手”负责制，进一步提高了亏损企业经济效益，全面扭亏为盈，推进了企业经济整体水平和效益有大的提高。</w:t>
            </w:r>
          </w:p>
        </w:tc>
      </w:tr>
      <w:tr w14:paraId="1D2705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AD43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7178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5B4B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101B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C060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AD2A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0069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93B1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E1466">
            <w:pPr>
              <w:jc w:val="center"/>
            </w:pPr>
            <w:r>
              <w:rPr>
                <w:rFonts w:ascii="宋体" w:hAnsi="宋体" w:eastAsia="宋体"/>
                <w:sz w:val="16"/>
              </w:rPr>
              <w:t>得分</w:t>
            </w:r>
          </w:p>
        </w:tc>
      </w:tr>
      <w:tr w14:paraId="24873B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7B7F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E668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081F5">
            <w:pPr>
              <w:jc w:val="center"/>
            </w:pPr>
            <w:r>
              <w:rPr>
                <w:rFonts w:ascii="宋体" w:hAnsi="宋体" w:eastAsia="宋体"/>
                <w:sz w:val="16"/>
              </w:rPr>
              <w:t>配齐总经理企业户数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EFB4E">
            <w:pPr>
              <w:jc w:val="center"/>
            </w:pPr>
            <w:r>
              <w:rPr>
                <w:rFonts w:ascii="宋体" w:hAnsi="宋体" w:eastAsia="宋体"/>
                <w:sz w:val="16"/>
              </w:rPr>
              <w:t>&gt;=5户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60392">
            <w:pPr>
              <w:jc w:val="center"/>
            </w:pPr>
            <w:r>
              <w:rPr>
                <w:rFonts w:ascii="宋体" w:hAnsi="宋体" w:eastAsia="宋体"/>
                <w:sz w:val="16"/>
              </w:rPr>
              <w:t>喀什地区国有资产监督管理委员会2024年度工作计划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825F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469CF">
            <w:pPr>
              <w:jc w:val="center"/>
            </w:pPr>
            <w:r>
              <w:rPr>
                <w:rFonts w:ascii="宋体" w:hAnsi="宋体" w:eastAsia="宋体"/>
                <w:sz w:val="16"/>
              </w:rPr>
              <w:t>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ED0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3B8A2">
            <w:pPr>
              <w:jc w:val="center"/>
            </w:pPr>
            <w:r>
              <w:rPr>
                <w:rFonts w:ascii="宋体" w:hAnsi="宋体" w:eastAsia="宋体"/>
                <w:sz w:val="16"/>
              </w:rPr>
              <w:t>18</w:t>
            </w:r>
          </w:p>
        </w:tc>
      </w:tr>
      <w:tr w14:paraId="116DD0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144D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173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35507">
            <w:pPr>
              <w:jc w:val="center"/>
            </w:pPr>
            <w:r>
              <w:rPr>
                <w:rFonts w:ascii="宋体" w:hAnsi="宋体" w:eastAsia="宋体"/>
                <w:sz w:val="16"/>
              </w:rPr>
              <w:t>2024年国有资产增长率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F6537">
            <w:pPr>
              <w:jc w:val="center"/>
            </w:pPr>
            <w:r>
              <w:rPr>
                <w:rFonts w:ascii="宋体" w:hAnsi="宋体" w:eastAsia="宋体"/>
                <w:sz w:val="16"/>
              </w:rPr>
              <w:t>&gt;=13.14%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BF9CE">
            <w:pPr>
              <w:jc w:val="center"/>
            </w:pPr>
            <w:r>
              <w:rPr>
                <w:rFonts w:ascii="宋体" w:hAnsi="宋体" w:eastAsia="宋体"/>
                <w:sz w:val="16"/>
              </w:rPr>
              <w:t>喀什地区国有资产监督管理委员会2024年度工作计划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CF44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3F909">
            <w:pPr>
              <w:jc w:val="center"/>
            </w:pPr>
            <w:r>
              <w:rPr>
                <w:rFonts w:ascii="宋体" w:hAnsi="宋体" w:eastAsia="宋体"/>
                <w:sz w:val="16"/>
              </w:rPr>
              <w:t>13.14%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0D9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4CCCD">
            <w:pPr>
              <w:jc w:val="center"/>
            </w:pPr>
            <w:r>
              <w:rPr>
                <w:rFonts w:ascii="宋体" w:hAnsi="宋体" w:eastAsia="宋体"/>
                <w:sz w:val="16"/>
              </w:rPr>
              <w:t>18</w:t>
            </w:r>
          </w:p>
        </w:tc>
      </w:tr>
      <w:tr w14:paraId="717428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900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B8F6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210C8">
            <w:pPr>
              <w:jc w:val="center"/>
            </w:pPr>
            <w:r>
              <w:rPr>
                <w:rFonts w:ascii="宋体" w:hAnsi="宋体" w:eastAsia="宋体"/>
                <w:sz w:val="16"/>
              </w:rPr>
              <w:t>2024年国资国企收入总额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C36C2">
            <w:pPr>
              <w:jc w:val="center"/>
            </w:pPr>
            <w:r>
              <w:rPr>
                <w:rFonts w:ascii="宋体" w:hAnsi="宋体" w:eastAsia="宋体"/>
                <w:sz w:val="16"/>
              </w:rPr>
              <w:t>&gt;=103.2亿元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F60FD">
            <w:pPr>
              <w:jc w:val="center"/>
            </w:pPr>
            <w:r>
              <w:rPr>
                <w:rFonts w:ascii="宋体" w:hAnsi="宋体" w:eastAsia="宋体"/>
                <w:sz w:val="16"/>
              </w:rPr>
              <w:t>喀什地区国有资产监督管理委员会2024年度工作计划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E4FE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43CCF">
            <w:pPr>
              <w:jc w:val="center"/>
            </w:pPr>
            <w:r>
              <w:rPr>
                <w:rFonts w:ascii="宋体" w:hAnsi="宋体" w:eastAsia="宋体"/>
                <w:sz w:val="16"/>
              </w:rPr>
              <w:t>103.2亿元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C7E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535F4">
            <w:pPr>
              <w:jc w:val="center"/>
            </w:pPr>
            <w:r>
              <w:rPr>
                <w:rFonts w:ascii="宋体" w:hAnsi="宋体" w:eastAsia="宋体"/>
                <w:sz w:val="16"/>
              </w:rPr>
              <w:t>18</w:t>
            </w:r>
          </w:p>
        </w:tc>
      </w:tr>
      <w:tr w14:paraId="1C7F70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58A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4739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D34B8">
            <w:pPr>
              <w:jc w:val="center"/>
            </w:pPr>
            <w:r>
              <w:rPr>
                <w:rFonts w:ascii="宋体" w:hAnsi="宋体" w:eastAsia="宋体"/>
                <w:sz w:val="16"/>
              </w:rPr>
              <w:t>2024年国资国企利润总额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D54A7">
            <w:pPr>
              <w:jc w:val="center"/>
            </w:pPr>
            <w:r>
              <w:rPr>
                <w:rFonts w:ascii="宋体" w:hAnsi="宋体" w:eastAsia="宋体"/>
                <w:sz w:val="16"/>
              </w:rPr>
              <w:t>&gt;=1.17亿元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55A49">
            <w:pPr>
              <w:jc w:val="center"/>
            </w:pPr>
            <w:r>
              <w:rPr>
                <w:rFonts w:ascii="宋体" w:hAnsi="宋体" w:eastAsia="宋体"/>
                <w:sz w:val="16"/>
              </w:rPr>
              <w:t>喀什地区国有资产监督管理委员会2024年度工作计划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5679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4BBF5">
            <w:pPr>
              <w:jc w:val="center"/>
            </w:pPr>
            <w:r>
              <w:rPr>
                <w:rFonts w:ascii="宋体" w:hAnsi="宋体" w:eastAsia="宋体"/>
                <w:sz w:val="16"/>
              </w:rPr>
              <w:t>1.17亿元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FAE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58771">
            <w:pPr>
              <w:jc w:val="center"/>
            </w:pPr>
            <w:r>
              <w:rPr>
                <w:rFonts w:ascii="宋体" w:hAnsi="宋体" w:eastAsia="宋体"/>
                <w:sz w:val="16"/>
              </w:rPr>
              <w:t>18</w:t>
            </w:r>
          </w:p>
        </w:tc>
      </w:tr>
      <w:tr w14:paraId="15A14D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9225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BF1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11910">
            <w:pPr>
              <w:jc w:val="center"/>
            </w:pPr>
            <w:r>
              <w:rPr>
                <w:rFonts w:ascii="宋体" w:hAnsi="宋体" w:eastAsia="宋体"/>
                <w:sz w:val="16"/>
              </w:rPr>
              <w:t>2024年国资国企收入、利润增长率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966AF">
            <w:pPr>
              <w:jc w:val="center"/>
            </w:pPr>
            <w:r>
              <w:rPr>
                <w:rFonts w:ascii="宋体" w:hAnsi="宋体" w:eastAsia="宋体"/>
                <w:sz w:val="16"/>
              </w:rPr>
              <w:t>&gt;=22.81%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F17BB">
            <w:pPr>
              <w:jc w:val="center"/>
            </w:pPr>
            <w:r>
              <w:rPr>
                <w:rFonts w:ascii="宋体" w:hAnsi="宋体" w:eastAsia="宋体"/>
                <w:sz w:val="16"/>
              </w:rPr>
              <w:t>喀什地区国有资产监督管理委员会2024年度工作计划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92A4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6CFFD">
            <w:pPr>
              <w:jc w:val="center"/>
            </w:pPr>
            <w:r>
              <w:rPr>
                <w:rFonts w:ascii="宋体" w:hAnsi="宋体" w:eastAsia="宋体"/>
                <w:sz w:val="16"/>
              </w:rPr>
              <w:t>22.81%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EAD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53F16">
            <w:pPr>
              <w:jc w:val="center"/>
            </w:pPr>
            <w:r>
              <w:rPr>
                <w:rFonts w:ascii="宋体" w:hAnsi="宋体" w:eastAsia="宋体"/>
                <w:sz w:val="16"/>
              </w:rPr>
              <w:t>18</w:t>
            </w:r>
          </w:p>
        </w:tc>
      </w:tr>
    </w:tbl>
    <w:p w14:paraId="681B3E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814A346">
        <w:tblPrEx>
          <w:tblCellMar>
            <w:top w:w="0" w:type="dxa"/>
            <w:left w:w="108" w:type="dxa"/>
            <w:bottom w:w="0" w:type="dxa"/>
            <w:right w:w="108" w:type="dxa"/>
          </w:tblCellMar>
        </w:tblPrEx>
        <w:tc>
          <w:tcPr>
            <w:tcW w:w="8848" w:type="dxa"/>
            <w:gridSpan w:val="14"/>
            <w:vAlign w:val="center"/>
          </w:tcPr>
          <w:p w14:paraId="2B476251">
            <w:pPr>
              <w:jc w:val="center"/>
            </w:pPr>
            <w:r>
              <w:rPr>
                <w:rFonts w:ascii="宋体" w:hAnsi="宋体" w:eastAsia="宋体"/>
                <w:sz w:val="24"/>
              </w:rPr>
              <w:t>项目支出绩效自评表</w:t>
            </w:r>
          </w:p>
        </w:tc>
      </w:tr>
      <w:tr w14:paraId="6DA0DF5D">
        <w:tblPrEx>
          <w:tblCellMar>
            <w:top w:w="0" w:type="dxa"/>
            <w:left w:w="108" w:type="dxa"/>
            <w:bottom w:w="0" w:type="dxa"/>
            <w:right w:w="108" w:type="dxa"/>
          </w:tblCellMar>
        </w:tblPrEx>
        <w:tc>
          <w:tcPr>
            <w:tcW w:w="8848" w:type="dxa"/>
            <w:gridSpan w:val="14"/>
            <w:vAlign w:val="center"/>
          </w:tcPr>
          <w:p w14:paraId="3918353C">
            <w:pPr>
              <w:jc w:val="center"/>
            </w:pPr>
            <w:r>
              <w:rPr>
                <w:rFonts w:ascii="宋体" w:hAnsi="宋体" w:eastAsia="宋体"/>
                <w:sz w:val="24"/>
              </w:rPr>
              <w:t>(2024年度)</w:t>
            </w:r>
          </w:p>
        </w:tc>
      </w:tr>
      <w:tr w14:paraId="52A81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9C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AADB21">
            <w:pPr>
              <w:jc w:val="center"/>
            </w:pPr>
            <w:r>
              <w:rPr>
                <w:rFonts w:ascii="宋体" w:hAnsi="宋体" w:eastAsia="宋体"/>
                <w:sz w:val="16"/>
              </w:rPr>
              <w:t>2024年度区属国有关闭破产改制企业退休人员三项费用</w:t>
            </w:r>
          </w:p>
        </w:tc>
      </w:tr>
      <w:tr w14:paraId="01DB55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E7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3F755">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7A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201694">
            <w:pPr>
              <w:jc w:val="center"/>
            </w:pPr>
            <w:r>
              <w:rPr>
                <w:rFonts w:ascii="宋体" w:hAnsi="宋体" w:eastAsia="宋体"/>
                <w:sz w:val="16"/>
              </w:rPr>
              <w:t>喀什地区国有资产监督管理委员会</w:t>
            </w:r>
          </w:p>
        </w:tc>
      </w:tr>
      <w:tr w14:paraId="6B2F15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377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52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5D7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BD6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7BB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FE2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EF1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EAB1">
            <w:pPr>
              <w:jc w:val="center"/>
            </w:pPr>
            <w:r>
              <w:rPr>
                <w:rFonts w:ascii="宋体" w:hAnsi="宋体" w:eastAsia="宋体"/>
                <w:sz w:val="16"/>
              </w:rPr>
              <w:t>得分</w:t>
            </w:r>
          </w:p>
        </w:tc>
      </w:tr>
      <w:tr w14:paraId="6A512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79A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6BE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69CFD">
            <w:pPr>
              <w:jc w:val="center"/>
            </w:pPr>
            <w:r>
              <w:rPr>
                <w:rFonts w:ascii="宋体" w:hAnsi="宋体" w:eastAsia="宋体"/>
                <w:sz w:val="16"/>
              </w:rPr>
              <w:t>77.81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E9196">
            <w:pPr>
              <w:jc w:val="center"/>
            </w:pPr>
            <w:r>
              <w:rPr>
                <w:rFonts w:ascii="宋体" w:hAnsi="宋体" w:eastAsia="宋体"/>
                <w:sz w:val="16"/>
              </w:rPr>
              <w:t>77.81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DF0C7">
            <w:pPr>
              <w:jc w:val="center"/>
            </w:pPr>
            <w:r>
              <w:rPr>
                <w:rFonts w:ascii="宋体" w:hAnsi="宋体" w:eastAsia="宋体"/>
                <w:sz w:val="16"/>
              </w:rPr>
              <w:t>77.81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A15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57F4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3F01">
            <w:pPr>
              <w:jc w:val="center"/>
            </w:pPr>
            <w:r>
              <w:rPr>
                <w:rFonts w:ascii="宋体" w:hAnsi="宋体" w:eastAsia="宋体"/>
                <w:sz w:val="16"/>
              </w:rPr>
              <w:t>10.00分</w:t>
            </w:r>
          </w:p>
        </w:tc>
      </w:tr>
      <w:tr w14:paraId="345F1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FF6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D53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EDBB5">
            <w:pPr>
              <w:jc w:val="center"/>
            </w:pPr>
            <w:r>
              <w:rPr>
                <w:rFonts w:ascii="宋体" w:hAnsi="宋体" w:eastAsia="宋体"/>
                <w:sz w:val="16"/>
              </w:rPr>
              <w:t>77.81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5F43">
            <w:pPr>
              <w:jc w:val="center"/>
            </w:pPr>
            <w:r>
              <w:rPr>
                <w:rFonts w:ascii="宋体" w:hAnsi="宋体" w:eastAsia="宋体"/>
                <w:sz w:val="16"/>
              </w:rPr>
              <w:t>77.81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7EDA6">
            <w:pPr>
              <w:jc w:val="center"/>
            </w:pPr>
            <w:r>
              <w:rPr>
                <w:rFonts w:ascii="宋体" w:hAnsi="宋体" w:eastAsia="宋体"/>
                <w:sz w:val="16"/>
              </w:rPr>
              <w:t>77.81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D1E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A6E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2930">
            <w:pPr>
              <w:jc w:val="center"/>
            </w:pPr>
            <w:r>
              <w:rPr>
                <w:rFonts w:ascii="宋体" w:hAnsi="宋体" w:eastAsia="宋体"/>
                <w:sz w:val="16"/>
              </w:rPr>
              <w:t>—</w:t>
            </w:r>
          </w:p>
        </w:tc>
      </w:tr>
      <w:tr w14:paraId="3A595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460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493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379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51A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559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0B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D5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EA6F">
            <w:pPr>
              <w:jc w:val="center"/>
            </w:pPr>
            <w:r>
              <w:rPr>
                <w:rFonts w:ascii="宋体" w:hAnsi="宋体" w:eastAsia="宋体"/>
                <w:sz w:val="16"/>
              </w:rPr>
              <w:t>—</w:t>
            </w:r>
          </w:p>
        </w:tc>
      </w:tr>
      <w:tr w14:paraId="3BD286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4C3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3EC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11CF5">
            <w:pPr>
              <w:jc w:val="center"/>
            </w:pPr>
            <w:r>
              <w:rPr>
                <w:rFonts w:ascii="宋体" w:hAnsi="宋体" w:eastAsia="宋体"/>
                <w:sz w:val="16"/>
              </w:rPr>
              <w:t>实际完成情况</w:t>
            </w:r>
          </w:p>
        </w:tc>
      </w:tr>
      <w:tr w14:paraId="49C0E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1E2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1B612">
            <w:pPr>
              <w:jc w:val="both"/>
            </w:pPr>
            <w:r>
              <w:rPr>
                <w:rFonts w:ascii="宋体" w:hAnsi="宋体" w:eastAsia="宋体"/>
                <w:sz w:val="16"/>
              </w:rPr>
              <w:t>该项目</w:t>
            </w:r>
            <w:r>
              <w:rPr>
                <w:rFonts w:hint="eastAsia" w:ascii="宋体" w:hAnsi="宋体"/>
                <w:sz w:val="16"/>
                <w:lang w:eastAsia="zh-CN"/>
              </w:rPr>
              <w:t>主要</w:t>
            </w:r>
            <w:r>
              <w:rPr>
                <w:rFonts w:ascii="宋体" w:hAnsi="宋体" w:eastAsia="宋体"/>
                <w:sz w:val="16"/>
              </w:rPr>
              <w:t>对自治区区属国有破产、改制企业新疆六建公司、新疆路桥总公司离退休职工医疗保险、活动费、取暖费等三项费予以财政补贴，项目总资金为77.81万元，通过实施该项目以保障自治区区属破产改制企业离退休职工的生活，保障社会大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F633F2">
            <w:pPr>
              <w:jc w:val="both"/>
            </w:pPr>
            <w:r>
              <w:rPr>
                <w:rFonts w:ascii="宋体" w:hAnsi="宋体" w:eastAsia="宋体"/>
                <w:sz w:val="16"/>
              </w:rPr>
              <w:t>该项目经费主要为新疆六建公司离退休职工医疗保险、活动费、取暖费等三项费用55.69万元，新疆路桥总公司离退休职工医疗保险、活动费、取暖费等三项费用22.12万元，该项目实现了离退休职工的生活，改善了自治区区属国有破产、改制企业离退休职工医疗保障水平。</w:t>
            </w:r>
          </w:p>
        </w:tc>
      </w:tr>
      <w:tr w14:paraId="0FA5A0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782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1A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35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75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35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D8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D4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61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75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DF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20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FD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1A1F">
            <w:pPr>
              <w:jc w:val="center"/>
            </w:pPr>
            <w:r>
              <w:rPr>
                <w:rFonts w:ascii="宋体" w:hAnsi="宋体" w:eastAsia="宋体"/>
                <w:sz w:val="16"/>
              </w:rPr>
              <w:t>偏差原因分析及改进措施</w:t>
            </w:r>
          </w:p>
        </w:tc>
      </w:tr>
      <w:tr w14:paraId="5318DD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A47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860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FD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CA64">
            <w:pPr>
              <w:jc w:val="center"/>
            </w:pPr>
            <w:r>
              <w:rPr>
                <w:rFonts w:ascii="宋体" w:hAnsi="宋体" w:eastAsia="宋体"/>
                <w:sz w:val="16"/>
              </w:rPr>
              <w:t>补贴企业数量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8D88">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0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A600">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8A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5A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7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ABBD">
            <w:pPr>
              <w:jc w:val="center"/>
            </w:pPr>
            <w:r>
              <w:rPr>
                <w:rFonts w:ascii="宋体" w:hAnsi="宋体" w:eastAsia="宋体"/>
                <w:sz w:val="16"/>
              </w:rPr>
              <w:t>=100家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81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9819C">
            <w:pPr>
              <w:jc w:val="center"/>
            </w:pPr>
          </w:p>
        </w:tc>
      </w:tr>
      <w:tr w14:paraId="6BE46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8A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C7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B8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66B6">
            <w:pPr>
              <w:jc w:val="center"/>
            </w:pPr>
            <w:r>
              <w:rPr>
                <w:rFonts w:ascii="宋体" w:hAnsi="宋体" w:eastAsia="宋体"/>
                <w:sz w:val="16"/>
              </w:rPr>
              <w:t>自治区区属国有破产、改制企业离退休职工医疗保险参保率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4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14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A366">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68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2B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08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F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B9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581BC">
            <w:pPr>
              <w:jc w:val="center"/>
            </w:pPr>
          </w:p>
        </w:tc>
      </w:tr>
      <w:tr w14:paraId="75225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F6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12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3D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34B3">
            <w:pPr>
              <w:jc w:val="center"/>
            </w:pPr>
            <w:r>
              <w:rPr>
                <w:rFonts w:ascii="宋体" w:hAnsi="宋体" w:eastAsia="宋体"/>
                <w:sz w:val="16"/>
              </w:rPr>
              <w:t>离退休职工三项费用项目完成时间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411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3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F6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03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07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FE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5143">
            <w:pPr>
              <w:jc w:val="center"/>
            </w:pPr>
            <w:r>
              <w:rPr>
                <w:rFonts w:ascii="宋体" w:hAnsi="宋体" w:eastAsia="宋体"/>
                <w:sz w:val="16"/>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91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3C475">
            <w:pPr>
              <w:jc w:val="center"/>
            </w:pPr>
          </w:p>
        </w:tc>
      </w:tr>
      <w:tr w14:paraId="76D79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5C0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0D1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A5D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34B8">
            <w:pPr>
              <w:jc w:val="center"/>
            </w:pPr>
            <w:r>
              <w:rPr>
                <w:rFonts w:ascii="宋体" w:hAnsi="宋体" w:eastAsia="宋体"/>
                <w:sz w:val="16"/>
              </w:rPr>
              <w:t>财政年度补助新疆六建总公司标准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5E92">
            <w:pPr>
              <w:jc w:val="center"/>
            </w:pPr>
            <w:r>
              <w:rPr>
                <w:rFonts w:ascii="宋体" w:hAnsi="宋体" w:eastAsia="宋体"/>
                <w:sz w:val="16"/>
              </w:rPr>
              <w:t>&lt;=55.69万元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3D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7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3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31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A9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7765">
            <w:pPr>
              <w:jc w:val="center"/>
            </w:pPr>
            <w:r>
              <w:rPr>
                <w:rFonts w:ascii="宋体" w:hAnsi="宋体" w:eastAsia="宋体"/>
                <w:sz w:val="16"/>
              </w:rPr>
              <w:t>=55.69万元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4A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1948C">
            <w:pPr>
              <w:jc w:val="center"/>
            </w:pPr>
          </w:p>
        </w:tc>
      </w:tr>
      <w:tr w14:paraId="3A2277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C3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DC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A5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CD94">
            <w:pPr>
              <w:jc w:val="center"/>
            </w:pPr>
            <w:r>
              <w:rPr>
                <w:rFonts w:ascii="宋体" w:hAnsi="宋体" w:eastAsia="宋体"/>
                <w:sz w:val="16"/>
              </w:rPr>
              <w:t>财政年度补助新疆路桥总公司标准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08E8">
            <w:pPr>
              <w:jc w:val="center"/>
            </w:pPr>
            <w:r>
              <w:rPr>
                <w:rFonts w:ascii="宋体" w:hAnsi="宋体" w:eastAsia="宋体"/>
                <w:sz w:val="16"/>
              </w:rPr>
              <w:t>&lt;=22.12万元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D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6D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A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7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13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9D32">
            <w:pPr>
              <w:jc w:val="center"/>
            </w:pPr>
            <w:r>
              <w:rPr>
                <w:rFonts w:ascii="宋体" w:hAnsi="宋体" w:eastAsia="宋体"/>
                <w:sz w:val="16"/>
              </w:rPr>
              <w:t>=22.12万元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CE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BB219">
            <w:pPr>
              <w:jc w:val="center"/>
            </w:pPr>
          </w:p>
        </w:tc>
      </w:tr>
      <w:tr w14:paraId="503F9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92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94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C1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55D1">
            <w:pPr>
              <w:jc w:val="center"/>
            </w:pPr>
            <w:r>
              <w:rPr>
                <w:rFonts w:ascii="宋体" w:hAnsi="宋体" w:eastAsia="宋体"/>
                <w:sz w:val="16"/>
              </w:rPr>
              <w:t>改善自治区区属国有破产、改制企业离退休职工医疗保障水平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2CB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7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0B6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E6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4A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B6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B2C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B9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81140">
            <w:pPr>
              <w:jc w:val="center"/>
            </w:pPr>
          </w:p>
        </w:tc>
      </w:tr>
      <w:tr w14:paraId="65E5C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54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5C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C8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8FCE">
            <w:pPr>
              <w:jc w:val="center"/>
            </w:pPr>
            <w:r>
              <w:rPr>
                <w:rFonts w:ascii="宋体" w:hAnsi="宋体" w:eastAsia="宋体"/>
                <w:sz w:val="16"/>
              </w:rPr>
              <w:t>新疆六建公司、新疆道路桥梁工程总公司喀什分公司满意度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8C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3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913B">
            <w:pPr>
              <w:jc w:val="center"/>
            </w:pPr>
            <w:r>
              <w:rPr>
                <w:rFonts w:ascii="宋体" w:hAnsi="宋体" w:eastAsia="宋体"/>
                <w:sz w:val="16"/>
              </w:rPr>
              <w:t>=101%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A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0D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AF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1F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BB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E7472">
            <w:pPr>
              <w:jc w:val="center"/>
            </w:pPr>
          </w:p>
        </w:tc>
      </w:tr>
      <w:tr w14:paraId="0AC455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25C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BF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A8E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2B0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8D6145"/>
        </w:tc>
      </w:tr>
    </w:tbl>
    <w:p w14:paraId="1B523A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EA182D">
        <w:tblPrEx>
          <w:tblCellMar>
            <w:top w:w="0" w:type="dxa"/>
            <w:left w:w="108" w:type="dxa"/>
            <w:bottom w:w="0" w:type="dxa"/>
            <w:right w:w="108" w:type="dxa"/>
          </w:tblCellMar>
        </w:tblPrEx>
        <w:tc>
          <w:tcPr>
            <w:tcW w:w="8848" w:type="dxa"/>
            <w:gridSpan w:val="14"/>
            <w:vAlign w:val="center"/>
          </w:tcPr>
          <w:p w14:paraId="7A3C6902">
            <w:pPr>
              <w:jc w:val="center"/>
            </w:pPr>
            <w:r>
              <w:rPr>
                <w:rFonts w:ascii="宋体" w:hAnsi="宋体" w:eastAsia="宋体"/>
                <w:sz w:val="24"/>
              </w:rPr>
              <w:t>项目支出绩效自评表</w:t>
            </w:r>
          </w:p>
        </w:tc>
      </w:tr>
      <w:tr w14:paraId="4088559D">
        <w:tblPrEx>
          <w:tblCellMar>
            <w:top w:w="0" w:type="dxa"/>
            <w:left w:w="108" w:type="dxa"/>
            <w:bottom w:w="0" w:type="dxa"/>
            <w:right w:w="108" w:type="dxa"/>
          </w:tblCellMar>
        </w:tblPrEx>
        <w:tc>
          <w:tcPr>
            <w:tcW w:w="8848" w:type="dxa"/>
            <w:gridSpan w:val="14"/>
            <w:vAlign w:val="center"/>
          </w:tcPr>
          <w:p w14:paraId="6040764F">
            <w:pPr>
              <w:jc w:val="center"/>
            </w:pPr>
            <w:r>
              <w:rPr>
                <w:rFonts w:ascii="宋体" w:hAnsi="宋体" w:eastAsia="宋体"/>
                <w:sz w:val="24"/>
              </w:rPr>
              <w:t>(2024年度)</w:t>
            </w:r>
          </w:p>
        </w:tc>
      </w:tr>
      <w:tr w14:paraId="2E076A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2C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57D5B0">
            <w:pPr>
              <w:jc w:val="center"/>
            </w:pPr>
            <w:r>
              <w:rPr>
                <w:rFonts w:ascii="宋体" w:hAnsi="宋体" w:eastAsia="宋体"/>
                <w:sz w:val="16"/>
              </w:rPr>
              <w:t>2024年自治区援疆干部人才南疆工作补贴项目</w:t>
            </w:r>
          </w:p>
        </w:tc>
      </w:tr>
      <w:tr w14:paraId="39C9AC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82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0F460">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FE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914B3C">
            <w:pPr>
              <w:jc w:val="center"/>
            </w:pPr>
            <w:r>
              <w:rPr>
                <w:rFonts w:ascii="宋体" w:hAnsi="宋体" w:eastAsia="宋体"/>
                <w:sz w:val="16"/>
              </w:rPr>
              <w:t>喀什地区国有资产监督管理委员会</w:t>
            </w:r>
          </w:p>
        </w:tc>
      </w:tr>
      <w:tr w14:paraId="2E10E8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55A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3E9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4B8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C68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C86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6D5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800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9ACE">
            <w:pPr>
              <w:jc w:val="center"/>
            </w:pPr>
            <w:r>
              <w:rPr>
                <w:rFonts w:ascii="宋体" w:hAnsi="宋体" w:eastAsia="宋体"/>
                <w:sz w:val="16"/>
              </w:rPr>
              <w:t>得分</w:t>
            </w:r>
          </w:p>
        </w:tc>
      </w:tr>
      <w:tr w14:paraId="09626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612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51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25D17">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848DB">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B457">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1E7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403C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853F">
            <w:pPr>
              <w:jc w:val="center"/>
            </w:pPr>
            <w:r>
              <w:rPr>
                <w:rFonts w:ascii="宋体" w:hAnsi="宋体" w:eastAsia="宋体"/>
                <w:sz w:val="16"/>
              </w:rPr>
              <w:t>10.00分</w:t>
            </w:r>
          </w:p>
        </w:tc>
      </w:tr>
      <w:tr w14:paraId="01BAD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B37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9B7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E27BE">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7BF77">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F1C3B">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08C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36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0565">
            <w:pPr>
              <w:jc w:val="center"/>
            </w:pPr>
            <w:r>
              <w:rPr>
                <w:rFonts w:ascii="宋体" w:hAnsi="宋体" w:eastAsia="宋体"/>
                <w:sz w:val="16"/>
              </w:rPr>
              <w:t>—</w:t>
            </w:r>
          </w:p>
        </w:tc>
      </w:tr>
      <w:tr w14:paraId="055C6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F80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415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DB3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D48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A7E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D9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8AD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84B5">
            <w:pPr>
              <w:jc w:val="center"/>
            </w:pPr>
            <w:r>
              <w:rPr>
                <w:rFonts w:ascii="宋体" w:hAnsi="宋体" w:eastAsia="宋体"/>
                <w:sz w:val="16"/>
              </w:rPr>
              <w:t>—</w:t>
            </w:r>
          </w:p>
        </w:tc>
      </w:tr>
      <w:tr w14:paraId="3C765B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6DB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94FD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B73B8C">
            <w:pPr>
              <w:jc w:val="center"/>
            </w:pPr>
            <w:r>
              <w:rPr>
                <w:rFonts w:ascii="宋体" w:hAnsi="宋体" w:eastAsia="宋体"/>
                <w:sz w:val="16"/>
              </w:rPr>
              <w:t>实际完成情况</w:t>
            </w:r>
          </w:p>
        </w:tc>
      </w:tr>
      <w:tr w14:paraId="4CAFF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96B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F4F323">
            <w:pPr>
              <w:jc w:val="both"/>
            </w:pPr>
            <w:r>
              <w:rPr>
                <w:rFonts w:ascii="宋体" w:hAnsi="宋体" w:eastAsia="宋体"/>
                <w:sz w:val="16"/>
              </w:rPr>
              <w:t>该项目资金为1.44万元，为1名援疆干部的生活补助资金，保障其生活、工作，该项目实施能更好</w:t>
            </w:r>
            <w:r>
              <w:rPr>
                <w:rFonts w:hint="eastAsia" w:ascii="宋体" w:hAnsi="宋体"/>
                <w:sz w:val="16"/>
                <w:lang w:eastAsia="zh-CN"/>
              </w:rPr>
              <w:t>地</w:t>
            </w:r>
            <w:r>
              <w:rPr>
                <w:rFonts w:ascii="宋体" w:hAnsi="宋体" w:eastAsia="宋体"/>
                <w:sz w:val="16"/>
              </w:rPr>
              <w:t>提高援疆干部在疆期间的生活质量，提高援疆干部的幸福感。为喀什国有企业快速发展提供有力的人才保障。使得项目资金达到较好的经济社会效益。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22ECA7">
            <w:pPr>
              <w:jc w:val="both"/>
            </w:pPr>
            <w:r>
              <w:rPr>
                <w:rFonts w:ascii="宋体" w:hAnsi="宋体" w:eastAsia="宋体"/>
                <w:sz w:val="16"/>
              </w:rPr>
              <w:t>此项目保障了一名援疆干部，并为其发放了12个月的生活补助，保障了援疆干部在</w:t>
            </w:r>
            <w:r>
              <w:rPr>
                <w:rFonts w:hint="eastAsia" w:ascii="宋体" w:hAnsi="宋体"/>
                <w:sz w:val="16"/>
                <w:lang w:val="en-US" w:eastAsia="zh-CN"/>
              </w:rPr>
              <w:t>职</w:t>
            </w:r>
            <w:r>
              <w:rPr>
                <w:rFonts w:ascii="宋体" w:hAnsi="宋体" w:eastAsia="宋体"/>
                <w:sz w:val="16"/>
              </w:rPr>
              <w:t>期间的生活。</w:t>
            </w:r>
          </w:p>
        </w:tc>
      </w:tr>
      <w:tr w14:paraId="53C4C7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CB74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86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DE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BF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14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FB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3B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64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5F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65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5D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A2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AFF53">
            <w:pPr>
              <w:jc w:val="center"/>
            </w:pPr>
            <w:r>
              <w:rPr>
                <w:rFonts w:ascii="宋体" w:hAnsi="宋体" w:eastAsia="宋体"/>
                <w:sz w:val="16"/>
              </w:rPr>
              <w:t>偏差原因分析及改进措施</w:t>
            </w:r>
          </w:p>
        </w:tc>
      </w:tr>
      <w:tr w14:paraId="6B5C4B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294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914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193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E0E5">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5B0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8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6B9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9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FE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98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CC7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7C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7E7BB">
            <w:pPr>
              <w:jc w:val="center"/>
            </w:pPr>
          </w:p>
        </w:tc>
      </w:tr>
      <w:tr w14:paraId="29386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C3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61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D87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66DC">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920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F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4B9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4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18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61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A0A3">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84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B375D">
            <w:pPr>
              <w:jc w:val="center"/>
            </w:pPr>
          </w:p>
        </w:tc>
      </w:tr>
      <w:tr w14:paraId="3EC07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A8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E3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1C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2B81">
            <w:pPr>
              <w:jc w:val="center"/>
            </w:pPr>
            <w:r>
              <w:rPr>
                <w:rFonts w:ascii="宋体" w:hAnsi="宋体" w:eastAsia="宋体"/>
                <w:sz w:val="16"/>
              </w:rPr>
              <w:t>补助援疆干部覆盖率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A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7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E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5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DE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23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9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4E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52AA">
            <w:pPr>
              <w:jc w:val="center"/>
            </w:pPr>
          </w:p>
        </w:tc>
      </w:tr>
      <w:tr w14:paraId="224FD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43E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B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B7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8C0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4AF9">
            <w:pPr>
              <w:jc w:val="center"/>
            </w:pPr>
            <w:r>
              <w:rPr>
                <w:rFonts w:ascii="宋体" w:hAnsi="宋体" w:eastAsia="宋体"/>
                <w:sz w:val="16"/>
              </w:rPr>
              <w:t>=2024年12月25</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F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12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D9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70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1C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5589">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51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9D8D2">
            <w:pPr>
              <w:jc w:val="center"/>
            </w:pPr>
          </w:p>
        </w:tc>
      </w:tr>
      <w:tr w14:paraId="49F3F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75D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6DF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4A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4D40">
            <w:pPr>
              <w:jc w:val="center"/>
            </w:pPr>
            <w:r>
              <w:rPr>
                <w:rFonts w:ascii="宋体" w:hAnsi="宋体" w:eastAsia="宋体"/>
                <w:sz w:val="16"/>
              </w:rPr>
              <w:t>补助发放成本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AE65">
            <w:pPr>
              <w:jc w:val="center"/>
            </w:pPr>
            <w:r>
              <w:rPr>
                <w:rFonts w:ascii="宋体" w:hAnsi="宋体" w:eastAsia="宋体"/>
                <w:sz w:val="16"/>
              </w:rPr>
              <w:t>&lt;=1200元/次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48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9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E6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3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C1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83EB">
            <w:pPr>
              <w:jc w:val="center"/>
            </w:pPr>
            <w:r>
              <w:rPr>
                <w:rFonts w:ascii="宋体" w:hAnsi="宋体" w:eastAsia="宋体"/>
                <w:sz w:val="16"/>
              </w:rPr>
              <w:t>=1200元/次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17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3CF2">
            <w:pPr>
              <w:jc w:val="center"/>
            </w:pPr>
          </w:p>
        </w:tc>
      </w:tr>
      <w:tr w14:paraId="2358C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AF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67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72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4326">
            <w:pPr>
              <w:jc w:val="center"/>
            </w:pPr>
            <w:r>
              <w:rPr>
                <w:rFonts w:ascii="宋体" w:hAnsi="宋体" w:eastAsia="宋体"/>
                <w:sz w:val="16"/>
              </w:rPr>
              <w:t>提升援疆干部生活质量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0E1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D2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29E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ED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D2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FD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A71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35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3C100">
            <w:pPr>
              <w:jc w:val="center"/>
            </w:pPr>
          </w:p>
        </w:tc>
      </w:tr>
      <w:tr w14:paraId="631A5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F98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47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79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CFE2">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4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E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E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680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B3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85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6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64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D1169">
            <w:pPr>
              <w:jc w:val="center"/>
            </w:pPr>
          </w:p>
        </w:tc>
      </w:tr>
      <w:tr w14:paraId="4C9E8D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667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05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19F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B4D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68162D"/>
        </w:tc>
      </w:tr>
    </w:tbl>
    <w:p w14:paraId="7D0046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DB6FE74">
        <w:tblPrEx>
          <w:tblCellMar>
            <w:top w:w="0" w:type="dxa"/>
            <w:left w:w="108" w:type="dxa"/>
            <w:bottom w:w="0" w:type="dxa"/>
            <w:right w:w="108" w:type="dxa"/>
          </w:tblCellMar>
        </w:tblPrEx>
        <w:tc>
          <w:tcPr>
            <w:tcW w:w="8848" w:type="dxa"/>
            <w:gridSpan w:val="14"/>
            <w:vAlign w:val="center"/>
          </w:tcPr>
          <w:p w14:paraId="20848EBF">
            <w:pPr>
              <w:jc w:val="center"/>
            </w:pPr>
            <w:r>
              <w:rPr>
                <w:rFonts w:ascii="宋体" w:hAnsi="宋体" w:eastAsia="宋体"/>
                <w:sz w:val="24"/>
              </w:rPr>
              <w:t>项目支出绩效自评表</w:t>
            </w:r>
          </w:p>
        </w:tc>
      </w:tr>
      <w:tr w14:paraId="467724CE">
        <w:tblPrEx>
          <w:tblCellMar>
            <w:top w:w="0" w:type="dxa"/>
            <w:left w:w="108" w:type="dxa"/>
            <w:bottom w:w="0" w:type="dxa"/>
            <w:right w:w="108" w:type="dxa"/>
          </w:tblCellMar>
        </w:tblPrEx>
        <w:tc>
          <w:tcPr>
            <w:tcW w:w="8848" w:type="dxa"/>
            <w:gridSpan w:val="14"/>
            <w:vAlign w:val="center"/>
          </w:tcPr>
          <w:p w14:paraId="4AF4724C">
            <w:pPr>
              <w:jc w:val="center"/>
            </w:pPr>
            <w:r>
              <w:rPr>
                <w:rFonts w:ascii="宋体" w:hAnsi="宋体" w:eastAsia="宋体"/>
                <w:sz w:val="24"/>
              </w:rPr>
              <w:t>(2024年度)</w:t>
            </w:r>
          </w:p>
        </w:tc>
      </w:tr>
      <w:tr w14:paraId="073CE5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E5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E4350F">
            <w:pPr>
              <w:jc w:val="center"/>
            </w:pPr>
            <w:r>
              <w:rPr>
                <w:rFonts w:ascii="宋体" w:hAnsi="宋体" w:eastAsia="宋体"/>
                <w:sz w:val="16"/>
              </w:rPr>
              <w:t>下派干部关心关爱项目</w:t>
            </w:r>
          </w:p>
        </w:tc>
      </w:tr>
      <w:tr w14:paraId="260D90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22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11D8C">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F2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794FEA">
            <w:pPr>
              <w:jc w:val="center"/>
            </w:pPr>
            <w:r>
              <w:rPr>
                <w:rFonts w:ascii="宋体" w:hAnsi="宋体" w:eastAsia="宋体"/>
                <w:sz w:val="16"/>
              </w:rPr>
              <w:t>喀什地区国有资产监督管理委员会</w:t>
            </w:r>
          </w:p>
        </w:tc>
      </w:tr>
      <w:tr w14:paraId="500349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68B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1BE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526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7F6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BBF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2AC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7E5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6DDC">
            <w:pPr>
              <w:jc w:val="center"/>
            </w:pPr>
            <w:r>
              <w:rPr>
                <w:rFonts w:ascii="宋体" w:hAnsi="宋体" w:eastAsia="宋体"/>
                <w:sz w:val="16"/>
              </w:rPr>
              <w:t>得分</w:t>
            </w:r>
          </w:p>
        </w:tc>
      </w:tr>
      <w:tr w14:paraId="57343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E91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3C7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5788">
            <w:pPr>
              <w:jc w:val="center"/>
            </w:pPr>
            <w:r>
              <w:rPr>
                <w:rFonts w:ascii="宋体" w:hAnsi="宋体" w:eastAsia="宋体"/>
                <w:sz w:val="16"/>
              </w:rPr>
              <w:t>14.35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040E">
            <w:pPr>
              <w:jc w:val="center"/>
            </w:pPr>
            <w:r>
              <w:rPr>
                <w:rFonts w:ascii="宋体" w:hAnsi="宋体" w:eastAsia="宋体"/>
                <w:sz w:val="16"/>
              </w:rPr>
              <w:t>14.35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B875">
            <w:pPr>
              <w:jc w:val="center"/>
            </w:pPr>
            <w:r>
              <w:rPr>
                <w:rFonts w:ascii="宋体" w:hAnsi="宋体" w:eastAsia="宋体"/>
                <w:sz w:val="16"/>
              </w:rPr>
              <w:t>14.35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9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C0F1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CF78">
            <w:pPr>
              <w:jc w:val="center"/>
            </w:pPr>
            <w:r>
              <w:rPr>
                <w:rFonts w:ascii="宋体" w:hAnsi="宋体" w:eastAsia="宋体"/>
                <w:sz w:val="16"/>
              </w:rPr>
              <w:t>10.00分</w:t>
            </w:r>
          </w:p>
        </w:tc>
      </w:tr>
      <w:tr w14:paraId="5C1D5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2D9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6F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A139E">
            <w:pPr>
              <w:jc w:val="center"/>
            </w:pPr>
            <w:r>
              <w:rPr>
                <w:rFonts w:ascii="宋体" w:hAnsi="宋体" w:eastAsia="宋体"/>
                <w:sz w:val="16"/>
              </w:rPr>
              <w:t>14.35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CFFD4">
            <w:pPr>
              <w:jc w:val="center"/>
            </w:pPr>
            <w:r>
              <w:rPr>
                <w:rFonts w:ascii="宋体" w:hAnsi="宋体" w:eastAsia="宋体"/>
                <w:sz w:val="16"/>
              </w:rPr>
              <w:t>14.35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F6EC">
            <w:pPr>
              <w:jc w:val="center"/>
            </w:pPr>
            <w:r>
              <w:rPr>
                <w:rFonts w:ascii="宋体" w:hAnsi="宋体" w:eastAsia="宋体"/>
                <w:sz w:val="16"/>
              </w:rPr>
              <w:t>14.35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6A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8E4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F989">
            <w:pPr>
              <w:jc w:val="center"/>
            </w:pPr>
            <w:r>
              <w:rPr>
                <w:rFonts w:ascii="宋体" w:hAnsi="宋体" w:eastAsia="宋体"/>
                <w:sz w:val="16"/>
              </w:rPr>
              <w:t>—</w:t>
            </w:r>
          </w:p>
        </w:tc>
      </w:tr>
      <w:tr w14:paraId="1AEED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BC1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F4E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2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FE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97B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BCB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2E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45C6">
            <w:pPr>
              <w:jc w:val="center"/>
            </w:pPr>
            <w:r>
              <w:rPr>
                <w:rFonts w:ascii="宋体" w:hAnsi="宋体" w:eastAsia="宋体"/>
                <w:sz w:val="16"/>
              </w:rPr>
              <w:t>—</w:t>
            </w:r>
          </w:p>
        </w:tc>
      </w:tr>
      <w:tr w14:paraId="07DD7A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9C6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680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3131BD">
            <w:pPr>
              <w:jc w:val="center"/>
            </w:pPr>
            <w:r>
              <w:rPr>
                <w:rFonts w:ascii="宋体" w:hAnsi="宋体" w:eastAsia="宋体"/>
                <w:sz w:val="16"/>
              </w:rPr>
              <w:t>实际完成情况</w:t>
            </w:r>
          </w:p>
        </w:tc>
      </w:tr>
      <w:tr w14:paraId="2670F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789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FF67DD">
            <w:pPr>
              <w:jc w:val="both"/>
            </w:pPr>
            <w:r>
              <w:rPr>
                <w:rFonts w:ascii="宋体" w:hAnsi="宋体" w:eastAsia="宋体"/>
                <w:sz w:val="16"/>
              </w:rPr>
              <w:t>该项目资金为14.35万元，主要用于保障下派干部毛溪泉交通、房租费用，提升下派干部幸福感，进一步推动地州经济社会高质量发展，提升援疆干部生活质量。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B14276">
            <w:pPr>
              <w:jc w:val="both"/>
            </w:pPr>
            <w:r>
              <w:rPr>
                <w:rFonts w:ascii="宋体" w:hAnsi="宋体" w:eastAsia="宋体"/>
                <w:sz w:val="16"/>
              </w:rPr>
              <w:t>该项目已为1名下派干部租赁一辆新能源车并配备了司机，并保障了下派干部周转房租赁费，项目的实施，有效改善下派干部生活水平。</w:t>
            </w:r>
          </w:p>
        </w:tc>
      </w:tr>
      <w:tr w14:paraId="790AB8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3E5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7C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D3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88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D4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54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DC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B3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98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B1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50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F6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29C24">
            <w:pPr>
              <w:jc w:val="center"/>
            </w:pPr>
            <w:r>
              <w:rPr>
                <w:rFonts w:ascii="宋体" w:hAnsi="宋体" w:eastAsia="宋体"/>
                <w:sz w:val="16"/>
              </w:rPr>
              <w:t>偏差原因分析及改进措施</w:t>
            </w:r>
          </w:p>
        </w:tc>
      </w:tr>
      <w:tr w14:paraId="1766A9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66D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D607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A5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7FA5">
            <w:pPr>
              <w:jc w:val="center"/>
            </w:pPr>
            <w:r>
              <w:rPr>
                <w:rFonts w:ascii="宋体" w:hAnsi="宋体" w:eastAsia="宋体"/>
                <w:sz w:val="16"/>
              </w:rPr>
              <w:t>下派援疆干部人数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AA7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E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1C6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0E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99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47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020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37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46CB">
            <w:pPr>
              <w:jc w:val="center"/>
            </w:pPr>
          </w:p>
        </w:tc>
      </w:tr>
      <w:tr w14:paraId="59BEE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93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8C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E5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CA40">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6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0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15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85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18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3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D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A9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9526C">
            <w:pPr>
              <w:jc w:val="center"/>
            </w:pPr>
          </w:p>
        </w:tc>
      </w:tr>
      <w:tr w14:paraId="2A632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7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6A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2A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0F4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730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0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D3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04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0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57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2F4B">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EE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652D7">
            <w:pPr>
              <w:jc w:val="center"/>
            </w:pPr>
          </w:p>
        </w:tc>
      </w:tr>
      <w:tr w14:paraId="2F36F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42A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06B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E3E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C912">
            <w:pPr>
              <w:jc w:val="center"/>
            </w:pPr>
            <w:r>
              <w:rPr>
                <w:rFonts w:ascii="宋体" w:hAnsi="宋体" w:eastAsia="宋体"/>
                <w:sz w:val="16"/>
              </w:rPr>
              <w:t>保障援疆干部租车费用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2E0F">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3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61D8">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89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B1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0A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2C8F">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7A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9D469">
            <w:pPr>
              <w:jc w:val="center"/>
            </w:pPr>
          </w:p>
        </w:tc>
      </w:tr>
      <w:tr w14:paraId="76BF6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57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07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1B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A850">
            <w:pPr>
              <w:jc w:val="center"/>
            </w:pPr>
            <w:r>
              <w:rPr>
                <w:rFonts w:ascii="宋体" w:hAnsi="宋体" w:eastAsia="宋体"/>
                <w:sz w:val="16"/>
              </w:rPr>
              <w:t>保障援疆干部周转房租赁费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3627">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77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F2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E3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DF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41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2FF7">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97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4303B">
            <w:pPr>
              <w:jc w:val="center"/>
            </w:pPr>
          </w:p>
        </w:tc>
      </w:tr>
      <w:tr w14:paraId="4CE9C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39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A0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AF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B901">
            <w:pPr>
              <w:jc w:val="center"/>
            </w:pPr>
            <w:r>
              <w:rPr>
                <w:rFonts w:ascii="宋体" w:hAnsi="宋体" w:eastAsia="宋体"/>
                <w:sz w:val="16"/>
              </w:rPr>
              <w:t>提升下派干部生活质量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F56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A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24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22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D0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7F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574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97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8A42B">
            <w:pPr>
              <w:jc w:val="center"/>
            </w:pPr>
          </w:p>
        </w:tc>
      </w:tr>
      <w:tr w14:paraId="5006C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3DF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02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5C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F2F8">
            <w:pPr>
              <w:jc w:val="center"/>
            </w:pPr>
            <w:r>
              <w:rPr>
                <w:rFonts w:ascii="宋体" w:hAnsi="宋体" w:eastAsia="宋体"/>
                <w:sz w:val="16"/>
              </w:rPr>
              <w:t>下派援疆干部满意度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B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77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9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AB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8E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7B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1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4F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38842">
            <w:pPr>
              <w:jc w:val="center"/>
            </w:pPr>
          </w:p>
        </w:tc>
      </w:tr>
      <w:tr w14:paraId="08271B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AA2C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78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4D2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3AC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AB9E01"/>
        </w:tc>
      </w:tr>
    </w:tbl>
    <w:p w14:paraId="4181AC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8B8B4C8">
        <w:tblPrEx>
          <w:tblCellMar>
            <w:top w:w="0" w:type="dxa"/>
            <w:left w:w="108" w:type="dxa"/>
            <w:bottom w:w="0" w:type="dxa"/>
            <w:right w:w="108" w:type="dxa"/>
          </w:tblCellMar>
        </w:tblPrEx>
        <w:tc>
          <w:tcPr>
            <w:tcW w:w="8848" w:type="dxa"/>
            <w:gridSpan w:val="14"/>
            <w:vAlign w:val="center"/>
          </w:tcPr>
          <w:p w14:paraId="58A9436E">
            <w:pPr>
              <w:jc w:val="center"/>
            </w:pPr>
            <w:r>
              <w:rPr>
                <w:rFonts w:ascii="宋体" w:hAnsi="宋体" w:eastAsia="宋体"/>
                <w:sz w:val="24"/>
              </w:rPr>
              <w:t>项目支出绩效自评表</w:t>
            </w:r>
          </w:p>
        </w:tc>
      </w:tr>
      <w:tr w14:paraId="0A1CB961">
        <w:tblPrEx>
          <w:tblCellMar>
            <w:top w:w="0" w:type="dxa"/>
            <w:left w:w="108" w:type="dxa"/>
            <w:bottom w:w="0" w:type="dxa"/>
            <w:right w:w="108" w:type="dxa"/>
          </w:tblCellMar>
        </w:tblPrEx>
        <w:tc>
          <w:tcPr>
            <w:tcW w:w="8848" w:type="dxa"/>
            <w:gridSpan w:val="14"/>
            <w:vAlign w:val="center"/>
          </w:tcPr>
          <w:p w14:paraId="1955A4BD">
            <w:pPr>
              <w:jc w:val="center"/>
            </w:pPr>
            <w:r>
              <w:rPr>
                <w:rFonts w:ascii="宋体" w:hAnsi="宋体" w:eastAsia="宋体"/>
                <w:sz w:val="24"/>
              </w:rPr>
              <w:t>(2024年度)</w:t>
            </w:r>
          </w:p>
        </w:tc>
      </w:tr>
      <w:tr w14:paraId="30F6E0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43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898F33">
            <w:pPr>
              <w:jc w:val="center"/>
            </w:pPr>
            <w:r>
              <w:rPr>
                <w:rFonts w:ascii="宋体" w:hAnsi="宋体" w:eastAsia="宋体"/>
                <w:sz w:val="16"/>
              </w:rPr>
              <w:t>喀什人才发展有限公司注册资本金项目</w:t>
            </w:r>
          </w:p>
        </w:tc>
      </w:tr>
      <w:tr w14:paraId="325301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FC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10222">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9F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24A710">
            <w:pPr>
              <w:jc w:val="center"/>
            </w:pPr>
            <w:r>
              <w:rPr>
                <w:rFonts w:ascii="宋体" w:hAnsi="宋体" w:eastAsia="宋体"/>
                <w:sz w:val="16"/>
              </w:rPr>
              <w:t>喀什地区国有资产监督管理委员会</w:t>
            </w:r>
          </w:p>
        </w:tc>
      </w:tr>
      <w:tr w14:paraId="660A82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B54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444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E3E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353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A8C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0DA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D58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2814">
            <w:pPr>
              <w:jc w:val="center"/>
            </w:pPr>
            <w:r>
              <w:rPr>
                <w:rFonts w:ascii="宋体" w:hAnsi="宋体" w:eastAsia="宋体"/>
                <w:sz w:val="16"/>
              </w:rPr>
              <w:t>得分</w:t>
            </w:r>
          </w:p>
        </w:tc>
      </w:tr>
      <w:tr w14:paraId="21F78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537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90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2F4CC">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ACD8">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E77C">
            <w:pPr>
              <w:jc w:val="center"/>
            </w:pPr>
            <w:r>
              <w:rPr>
                <w:rFonts w:ascii="宋体" w:hAnsi="宋体" w:eastAsia="宋体"/>
                <w:sz w:val="16"/>
              </w:rPr>
              <w:t>216.79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E2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0624A">
            <w:pPr>
              <w:jc w:val="center"/>
            </w:pPr>
            <w:r>
              <w:rPr>
                <w:rFonts w:ascii="宋体" w:hAnsi="宋体" w:eastAsia="宋体"/>
                <w:sz w:val="16"/>
              </w:rPr>
              <w:t>43.4%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4113">
            <w:pPr>
              <w:jc w:val="center"/>
            </w:pPr>
            <w:r>
              <w:rPr>
                <w:rFonts w:ascii="宋体" w:hAnsi="宋体" w:eastAsia="宋体"/>
                <w:sz w:val="16"/>
              </w:rPr>
              <w:t>0.00分</w:t>
            </w:r>
          </w:p>
        </w:tc>
      </w:tr>
      <w:tr w14:paraId="20182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6D9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2E7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3EE9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9435E">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46B7E">
            <w:pPr>
              <w:jc w:val="center"/>
            </w:pPr>
            <w:r>
              <w:rPr>
                <w:rFonts w:ascii="宋体" w:hAnsi="宋体" w:eastAsia="宋体"/>
                <w:sz w:val="16"/>
              </w:rPr>
              <w:t>216.79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83F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8B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02FA">
            <w:pPr>
              <w:jc w:val="center"/>
            </w:pPr>
            <w:r>
              <w:rPr>
                <w:rFonts w:ascii="宋体" w:hAnsi="宋体" w:eastAsia="宋体"/>
                <w:sz w:val="16"/>
              </w:rPr>
              <w:t>—</w:t>
            </w:r>
          </w:p>
        </w:tc>
      </w:tr>
      <w:tr w14:paraId="745A6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1CF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29E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C7D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8A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27B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F83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0BC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1689">
            <w:pPr>
              <w:jc w:val="center"/>
            </w:pPr>
            <w:r>
              <w:rPr>
                <w:rFonts w:ascii="宋体" w:hAnsi="宋体" w:eastAsia="宋体"/>
                <w:sz w:val="16"/>
              </w:rPr>
              <w:t>—</w:t>
            </w:r>
          </w:p>
        </w:tc>
      </w:tr>
      <w:tr w14:paraId="2D0BC7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ABF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887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B7D4CD">
            <w:pPr>
              <w:jc w:val="center"/>
            </w:pPr>
            <w:r>
              <w:rPr>
                <w:rFonts w:ascii="宋体" w:hAnsi="宋体" w:eastAsia="宋体"/>
                <w:sz w:val="16"/>
              </w:rPr>
              <w:t>实际完成情况</w:t>
            </w:r>
          </w:p>
        </w:tc>
      </w:tr>
      <w:tr w14:paraId="56200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EEB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A7D59">
            <w:pPr>
              <w:jc w:val="both"/>
            </w:pPr>
            <w:r>
              <w:rPr>
                <w:rFonts w:ascii="宋体" w:hAnsi="宋体" w:eastAsia="宋体"/>
                <w:sz w:val="16"/>
              </w:rPr>
              <w:t>通过出资喀什人才发展有限公司，加快推进喀什人才公司组建工作,通过组建市场化、社会化、专业化的人才公司，助力喀什人才工作模式创新，打通全地区人才引进、评价、培养、服务全链条，优化人才发展生态，激发人才创新创造活力，为推进中国式现代化的喀什实践提供人才和智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3FB898">
            <w:pPr>
              <w:jc w:val="both"/>
            </w:pPr>
            <w:r>
              <w:rPr>
                <w:rFonts w:ascii="宋体" w:hAnsi="宋体" w:eastAsia="宋体"/>
                <w:sz w:val="16"/>
              </w:rPr>
              <w:t>喀什人才发展有限公司是经行署批准成立的地区商业二类国有独资企业。2024年7月23日注册登记成功，2024年8月27日收到500万注册资本金，10月23日正式更名为喀什人才集团有限公司。</w:t>
            </w:r>
            <w:r>
              <w:rPr>
                <w:rFonts w:hint="eastAsia" w:ascii="宋体" w:hAnsi="宋体"/>
                <w:sz w:val="16"/>
                <w:lang w:eastAsia="zh-CN"/>
              </w:rPr>
              <w:t>截至</w:t>
            </w:r>
            <w:r>
              <w:rPr>
                <w:rFonts w:ascii="宋体" w:hAnsi="宋体" w:eastAsia="宋体"/>
                <w:sz w:val="16"/>
              </w:rPr>
              <w:t>2024年12月31日公司已有员工10人，全年工资发放14.27万元，陆续采购电脑13台，配备了相关办公用品，人才发展运营支出202.52万元，内部队伍初步搭建完毕，员工满意度100%。项目实施有利于推动喀什地区高质量发展，打通全地区人才引进、评价、培养、服务全链条，优化人才发展生态，激发人才创新创造活力。</w:t>
            </w:r>
          </w:p>
        </w:tc>
      </w:tr>
      <w:tr w14:paraId="4CD2E3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D38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8A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E2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6E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E80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01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A4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F7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E4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1C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73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4B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08582">
            <w:pPr>
              <w:jc w:val="center"/>
            </w:pPr>
            <w:r>
              <w:rPr>
                <w:rFonts w:ascii="宋体" w:hAnsi="宋体" w:eastAsia="宋体"/>
                <w:sz w:val="16"/>
              </w:rPr>
              <w:t>偏差原因分析及改进措施</w:t>
            </w:r>
          </w:p>
        </w:tc>
      </w:tr>
      <w:tr w14:paraId="0FA9F2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237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3BD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DCA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C48D">
            <w:pPr>
              <w:jc w:val="center"/>
            </w:pPr>
            <w:r>
              <w:rPr>
                <w:rFonts w:ascii="宋体" w:hAnsi="宋体" w:eastAsia="宋体"/>
                <w:sz w:val="16"/>
              </w:rPr>
              <w:t>人员</w:t>
            </w:r>
            <w:r>
              <w:rPr>
                <w:rFonts w:hint="eastAsia" w:ascii="宋体" w:hAnsi="宋体"/>
                <w:sz w:val="16"/>
                <w:lang w:val="en-US" w:eastAsia="zh-CN"/>
              </w:rPr>
              <w:t>聘用</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1B0B">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0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10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5A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28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C7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EA38">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E7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7D0D7">
            <w:pPr>
              <w:jc w:val="center"/>
            </w:pPr>
          </w:p>
        </w:tc>
      </w:tr>
      <w:tr w14:paraId="7280E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87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D2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92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670D">
            <w:pPr>
              <w:jc w:val="center"/>
            </w:pPr>
            <w:r>
              <w:rPr>
                <w:rFonts w:ascii="宋体" w:hAnsi="宋体" w:eastAsia="宋体"/>
                <w:sz w:val="16"/>
              </w:rPr>
              <w:t>采购电脑数量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576A">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8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D0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D7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B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B3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C085">
            <w:pPr>
              <w:jc w:val="center"/>
            </w:pPr>
            <w:r>
              <w:rPr>
                <w:rFonts w:ascii="宋体" w:hAnsi="宋体" w:eastAsia="宋体"/>
                <w:sz w:val="16"/>
              </w:rPr>
              <w:t>=13台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1F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8141">
            <w:pPr>
              <w:jc w:val="center"/>
            </w:pPr>
            <w:r>
              <w:rPr>
                <w:rFonts w:ascii="宋体" w:hAnsi="宋体" w:eastAsia="宋体"/>
                <w:sz w:val="16"/>
              </w:rPr>
              <w:t>偏差原因：2024年电脑采购目标偏低，人才集团2024年因业务发展及公司需求，新招人员增多，电脑配备数量超过目标值。改进措施：我公司后期将合理设置目标值，避免后期目标与实际误差较大。</w:t>
            </w:r>
          </w:p>
        </w:tc>
      </w:tr>
      <w:tr w14:paraId="7A7F7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2F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122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9E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7DB5">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6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B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A7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4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9D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BB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1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A3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5CE2">
            <w:pPr>
              <w:jc w:val="center"/>
            </w:pPr>
          </w:p>
        </w:tc>
      </w:tr>
      <w:tr w14:paraId="6CFE7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0A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91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A4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4A1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8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4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41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EC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38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A5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B6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5C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5F006">
            <w:pPr>
              <w:jc w:val="center"/>
            </w:pPr>
            <w:r>
              <w:rPr>
                <w:rFonts w:ascii="宋体" w:hAnsi="宋体" w:eastAsia="宋体"/>
                <w:sz w:val="16"/>
              </w:rPr>
              <w:t>偏差原因：2024年8月27日收到500万注册资本金，因资金收到时间较晚，资金未及时支付完成；改进措施：我公司后期将合理规划资金支付，提高资金支付及时率。</w:t>
            </w:r>
          </w:p>
        </w:tc>
      </w:tr>
      <w:tr w14:paraId="53525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572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353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3F1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6908A">
            <w:pPr>
              <w:jc w:val="center"/>
            </w:pPr>
            <w:r>
              <w:rPr>
                <w:rFonts w:ascii="宋体" w:hAnsi="宋体" w:eastAsia="宋体"/>
                <w:sz w:val="16"/>
              </w:rPr>
              <w:t>发放工资成本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D3B7">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EB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8E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1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4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26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47BE">
            <w:pPr>
              <w:jc w:val="center"/>
            </w:pPr>
            <w:r>
              <w:rPr>
                <w:rFonts w:ascii="宋体" w:hAnsi="宋体" w:eastAsia="宋体"/>
                <w:sz w:val="16"/>
              </w:rPr>
              <w:t>=14.27万元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34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CD426">
            <w:pPr>
              <w:jc w:val="center"/>
            </w:pPr>
            <w:r>
              <w:rPr>
                <w:rFonts w:ascii="宋体" w:hAnsi="宋体" w:eastAsia="宋体"/>
                <w:sz w:val="16"/>
              </w:rPr>
              <w:t>偏差原因：人才集团8月27日资金到位，计划发放8-12月员工工资，实际公司员工10月到位，8-9月未发放工资，故偏差较大。改进措施：后期我公司将合理预估员工工资发放金额，提高准确度，避免后期目标与实际误差较大。</w:t>
            </w:r>
          </w:p>
        </w:tc>
      </w:tr>
      <w:tr w14:paraId="09A7B0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0D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06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8C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0289">
            <w:pPr>
              <w:jc w:val="center"/>
            </w:pPr>
            <w:r>
              <w:rPr>
                <w:rFonts w:ascii="宋体" w:hAnsi="宋体" w:eastAsia="宋体"/>
                <w:sz w:val="16"/>
              </w:rPr>
              <w:t>人才发展运营成本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4DDC">
            <w:pPr>
              <w:jc w:val="center"/>
            </w:pPr>
            <w:r>
              <w:rPr>
                <w:rFonts w:ascii="宋体" w:hAnsi="宋体" w:eastAsia="宋体"/>
                <w:sz w:val="16"/>
              </w:rPr>
              <w:t>&lt;=476万元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0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66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59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0F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04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7F24">
            <w:pPr>
              <w:jc w:val="center"/>
            </w:pPr>
            <w:r>
              <w:rPr>
                <w:rFonts w:ascii="宋体" w:hAnsi="宋体" w:eastAsia="宋体"/>
                <w:sz w:val="16"/>
              </w:rPr>
              <w:t>=202.52万元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C2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ED641">
            <w:pPr>
              <w:jc w:val="center"/>
            </w:pPr>
            <w:r>
              <w:rPr>
                <w:rFonts w:ascii="宋体" w:hAnsi="宋体" w:eastAsia="宋体"/>
                <w:sz w:val="16"/>
              </w:rPr>
              <w:t>偏差原因：按计划注册资本金需保障公司2025年发展，故相关资金未完全支付完毕；改进措施：我公司将按计划使用相关资金，保障正常的人才发展运营。</w:t>
            </w:r>
          </w:p>
        </w:tc>
      </w:tr>
      <w:tr w14:paraId="4E994F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7C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BE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BD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C553">
            <w:pPr>
              <w:jc w:val="center"/>
            </w:pPr>
            <w:r>
              <w:rPr>
                <w:rFonts w:ascii="宋体" w:hAnsi="宋体" w:eastAsia="宋体"/>
                <w:sz w:val="16"/>
              </w:rPr>
              <w:t>健强公司内部人员队伍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A1C0">
            <w:pPr>
              <w:jc w:val="center"/>
            </w:pPr>
            <w:r>
              <w:rPr>
                <w:rFonts w:ascii="宋体" w:hAnsi="宋体" w:eastAsia="宋体"/>
                <w:sz w:val="16"/>
              </w:rPr>
              <w:t>健强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F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58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6F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70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E0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1A00">
            <w:pPr>
              <w:jc w:val="center"/>
            </w:pPr>
            <w:r>
              <w:rPr>
                <w:rFonts w:ascii="宋体" w:hAnsi="宋体" w:eastAsia="宋体"/>
                <w:sz w:val="16"/>
              </w:rPr>
              <w:t>健强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5C9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6480">
            <w:pPr>
              <w:jc w:val="center"/>
            </w:pPr>
          </w:p>
        </w:tc>
      </w:tr>
      <w:tr w14:paraId="685DA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1D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86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1F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4ADA">
            <w:pPr>
              <w:jc w:val="center"/>
            </w:pPr>
            <w:r>
              <w:rPr>
                <w:rFonts w:ascii="宋体" w:hAnsi="宋体" w:eastAsia="宋体"/>
                <w:sz w:val="16"/>
              </w:rPr>
              <w:t>喀什人才公司职工满意度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4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AF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C7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5B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AB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E2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B1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86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5E22B">
            <w:pPr>
              <w:jc w:val="center"/>
            </w:pPr>
          </w:p>
        </w:tc>
      </w:tr>
      <w:tr w14:paraId="69FF95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3D8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CE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4B95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71CC">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48A145"/>
        </w:tc>
      </w:tr>
    </w:tbl>
    <w:p w14:paraId="1CAC69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17A0E83">
        <w:tblPrEx>
          <w:tblCellMar>
            <w:top w:w="0" w:type="dxa"/>
            <w:left w:w="108" w:type="dxa"/>
            <w:bottom w:w="0" w:type="dxa"/>
            <w:right w:w="108" w:type="dxa"/>
          </w:tblCellMar>
        </w:tblPrEx>
        <w:tc>
          <w:tcPr>
            <w:tcW w:w="8848" w:type="dxa"/>
            <w:gridSpan w:val="14"/>
            <w:vAlign w:val="center"/>
          </w:tcPr>
          <w:p w14:paraId="73F36141">
            <w:pPr>
              <w:jc w:val="center"/>
            </w:pPr>
            <w:r>
              <w:rPr>
                <w:rFonts w:ascii="宋体" w:hAnsi="宋体" w:eastAsia="宋体"/>
                <w:sz w:val="24"/>
              </w:rPr>
              <w:t>项目支出绩效自评表</w:t>
            </w:r>
          </w:p>
        </w:tc>
      </w:tr>
      <w:tr w14:paraId="2142A37B">
        <w:tblPrEx>
          <w:tblCellMar>
            <w:top w:w="0" w:type="dxa"/>
            <w:left w:w="108" w:type="dxa"/>
            <w:bottom w:w="0" w:type="dxa"/>
            <w:right w:w="108" w:type="dxa"/>
          </w:tblCellMar>
        </w:tblPrEx>
        <w:tc>
          <w:tcPr>
            <w:tcW w:w="8848" w:type="dxa"/>
            <w:gridSpan w:val="14"/>
            <w:vAlign w:val="center"/>
          </w:tcPr>
          <w:p w14:paraId="08109CDA">
            <w:pPr>
              <w:jc w:val="center"/>
            </w:pPr>
            <w:r>
              <w:rPr>
                <w:rFonts w:ascii="宋体" w:hAnsi="宋体" w:eastAsia="宋体"/>
                <w:sz w:val="24"/>
              </w:rPr>
              <w:t>(2024年度)</w:t>
            </w:r>
          </w:p>
        </w:tc>
      </w:tr>
      <w:tr w14:paraId="456BB5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838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F4D057">
            <w:pPr>
              <w:jc w:val="center"/>
            </w:pPr>
            <w:r>
              <w:rPr>
                <w:rFonts w:ascii="宋体" w:hAnsi="宋体" w:eastAsia="宋体"/>
                <w:sz w:val="16"/>
              </w:rPr>
              <w:t>喀什商贸物流注册资本金项目</w:t>
            </w:r>
          </w:p>
        </w:tc>
      </w:tr>
      <w:tr w14:paraId="146748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2B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8EB25">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3B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460D42">
            <w:pPr>
              <w:jc w:val="center"/>
            </w:pPr>
            <w:r>
              <w:rPr>
                <w:rFonts w:ascii="宋体" w:hAnsi="宋体" w:eastAsia="宋体"/>
                <w:sz w:val="16"/>
              </w:rPr>
              <w:t>喀什地区国有资产监督管理委员会</w:t>
            </w:r>
          </w:p>
        </w:tc>
      </w:tr>
      <w:tr w14:paraId="7642CD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DDD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C3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707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528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19F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A20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BF3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7613">
            <w:pPr>
              <w:jc w:val="center"/>
            </w:pPr>
            <w:r>
              <w:rPr>
                <w:rFonts w:ascii="宋体" w:hAnsi="宋体" w:eastAsia="宋体"/>
                <w:sz w:val="16"/>
              </w:rPr>
              <w:t>得分</w:t>
            </w:r>
          </w:p>
        </w:tc>
      </w:tr>
      <w:tr w14:paraId="30DF5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61C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84F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BD45A">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2D20D">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FE22C">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A2B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2480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44CB">
            <w:pPr>
              <w:jc w:val="center"/>
            </w:pPr>
            <w:r>
              <w:rPr>
                <w:rFonts w:ascii="宋体" w:hAnsi="宋体" w:eastAsia="宋体"/>
                <w:sz w:val="16"/>
              </w:rPr>
              <w:t>10.00分</w:t>
            </w:r>
          </w:p>
        </w:tc>
      </w:tr>
      <w:tr w14:paraId="129DA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0D9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204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98DB">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2BC6">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F696A">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844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2C4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A06C">
            <w:pPr>
              <w:jc w:val="center"/>
            </w:pPr>
            <w:r>
              <w:rPr>
                <w:rFonts w:ascii="宋体" w:hAnsi="宋体" w:eastAsia="宋体"/>
                <w:sz w:val="16"/>
              </w:rPr>
              <w:t>—</w:t>
            </w:r>
          </w:p>
        </w:tc>
      </w:tr>
      <w:tr w14:paraId="20F598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173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89F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D7E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CD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8E2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485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A5C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1916">
            <w:pPr>
              <w:jc w:val="center"/>
            </w:pPr>
            <w:r>
              <w:rPr>
                <w:rFonts w:ascii="宋体" w:hAnsi="宋体" w:eastAsia="宋体"/>
                <w:sz w:val="16"/>
              </w:rPr>
              <w:t>—</w:t>
            </w:r>
          </w:p>
        </w:tc>
      </w:tr>
      <w:tr w14:paraId="0FAEEE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586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D97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3FFB5">
            <w:pPr>
              <w:jc w:val="center"/>
            </w:pPr>
            <w:r>
              <w:rPr>
                <w:rFonts w:ascii="宋体" w:hAnsi="宋体" w:eastAsia="宋体"/>
                <w:sz w:val="16"/>
              </w:rPr>
              <w:t>实际完成情况</w:t>
            </w:r>
          </w:p>
        </w:tc>
      </w:tr>
      <w:tr w14:paraId="6728D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92C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54DFD">
            <w:pPr>
              <w:jc w:val="both"/>
            </w:pPr>
            <w:r>
              <w:rPr>
                <w:rFonts w:ascii="宋体" w:hAnsi="宋体" w:eastAsia="宋体"/>
                <w:sz w:val="16"/>
              </w:rPr>
              <w:t>项目总资金为1800万元，为注册资本金，通过对喀什商贸物流进行注资，完整准确全面贯彻新发展理念，服务和融入新发展格局，确保地委关于实施“一二三四五”战略、培育推进“十大产业”中关于加快推进商贸物流中心建设的安排部署落到实处，全力推动喀什地区经济社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E49356">
            <w:pPr>
              <w:jc w:val="both"/>
            </w:pPr>
            <w:r>
              <w:rPr>
                <w:rFonts w:ascii="宋体" w:hAnsi="宋体" w:eastAsia="宋体"/>
                <w:sz w:val="16"/>
              </w:rPr>
              <w:t>该项目主要为商贸物流注册资本金，主要保障了1个资本金。项目的实施有利于推动喀什地区高质量发展。</w:t>
            </w:r>
          </w:p>
        </w:tc>
      </w:tr>
      <w:tr w14:paraId="682F85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089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C7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E5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B7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01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D6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E2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0B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19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07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57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57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124B1">
            <w:pPr>
              <w:jc w:val="center"/>
            </w:pPr>
            <w:r>
              <w:rPr>
                <w:rFonts w:ascii="宋体" w:hAnsi="宋体" w:eastAsia="宋体"/>
                <w:sz w:val="16"/>
              </w:rPr>
              <w:t>偏差原因分析及改进措施</w:t>
            </w:r>
          </w:p>
        </w:tc>
      </w:tr>
      <w:tr w14:paraId="7FF3E5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61D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972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279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F7CF">
            <w:pPr>
              <w:jc w:val="center"/>
            </w:pPr>
            <w:r>
              <w:rPr>
                <w:rFonts w:ascii="宋体" w:hAnsi="宋体" w:eastAsia="宋体"/>
                <w:sz w:val="16"/>
              </w:rPr>
              <w:t>受益企业数量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8E07">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FB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12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2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5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64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EBB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EF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C03BC">
            <w:pPr>
              <w:jc w:val="center"/>
            </w:pPr>
          </w:p>
        </w:tc>
      </w:tr>
      <w:tr w14:paraId="1E1CB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1B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7B3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62A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1B1F">
            <w:pPr>
              <w:jc w:val="center"/>
            </w:pPr>
            <w:r>
              <w:rPr>
                <w:rFonts w:ascii="宋体" w:hAnsi="宋体" w:eastAsia="宋体"/>
                <w:sz w:val="16"/>
              </w:rPr>
              <w:t>开展业务数量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659C">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08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3B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60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C9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03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977E">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10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98412">
            <w:pPr>
              <w:jc w:val="center"/>
            </w:pPr>
            <w:r>
              <w:rPr>
                <w:rFonts w:ascii="宋体" w:hAnsi="宋体" w:eastAsia="宋体"/>
                <w:sz w:val="16"/>
              </w:rPr>
              <w:t>偏差原因：项目计划完成3</w:t>
            </w:r>
            <w:r>
              <w:rPr>
                <w:rFonts w:hint="eastAsia" w:ascii="宋体" w:hAnsi="宋体"/>
                <w:sz w:val="16"/>
                <w:lang w:eastAsia="zh-CN"/>
              </w:rPr>
              <w:t>项</w:t>
            </w:r>
            <w:r>
              <w:rPr>
                <w:rFonts w:ascii="宋体" w:hAnsi="宋体" w:eastAsia="宋体"/>
                <w:sz w:val="16"/>
              </w:rPr>
              <w:t>业务，实际完成8个，因此有偏差。改进措施：合理设定目标值。</w:t>
            </w:r>
          </w:p>
        </w:tc>
      </w:tr>
      <w:tr w14:paraId="23F25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99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DB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C6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0C64">
            <w:pPr>
              <w:jc w:val="center"/>
            </w:pPr>
            <w:r>
              <w:rPr>
                <w:rFonts w:ascii="宋体" w:hAnsi="宋体" w:eastAsia="宋体"/>
                <w:sz w:val="16"/>
              </w:rPr>
              <w:t>注册资本金使用合规率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295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7E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F9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AE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4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B8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4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0039">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AB00A">
            <w:pPr>
              <w:jc w:val="center"/>
            </w:pPr>
            <w:r>
              <w:rPr>
                <w:rFonts w:ascii="宋体" w:hAnsi="宋体" w:eastAsia="宋体"/>
                <w:sz w:val="16"/>
              </w:rPr>
              <w:t>偏差原因：因目标值设置过低，因此有偏差。改进措施：下次合理设定目标值。</w:t>
            </w:r>
          </w:p>
        </w:tc>
      </w:tr>
      <w:tr w14:paraId="55D82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B9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1DD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5E2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52B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0D0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7F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9E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40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9F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74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B2FD">
            <w:pPr>
              <w:jc w:val="center"/>
            </w:pPr>
            <w:r>
              <w:rPr>
                <w:rFonts w:ascii="宋体" w:hAnsi="宋体" w:eastAsia="宋体"/>
                <w:sz w:val="16"/>
              </w:rPr>
              <w:t>2024年5月8日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43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7DA7">
            <w:pPr>
              <w:jc w:val="center"/>
            </w:pPr>
          </w:p>
        </w:tc>
      </w:tr>
      <w:tr w14:paraId="14922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D36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42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69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F2E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42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8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D1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8D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4C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77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A1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08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67689">
            <w:pPr>
              <w:jc w:val="center"/>
            </w:pPr>
          </w:p>
        </w:tc>
      </w:tr>
      <w:tr w14:paraId="2F0E3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2C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C1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D5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FCD5">
            <w:pPr>
              <w:jc w:val="center"/>
            </w:pPr>
            <w:r>
              <w:rPr>
                <w:rFonts w:ascii="宋体" w:hAnsi="宋体" w:eastAsia="宋体"/>
                <w:sz w:val="16"/>
              </w:rPr>
              <w:t>全力推动喀什地区经济社会高质量发展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D2E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9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A4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D10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EB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E9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5C2C">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615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21CBE">
            <w:pPr>
              <w:jc w:val="center"/>
            </w:pPr>
          </w:p>
        </w:tc>
      </w:tr>
      <w:tr w14:paraId="309A2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C8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8C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0B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BF40">
            <w:pPr>
              <w:jc w:val="center"/>
            </w:pPr>
            <w:r>
              <w:rPr>
                <w:rFonts w:ascii="宋体" w:hAnsi="宋体" w:eastAsia="宋体"/>
                <w:sz w:val="16"/>
              </w:rPr>
              <w:t>商贸物流公司满意度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6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E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6A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F8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23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83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C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81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023D">
            <w:pPr>
              <w:jc w:val="center"/>
            </w:pPr>
          </w:p>
        </w:tc>
      </w:tr>
      <w:tr w14:paraId="7D121C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F8A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A9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34C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4F45">
            <w:pPr>
              <w:jc w:val="center"/>
            </w:pPr>
            <w:r>
              <w:rPr>
                <w:rFonts w:ascii="宋体" w:hAnsi="宋体" w:eastAsia="宋体"/>
                <w:sz w:val="16"/>
              </w:rPr>
              <w:t>89.8分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5ECF6B"/>
        </w:tc>
      </w:tr>
    </w:tbl>
    <w:p w14:paraId="7A0C8A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B3CE7A9">
        <w:tblPrEx>
          <w:tblCellMar>
            <w:top w:w="0" w:type="dxa"/>
            <w:left w:w="108" w:type="dxa"/>
            <w:bottom w:w="0" w:type="dxa"/>
            <w:right w:w="108" w:type="dxa"/>
          </w:tblCellMar>
        </w:tblPrEx>
        <w:tc>
          <w:tcPr>
            <w:tcW w:w="8848" w:type="dxa"/>
            <w:gridSpan w:val="14"/>
            <w:vAlign w:val="center"/>
          </w:tcPr>
          <w:p w14:paraId="3AC40FB1">
            <w:pPr>
              <w:jc w:val="center"/>
            </w:pPr>
            <w:r>
              <w:rPr>
                <w:rFonts w:ascii="宋体" w:hAnsi="宋体" w:eastAsia="宋体"/>
                <w:sz w:val="24"/>
              </w:rPr>
              <w:t>项目支出绩效自评表</w:t>
            </w:r>
          </w:p>
        </w:tc>
      </w:tr>
      <w:tr w14:paraId="188442E0">
        <w:tblPrEx>
          <w:tblCellMar>
            <w:top w:w="0" w:type="dxa"/>
            <w:left w:w="108" w:type="dxa"/>
            <w:bottom w:w="0" w:type="dxa"/>
            <w:right w:w="108" w:type="dxa"/>
          </w:tblCellMar>
        </w:tblPrEx>
        <w:tc>
          <w:tcPr>
            <w:tcW w:w="8848" w:type="dxa"/>
            <w:gridSpan w:val="14"/>
            <w:vAlign w:val="center"/>
          </w:tcPr>
          <w:p w14:paraId="0CCF8587">
            <w:pPr>
              <w:jc w:val="center"/>
            </w:pPr>
            <w:r>
              <w:rPr>
                <w:rFonts w:ascii="宋体" w:hAnsi="宋体" w:eastAsia="宋体"/>
                <w:sz w:val="24"/>
              </w:rPr>
              <w:t>(2024年度)</w:t>
            </w:r>
          </w:p>
        </w:tc>
      </w:tr>
      <w:tr w14:paraId="4747C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4D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C864BA">
            <w:pPr>
              <w:jc w:val="center"/>
            </w:pPr>
            <w:r>
              <w:rPr>
                <w:rFonts w:ascii="宋体" w:hAnsi="宋体" w:eastAsia="宋体"/>
                <w:sz w:val="16"/>
              </w:rPr>
              <w:t>喀什商贸物流（集团）有限责任公司注册资本金项目</w:t>
            </w:r>
          </w:p>
        </w:tc>
      </w:tr>
      <w:tr w14:paraId="6A0EB3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D9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BA392">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38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1F7DA9">
            <w:pPr>
              <w:jc w:val="center"/>
            </w:pPr>
            <w:r>
              <w:rPr>
                <w:rFonts w:ascii="宋体" w:hAnsi="宋体" w:eastAsia="宋体"/>
                <w:sz w:val="16"/>
              </w:rPr>
              <w:t>喀什地区国有资产监督管理委员会</w:t>
            </w:r>
          </w:p>
        </w:tc>
      </w:tr>
      <w:tr w14:paraId="4FCF41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FCC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BF7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1AB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B74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3E3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80C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82E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F09C">
            <w:pPr>
              <w:jc w:val="center"/>
            </w:pPr>
            <w:r>
              <w:rPr>
                <w:rFonts w:ascii="宋体" w:hAnsi="宋体" w:eastAsia="宋体"/>
                <w:sz w:val="16"/>
              </w:rPr>
              <w:t>得分</w:t>
            </w:r>
          </w:p>
        </w:tc>
      </w:tr>
      <w:tr w14:paraId="3BBE7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DF3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420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F78E8">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AC85D">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EC47E">
            <w:pPr>
              <w:jc w:val="center"/>
            </w:pPr>
            <w:r>
              <w:rPr>
                <w:rFonts w:ascii="宋体" w:hAnsi="宋体" w:eastAsia="宋体"/>
                <w:sz w:val="16"/>
              </w:rPr>
              <w:t>57.66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C62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97F8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EFF1">
            <w:pPr>
              <w:jc w:val="center"/>
            </w:pPr>
            <w:r>
              <w:rPr>
                <w:rFonts w:ascii="宋体" w:hAnsi="宋体" w:eastAsia="宋体"/>
                <w:sz w:val="16"/>
              </w:rPr>
              <w:t>0.00分</w:t>
            </w:r>
          </w:p>
        </w:tc>
      </w:tr>
      <w:tr w14:paraId="38CE7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EB8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195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9099">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2A82">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E27E0">
            <w:pPr>
              <w:jc w:val="center"/>
            </w:pPr>
            <w:r>
              <w:rPr>
                <w:rFonts w:ascii="宋体" w:hAnsi="宋体" w:eastAsia="宋体"/>
                <w:sz w:val="16"/>
              </w:rPr>
              <w:t>57.66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0E3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65F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20C0">
            <w:pPr>
              <w:jc w:val="center"/>
            </w:pPr>
            <w:r>
              <w:rPr>
                <w:rFonts w:ascii="宋体" w:hAnsi="宋体" w:eastAsia="宋体"/>
                <w:sz w:val="16"/>
              </w:rPr>
              <w:t>—</w:t>
            </w:r>
          </w:p>
        </w:tc>
      </w:tr>
      <w:tr w14:paraId="22F4D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104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61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139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4E4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8A1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782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97C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A1B8">
            <w:pPr>
              <w:jc w:val="center"/>
            </w:pPr>
            <w:r>
              <w:rPr>
                <w:rFonts w:ascii="宋体" w:hAnsi="宋体" w:eastAsia="宋体"/>
                <w:sz w:val="16"/>
              </w:rPr>
              <w:t>—</w:t>
            </w:r>
          </w:p>
        </w:tc>
      </w:tr>
      <w:tr w14:paraId="38C12B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E1D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32F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2F2A48">
            <w:pPr>
              <w:jc w:val="center"/>
            </w:pPr>
            <w:r>
              <w:rPr>
                <w:rFonts w:ascii="宋体" w:hAnsi="宋体" w:eastAsia="宋体"/>
                <w:sz w:val="16"/>
              </w:rPr>
              <w:t>实际完成情况</w:t>
            </w:r>
          </w:p>
        </w:tc>
      </w:tr>
      <w:tr w14:paraId="63EEA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E17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7CC37">
            <w:pPr>
              <w:jc w:val="both"/>
            </w:pPr>
            <w:r>
              <w:rPr>
                <w:rFonts w:ascii="宋体" w:hAnsi="宋体" w:eastAsia="宋体"/>
                <w:sz w:val="16"/>
              </w:rPr>
              <w:t>计划在喀什国际枢纽港货场内组建不少于1支装卸队伍，办公楼、宿舍楼、食堂等3处办公和生活场所不少于4919平方米装修成本，海关监管中心围栏改造不少于230米，按照计划及时完成，达到喀什国际枢纽港办公运营的基本条件，提高喀什地区物流运输的枢纽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CB7DDB">
            <w:pPr>
              <w:jc w:val="both"/>
            </w:pPr>
            <w:r>
              <w:rPr>
                <w:rFonts w:ascii="宋体" w:hAnsi="宋体" w:eastAsia="宋体"/>
                <w:sz w:val="16"/>
              </w:rPr>
              <w:t>我公司于2024年12月24日收到了国资委的注册资本金600万，截至2024年12月31日，已经组建一支装卸队伍，完成对办公楼和生活环境4949平方米面积进行了修缮与装修，对230米海关监管区围栏防护进行了加强，并支付了2024年10月</w:t>
            </w:r>
            <w:r>
              <w:rPr>
                <w:rFonts w:hint="eastAsia" w:ascii="宋体" w:hAnsi="宋体"/>
                <w:sz w:val="16"/>
                <w:lang w:eastAsia="zh-CN"/>
              </w:rPr>
              <w:t>—</w:t>
            </w:r>
            <w:r>
              <w:rPr>
                <w:rFonts w:ascii="宋体" w:hAnsi="宋体" w:eastAsia="宋体"/>
                <w:sz w:val="16"/>
              </w:rPr>
              <w:t>12月物业这3个月的物业费，保障了公司的正常运转，提高办公效率。</w:t>
            </w:r>
          </w:p>
        </w:tc>
      </w:tr>
      <w:tr w14:paraId="65F0C4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544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8A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2F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F0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A4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2B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26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B3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2A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38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2D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E6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344A7">
            <w:pPr>
              <w:jc w:val="center"/>
            </w:pPr>
            <w:r>
              <w:rPr>
                <w:rFonts w:ascii="宋体" w:hAnsi="宋体" w:eastAsia="宋体"/>
                <w:sz w:val="16"/>
              </w:rPr>
              <w:t>偏差原因分析及改进措施</w:t>
            </w:r>
          </w:p>
        </w:tc>
      </w:tr>
      <w:tr w14:paraId="701AF4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BF3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EF5C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1BC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C23A">
            <w:pPr>
              <w:jc w:val="center"/>
            </w:pPr>
            <w:r>
              <w:rPr>
                <w:rFonts w:ascii="宋体" w:hAnsi="宋体" w:eastAsia="宋体"/>
                <w:sz w:val="16"/>
              </w:rPr>
              <w:t>组建装卸队伍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C9A6">
            <w:pPr>
              <w:jc w:val="center"/>
            </w:pPr>
            <w:r>
              <w:rPr>
                <w:rFonts w:ascii="宋体" w:hAnsi="宋体" w:eastAsia="宋体"/>
                <w:sz w:val="16"/>
              </w:rPr>
              <w:t>&gt;=1支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0B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05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EA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5B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41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3EF6">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B3E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53245">
            <w:pPr>
              <w:jc w:val="center"/>
            </w:pPr>
          </w:p>
        </w:tc>
      </w:tr>
      <w:tr w14:paraId="43035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E0C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D1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EB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BF5F">
            <w:pPr>
              <w:jc w:val="center"/>
            </w:pPr>
            <w:r>
              <w:rPr>
                <w:rFonts w:ascii="宋体" w:hAnsi="宋体" w:eastAsia="宋体"/>
                <w:sz w:val="16"/>
              </w:rPr>
              <w:t>办公楼1层、宿舍1层、食堂装修面积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60A7">
            <w:pPr>
              <w:jc w:val="center"/>
            </w:pPr>
            <w:r>
              <w:rPr>
                <w:rFonts w:ascii="宋体" w:hAnsi="宋体" w:eastAsia="宋体"/>
                <w:sz w:val="16"/>
              </w:rPr>
              <w:t>&gt;=4919平方米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C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3D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8F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E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5B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AA32">
            <w:pPr>
              <w:jc w:val="center"/>
            </w:pPr>
            <w:r>
              <w:rPr>
                <w:rFonts w:ascii="宋体" w:hAnsi="宋体" w:eastAsia="宋体"/>
                <w:sz w:val="16"/>
              </w:rPr>
              <w:t>=4919平方米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68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790B9">
            <w:pPr>
              <w:jc w:val="center"/>
            </w:pPr>
          </w:p>
        </w:tc>
      </w:tr>
      <w:tr w14:paraId="79DC3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D9B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1C7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D4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F066">
            <w:pPr>
              <w:jc w:val="center"/>
            </w:pPr>
            <w:r>
              <w:rPr>
                <w:rFonts w:ascii="宋体" w:hAnsi="宋体" w:eastAsia="宋体"/>
                <w:sz w:val="16"/>
              </w:rPr>
              <w:t>海关监管区围栏防护改造长度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50EF">
            <w:pPr>
              <w:jc w:val="center"/>
            </w:pPr>
            <w:r>
              <w:rPr>
                <w:rFonts w:ascii="宋体" w:hAnsi="宋体" w:eastAsia="宋体"/>
                <w:sz w:val="16"/>
              </w:rPr>
              <w:t>&gt;=230米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3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5C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A7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E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29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B859">
            <w:pPr>
              <w:jc w:val="center"/>
            </w:pPr>
            <w:r>
              <w:rPr>
                <w:rFonts w:ascii="宋体" w:hAnsi="宋体" w:eastAsia="宋体"/>
                <w:sz w:val="16"/>
              </w:rPr>
              <w:t>=230米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79B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10842">
            <w:pPr>
              <w:jc w:val="center"/>
            </w:pPr>
          </w:p>
        </w:tc>
      </w:tr>
      <w:tr w14:paraId="53020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91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8A4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236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DF00">
            <w:pPr>
              <w:jc w:val="center"/>
            </w:pPr>
            <w:r>
              <w:rPr>
                <w:rFonts w:ascii="宋体" w:hAnsi="宋体" w:eastAsia="宋体"/>
                <w:sz w:val="16"/>
              </w:rPr>
              <w:t>办公和生活环境装修验收合格率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E4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9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C0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68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F0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68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61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F9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787D1">
            <w:pPr>
              <w:jc w:val="center"/>
            </w:pPr>
            <w:r>
              <w:rPr>
                <w:rFonts w:ascii="宋体" w:hAnsi="宋体" w:eastAsia="宋体"/>
                <w:sz w:val="16"/>
              </w:rPr>
              <w:t>偏差原因：于2024年底大致装修完成，在2025年1月3日全部装修完毕，单位还未正式验收；改进措施：积极对接项目及时对办公环境和生活环境验收</w:t>
            </w:r>
          </w:p>
        </w:tc>
      </w:tr>
      <w:tr w14:paraId="44F4C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A0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C5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2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407A">
            <w:pPr>
              <w:jc w:val="center"/>
            </w:pPr>
            <w:r>
              <w:rPr>
                <w:rFonts w:ascii="宋体" w:hAnsi="宋体" w:eastAsia="宋体"/>
                <w:sz w:val="16"/>
              </w:rPr>
              <w:t>海关监管区围栏防护改造验收合格率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1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8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70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1A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8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DC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D7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D5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B5239">
            <w:pPr>
              <w:jc w:val="center"/>
            </w:pPr>
            <w:r>
              <w:rPr>
                <w:rFonts w:ascii="宋体" w:hAnsi="宋体" w:eastAsia="宋体"/>
                <w:sz w:val="16"/>
              </w:rPr>
              <w:t>偏差原因：于2024年底大致改造完成，在2025年1月3日全部改造完毕，单位还未正式验收；改进措施：积极对接项目及时对围栏改造验收</w:t>
            </w:r>
          </w:p>
        </w:tc>
      </w:tr>
      <w:tr w14:paraId="666F2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E7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8C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40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3294">
            <w:pPr>
              <w:jc w:val="center"/>
            </w:pPr>
            <w:r>
              <w:rPr>
                <w:rFonts w:ascii="宋体" w:hAnsi="宋体" w:eastAsia="宋体"/>
                <w:sz w:val="16"/>
              </w:rPr>
              <w:t>装修、维修改造完成时限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4D66">
            <w:pPr>
              <w:jc w:val="center"/>
            </w:pPr>
            <w:r>
              <w:rPr>
                <w:rFonts w:ascii="宋体" w:hAnsi="宋体" w:eastAsia="宋体"/>
                <w:sz w:val="16"/>
              </w:rPr>
              <w:t>&lt;=3个月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BE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B9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A3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B8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A3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B642">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D44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8513">
            <w:pPr>
              <w:jc w:val="center"/>
            </w:pPr>
            <w:r>
              <w:rPr>
                <w:rFonts w:ascii="宋体" w:hAnsi="宋体" w:eastAsia="宋体"/>
                <w:sz w:val="16"/>
              </w:rPr>
              <w:t>偏差原因：装修计划于2024年12月开始到2025年2月截止，现在已完成1个月，主体大致</w:t>
            </w:r>
            <w:r>
              <w:rPr>
                <w:rFonts w:hint="eastAsia" w:ascii="宋体" w:hAnsi="宋体"/>
                <w:sz w:val="16"/>
                <w:lang w:eastAsia="zh-CN"/>
              </w:rPr>
              <w:t>已</w:t>
            </w:r>
            <w:r>
              <w:rPr>
                <w:rFonts w:ascii="宋体" w:hAnsi="宋体" w:eastAsia="宋体"/>
                <w:sz w:val="16"/>
              </w:rPr>
              <w:t>完成，还剩余零星工程；改进措施：加快装修、改造项目工程，尽快验收</w:t>
            </w:r>
          </w:p>
        </w:tc>
      </w:tr>
      <w:tr w14:paraId="32A66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DC6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779E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863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04AB">
            <w:pPr>
              <w:jc w:val="center"/>
            </w:pPr>
            <w:r>
              <w:rPr>
                <w:rFonts w:ascii="宋体" w:hAnsi="宋体" w:eastAsia="宋体"/>
                <w:sz w:val="16"/>
              </w:rPr>
              <w:t>办公楼1层、宿舍1层、食堂3处办公和生活场所4919.8平方米装修成本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D6A7">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F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25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A0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D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B2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C26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ED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EA0B">
            <w:pPr>
              <w:jc w:val="center"/>
            </w:pPr>
            <w:r>
              <w:rPr>
                <w:rFonts w:ascii="宋体" w:hAnsi="宋体" w:eastAsia="宋体"/>
                <w:sz w:val="16"/>
              </w:rPr>
              <w:t>偏差原因：办公楼1层、宿舍1层、食堂3处办公和生活场所4919.8平方米装修成本大致完工，</w:t>
            </w:r>
            <w:r>
              <w:rPr>
                <w:rFonts w:hint="eastAsia" w:ascii="宋体" w:hAnsi="宋体"/>
                <w:sz w:val="16"/>
                <w:lang w:eastAsia="zh-CN"/>
              </w:rPr>
              <w:t>截至</w:t>
            </w:r>
            <w:r>
              <w:rPr>
                <w:rFonts w:ascii="宋体" w:hAnsi="宋体" w:eastAsia="宋体"/>
                <w:sz w:val="16"/>
              </w:rPr>
              <w:t>2024.12.31未支出，该指标未完成；改进措施：计划于2025.1.7支付完装修改造的款项</w:t>
            </w:r>
          </w:p>
        </w:tc>
      </w:tr>
      <w:tr w14:paraId="15FE8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96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CA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92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5F2D">
            <w:pPr>
              <w:jc w:val="center"/>
            </w:pPr>
            <w:r>
              <w:rPr>
                <w:rFonts w:ascii="宋体" w:hAnsi="宋体" w:eastAsia="宋体"/>
                <w:sz w:val="16"/>
              </w:rPr>
              <w:t>2024年10</w:t>
            </w:r>
            <w:r>
              <w:rPr>
                <w:rFonts w:hint="eastAsia" w:ascii="宋体" w:hAnsi="宋体"/>
                <w:sz w:val="16"/>
                <w:lang w:eastAsia="zh-CN"/>
              </w:rPr>
              <w:t>—</w:t>
            </w:r>
            <w:r>
              <w:rPr>
                <w:rFonts w:ascii="宋体" w:hAnsi="宋体" w:eastAsia="宋体"/>
                <w:sz w:val="16"/>
              </w:rPr>
              <w:t>12月3个月物业服务成本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4B6C">
            <w:pPr>
              <w:jc w:val="center"/>
            </w:pPr>
            <w:r>
              <w:rPr>
                <w:rFonts w:ascii="宋体" w:hAnsi="宋体" w:eastAsia="宋体"/>
                <w:sz w:val="16"/>
              </w:rPr>
              <w:t>&lt;=57万元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65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B1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E9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D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7D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2E69">
            <w:pPr>
              <w:jc w:val="center"/>
            </w:pPr>
            <w:r>
              <w:rPr>
                <w:rFonts w:ascii="宋体" w:hAnsi="宋体" w:eastAsia="宋体"/>
                <w:sz w:val="16"/>
              </w:rPr>
              <w: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2F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15E30">
            <w:pPr>
              <w:jc w:val="center"/>
            </w:pPr>
          </w:p>
        </w:tc>
      </w:tr>
      <w:tr w14:paraId="6BDED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62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836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DE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B0F7">
            <w:pPr>
              <w:jc w:val="center"/>
            </w:pPr>
            <w:r>
              <w:rPr>
                <w:rFonts w:ascii="宋体" w:hAnsi="宋体" w:eastAsia="宋体"/>
                <w:sz w:val="16"/>
              </w:rPr>
              <w:t>海关监管区围栏防护改造成本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F4D3">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4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62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00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5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19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2AD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AD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A1CA5">
            <w:pPr>
              <w:jc w:val="center"/>
            </w:pPr>
            <w:r>
              <w:rPr>
                <w:rFonts w:ascii="宋体" w:hAnsi="宋体" w:eastAsia="宋体"/>
                <w:sz w:val="16"/>
              </w:rPr>
              <w:t>偏差原因：截止于2024年12月31日关监管区围栏防护改造成本还未验收，所以海关监管区围栏防护改造成本资金未支付；改进措施：及时组织验收，及时结算相关费用</w:t>
            </w:r>
          </w:p>
        </w:tc>
      </w:tr>
      <w:tr w14:paraId="47F64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65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0E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9B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FEEB">
            <w:pPr>
              <w:jc w:val="center"/>
            </w:pPr>
            <w:r>
              <w:rPr>
                <w:rFonts w:ascii="宋体" w:hAnsi="宋体" w:eastAsia="宋体"/>
                <w:sz w:val="16"/>
              </w:rPr>
              <w:t>场站运营成本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B610">
            <w:pPr>
              <w:jc w:val="center"/>
            </w:pPr>
            <w:r>
              <w:rPr>
                <w:rFonts w:ascii="宋体" w:hAnsi="宋体" w:eastAsia="宋体"/>
                <w:sz w:val="16"/>
              </w:rPr>
              <w:t>&lt;=218万元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F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F8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B3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6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EE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93AE">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AE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0F29">
            <w:pPr>
              <w:jc w:val="center"/>
            </w:pPr>
            <w:r>
              <w:rPr>
                <w:rFonts w:ascii="宋体" w:hAnsi="宋体" w:eastAsia="宋体"/>
                <w:sz w:val="16"/>
              </w:rPr>
              <w:t>偏差原因：于2024年12月24日到账，导致我公司未及时用款；改进措施：合理使用注册资本金，用于维护场站经营</w:t>
            </w:r>
          </w:p>
        </w:tc>
      </w:tr>
      <w:tr w14:paraId="551E9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F3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76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45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B304">
            <w:pPr>
              <w:jc w:val="center"/>
            </w:pPr>
            <w:r>
              <w:rPr>
                <w:rFonts w:ascii="宋体" w:hAnsi="宋体" w:eastAsia="宋体"/>
                <w:sz w:val="16"/>
              </w:rPr>
              <w:t>提高喀什地区物流枢纽效率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770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1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8C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96A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11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0E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72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5B8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36DDA">
            <w:pPr>
              <w:jc w:val="center"/>
            </w:pPr>
          </w:p>
        </w:tc>
      </w:tr>
      <w:tr w14:paraId="64136E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A0E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3D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BA9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D816">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9E0E81"/>
        </w:tc>
      </w:tr>
    </w:tbl>
    <w:p w14:paraId="6FBC01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72EF6A7">
        <w:tblPrEx>
          <w:tblCellMar>
            <w:top w:w="0" w:type="dxa"/>
            <w:left w:w="108" w:type="dxa"/>
            <w:bottom w:w="0" w:type="dxa"/>
            <w:right w:w="108" w:type="dxa"/>
          </w:tblCellMar>
        </w:tblPrEx>
        <w:tc>
          <w:tcPr>
            <w:tcW w:w="8848" w:type="dxa"/>
            <w:gridSpan w:val="14"/>
            <w:vAlign w:val="center"/>
          </w:tcPr>
          <w:p w14:paraId="7D986CD5">
            <w:pPr>
              <w:jc w:val="center"/>
            </w:pPr>
            <w:r>
              <w:rPr>
                <w:rFonts w:ascii="宋体" w:hAnsi="宋体" w:eastAsia="宋体"/>
                <w:sz w:val="24"/>
              </w:rPr>
              <w:t>项目支出绩效自评表</w:t>
            </w:r>
          </w:p>
        </w:tc>
      </w:tr>
      <w:tr w14:paraId="60331D28">
        <w:tblPrEx>
          <w:tblCellMar>
            <w:top w:w="0" w:type="dxa"/>
            <w:left w:w="108" w:type="dxa"/>
            <w:bottom w:w="0" w:type="dxa"/>
            <w:right w:w="108" w:type="dxa"/>
          </w:tblCellMar>
        </w:tblPrEx>
        <w:tc>
          <w:tcPr>
            <w:tcW w:w="8848" w:type="dxa"/>
            <w:gridSpan w:val="14"/>
            <w:vAlign w:val="center"/>
          </w:tcPr>
          <w:p w14:paraId="1ABD0360">
            <w:pPr>
              <w:jc w:val="center"/>
            </w:pPr>
            <w:r>
              <w:rPr>
                <w:rFonts w:ascii="宋体" w:hAnsi="宋体" w:eastAsia="宋体"/>
                <w:sz w:val="24"/>
              </w:rPr>
              <w:t>(2024年度)</w:t>
            </w:r>
          </w:p>
        </w:tc>
      </w:tr>
      <w:tr w14:paraId="161605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37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876D0E">
            <w:pPr>
              <w:jc w:val="center"/>
            </w:pPr>
            <w:r>
              <w:rPr>
                <w:rFonts w:ascii="宋体" w:hAnsi="宋体" w:eastAsia="宋体"/>
                <w:sz w:val="16"/>
              </w:rPr>
              <w:t>喀什地区国资委职工之家建设补助金项目</w:t>
            </w:r>
          </w:p>
        </w:tc>
      </w:tr>
      <w:tr w14:paraId="2986B8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4C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603266">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35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5949CD">
            <w:pPr>
              <w:jc w:val="center"/>
            </w:pPr>
            <w:r>
              <w:rPr>
                <w:rFonts w:ascii="宋体" w:hAnsi="宋体" w:eastAsia="宋体"/>
                <w:sz w:val="16"/>
              </w:rPr>
              <w:t>喀什地区国有资产监督管理委员会</w:t>
            </w:r>
          </w:p>
        </w:tc>
      </w:tr>
      <w:tr w14:paraId="73F685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37C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3B4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E0A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51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09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4A7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AA7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0A8D">
            <w:pPr>
              <w:jc w:val="center"/>
            </w:pPr>
            <w:r>
              <w:rPr>
                <w:rFonts w:ascii="宋体" w:hAnsi="宋体" w:eastAsia="宋体"/>
                <w:sz w:val="16"/>
              </w:rPr>
              <w:t>得分</w:t>
            </w:r>
          </w:p>
        </w:tc>
      </w:tr>
      <w:tr w14:paraId="3722C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B6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FC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D4CC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8BA7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5F7FE">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A51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86255">
            <w:pPr>
              <w:jc w:val="center"/>
            </w:pPr>
            <w:r>
              <w:rPr>
                <w:rFonts w:ascii="宋体" w:hAnsi="宋体" w:eastAsia="宋体"/>
                <w:sz w:val="16"/>
              </w:rPr>
              <w:t>93.0%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94CA">
            <w:pPr>
              <w:jc w:val="center"/>
            </w:pPr>
            <w:r>
              <w:rPr>
                <w:rFonts w:ascii="宋体" w:hAnsi="宋体" w:eastAsia="宋体"/>
                <w:sz w:val="16"/>
              </w:rPr>
              <w:t>10.00分</w:t>
            </w:r>
          </w:p>
        </w:tc>
      </w:tr>
      <w:tr w14:paraId="7767A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372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760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4E9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4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D73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A41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FB0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5A37">
            <w:pPr>
              <w:jc w:val="center"/>
            </w:pPr>
            <w:r>
              <w:rPr>
                <w:rFonts w:ascii="宋体" w:hAnsi="宋体" w:eastAsia="宋体"/>
                <w:sz w:val="16"/>
              </w:rPr>
              <w:t>—</w:t>
            </w:r>
          </w:p>
        </w:tc>
      </w:tr>
      <w:tr w14:paraId="56214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588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070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9AA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8754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1526">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CDC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D19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C23E">
            <w:pPr>
              <w:jc w:val="center"/>
            </w:pPr>
            <w:r>
              <w:rPr>
                <w:rFonts w:ascii="宋体" w:hAnsi="宋体" w:eastAsia="宋体"/>
                <w:sz w:val="16"/>
              </w:rPr>
              <w:t>—</w:t>
            </w:r>
          </w:p>
        </w:tc>
      </w:tr>
      <w:tr w14:paraId="67866F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2C7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FD2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E029F">
            <w:pPr>
              <w:jc w:val="center"/>
            </w:pPr>
            <w:r>
              <w:rPr>
                <w:rFonts w:ascii="宋体" w:hAnsi="宋体" w:eastAsia="宋体"/>
                <w:sz w:val="16"/>
              </w:rPr>
              <w:t>实际完成情况</w:t>
            </w:r>
          </w:p>
        </w:tc>
      </w:tr>
      <w:tr w14:paraId="31D09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3F5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85FD71">
            <w:pPr>
              <w:jc w:val="both"/>
            </w:pPr>
            <w:r>
              <w:rPr>
                <w:rFonts w:ascii="宋体" w:hAnsi="宋体" w:eastAsia="宋体"/>
                <w:sz w:val="16"/>
              </w:rPr>
              <w:t>主要用于职工之家建设环节中购置有关设施器材、公益物品及组织职工开展文体活动等。该项目实施能丰富职工活动阵地，更好</w:t>
            </w:r>
            <w:r>
              <w:rPr>
                <w:rFonts w:hint="eastAsia" w:ascii="宋体" w:hAnsi="宋体"/>
                <w:sz w:val="16"/>
                <w:lang w:eastAsia="zh-CN"/>
              </w:rPr>
              <w:t>地</w:t>
            </w:r>
            <w:r>
              <w:rPr>
                <w:rFonts w:ascii="宋体" w:hAnsi="宋体" w:eastAsia="宋体"/>
                <w:sz w:val="16"/>
              </w:rPr>
              <w:t>融入工会元素，发挥好工会组织的服务职能。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538E59">
            <w:pPr>
              <w:jc w:val="both"/>
            </w:pPr>
            <w:r>
              <w:rPr>
                <w:rFonts w:ascii="宋体" w:hAnsi="宋体" w:eastAsia="宋体"/>
                <w:sz w:val="16"/>
              </w:rPr>
              <w:t>该项目实施丰富了职工活动阵地，购买了健身器材17个；健身器材验收率合格率为100%；购买设备金额4.65万元；由于活动阵地不需要挂制度，因此印刷费未支出；项目于2024年5月28日完成。该活动室的建立融入了工会元素，发挥了工会组织的服务职能。</w:t>
            </w:r>
          </w:p>
        </w:tc>
      </w:tr>
      <w:tr w14:paraId="24EF9A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366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CB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3B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83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C7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39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3F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EC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0F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3C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E0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F5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56DC9">
            <w:pPr>
              <w:jc w:val="center"/>
            </w:pPr>
            <w:r>
              <w:rPr>
                <w:rFonts w:ascii="宋体" w:hAnsi="宋体" w:eastAsia="宋体"/>
                <w:sz w:val="16"/>
              </w:rPr>
              <w:t>偏差原因分析及改进措施</w:t>
            </w:r>
          </w:p>
        </w:tc>
      </w:tr>
      <w:tr w14:paraId="289F35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6D1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D6E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90D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F76B">
            <w:pPr>
              <w:jc w:val="center"/>
            </w:pPr>
            <w:r>
              <w:rPr>
                <w:rFonts w:ascii="宋体" w:hAnsi="宋体" w:eastAsia="宋体"/>
                <w:sz w:val="16"/>
              </w:rPr>
              <w:t>健身器材购买数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38E1">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D8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C3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4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82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CD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39BF">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F1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3E4E">
            <w:pPr>
              <w:jc w:val="center"/>
            </w:pPr>
            <w:r>
              <w:rPr>
                <w:rFonts w:ascii="宋体" w:hAnsi="宋体" w:eastAsia="宋体"/>
                <w:sz w:val="16"/>
              </w:rPr>
              <w:t>偏差原因：因年初未合理设置数量指标，导致实际完成比设定值过高，因此产生偏差。改进措施</w:t>
            </w:r>
            <w:r>
              <w:rPr>
                <w:rFonts w:hint="eastAsia" w:ascii="宋体" w:hAnsi="宋体"/>
                <w:sz w:val="16"/>
                <w:lang w:eastAsia="zh-CN"/>
              </w:rPr>
              <w:t>：</w:t>
            </w:r>
            <w:r>
              <w:rPr>
                <w:rFonts w:ascii="宋体" w:hAnsi="宋体" w:eastAsia="宋体"/>
                <w:sz w:val="16"/>
              </w:rPr>
              <w:t>下一年度合理设定指标。</w:t>
            </w:r>
          </w:p>
        </w:tc>
      </w:tr>
      <w:tr w14:paraId="33334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A2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FC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A8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83F4">
            <w:pPr>
              <w:jc w:val="center"/>
            </w:pPr>
            <w:r>
              <w:rPr>
                <w:rFonts w:ascii="宋体" w:hAnsi="宋体" w:eastAsia="宋体"/>
                <w:sz w:val="16"/>
              </w:rPr>
              <w:t>建设职工之家个数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01F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4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40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58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F6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18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DAF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D0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CF529">
            <w:pPr>
              <w:jc w:val="center"/>
            </w:pPr>
          </w:p>
        </w:tc>
      </w:tr>
      <w:tr w14:paraId="5D5D8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07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7C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37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A2DE">
            <w:pPr>
              <w:jc w:val="center"/>
            </w:pPr>
            <w:r>
              <w:rPr>
                <w:rFonts w:ascii="宋体" w:hAnsi="宋体" w:eastAsia="宋体"/>
                <w:sz w:val="16"/>
              </w:rPr>
              <w:t>健身器材验收合格率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37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7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32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AA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51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A3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55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4E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CC923">
            <w:pPr>
              <w:jc w:val="center"/>
            </w:pPr>
          </w:p>
        </w:tc>
      </w:tr>
      <w:tr w14:paraId="0158A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7F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98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CF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A3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52D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4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FD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C80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BA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38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F418">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CB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F13F4">
            <w:pPr>
              <w:jc w:val="center"/>
            </w:pPr>
          </w:p>
        </w:tc>
      </w:tr>
      <w:tr w14:paraId="18A03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E72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C1A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652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BF59">
            <w:pPr>
              <w:jc w:val="center"/>
            </w:pPr>
            <w:r>
              <w:rPr>
                <w:rFonts w:ascii="宋体" w:hAnsi="宋体" w:eastAsia="宋体"/>
                <w:sz w:val="16"/>
              </w:rPr>
              <w:t>购买设备金额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FC1F">
            <w:pPr>
              <w:jc w:val="center"/>
            </w:pPr>
            <w:r>
              <w:rPr>
                <w:rFonts w:ascii="宋体" w:hAnsi="宋体" w:eastAsia="宋体"/>
                <w:sz w:val="16"/>
              </w:rPr>
              <w:t>&lt;=4.65万元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E0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C5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CD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0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9B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2DBD">
            <w:pPr>
              <w:jc w:val="center"/>
            </w:pPr>
            <w:r>
              <w:rPr>
                <w:rFonts w:ascii="宋体" w:hAnsi="宋体" w:eastAsia="宋体"/>
                <w:sz w:val="16"/>
              </w:rPr>
              <w:t>=4.65万元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2B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21A4C">
            <w:pPr>
              <w:jc w:val="center"/>
            </w:pPr>
          </w:p>
        </w:tc>
      </w:tr>
      <w:tr w14:paraId="151F1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C40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6C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85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4389">
            <w:pPr>
              <w:jc w:val="center"/>
            </w:pPr>
            <w:r>
              <w:rPr>
                <w:rFonts w:ascii="宋体" w:hAnsi="宋体" w:eastAsia="宋体"/>
                <w:sz w:val="16"/>
              </w:rPr>
              <w:t>印刷制度费用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6AD4">
            <w:pPr>
              <w:jc w:val="center"/>
            </w:pPr>
            <w:r>
              <w:rPr>
                <w:rFonts w:ascii="宋体" w:hAnsi="宋体" w:eastAsia="宋体"/>
                <w:sz w:val="16"/>
              </w:rPr>
              <w:t>&lt;=0.35万元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AD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F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BD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83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70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49A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A1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540F">
            <w:pPr>
              <w:jc w:val="center"/>
            </w:pPr>
            <w:r>
              <w:rPr>
                <w:rFonts w:ascii="宋体" w:hAnsi="宋体" w:eastAsia="宋体"/>
                <w:sz w:val="16"/>
              </w:rPr>
              <w:t>偏差原因：因项目实施计划有变，印刷费未支出，因此产生偏差。改进措施：下一年度根据项目实际情况，合理制定指标，完成支出。</w:t>
            </w:r>
          </w:p>
        </w:tc>
      </w:tr>
      <w:tr w14:paraId="37B34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BC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1F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A9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380A">
            <w:pPr>
              <w:jc w:val="center"/>
            </w:pPr>
            <w:r>
              <w:rPr>
                <w:rFonts w:ascii="宋体" w:hAnsi="宋体" w:eastAsia="宋体"/>
                <w:sz w:val="16"/>
              </w:rPr>
              <w:t>丰富职工活动阵地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D45B">
            <w:pPr>
              <w:jc w:val="center"/>
            </w:pPr>
            <w:r>
              <w:rPr>
                <w:rFonts w:ascii="宋体" w:hAnsi="宋体" w:eastAsia="宋体"/>
                <w:sz w:val="16"/>
              </w:rPr>
              <w:t>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3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F1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48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AA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BC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A8FC">
            <w:pPr>
              <w:jc w:val="center"/>
            </w:pPr>
            <w:r>
              <w:rPr>
                <w:rFonts w:ascii="宋体" w:hAnsi="宋体" w:eastAsia="宋体"/>
                <w:sz w:val="16"/>
              </w:rPr>
              <w:t>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34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4C8F">
            <w:pPr>
              <w:jc w:val="center"/>
            </w:pPr>
          </w:p>
        </w:tc>
      </w:tr>
      <w:tr w14:paraId="75BE9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12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D0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F8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933E">
            <w:pPr>
              <w:jc w:val="center"/>
            </w:pPr>
            <w:r>
              <w:rPr>
                <w:rFonts w:ascii="宋体" w:hAnsi="宋体" w:eastAsia="宋体"/>
                <w:sz w:val="16"/>
              </w:rPr>
              <w:t>喀什地区国资委单位职工满意度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7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76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BB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9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A9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3B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8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F9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5CE8">
            <w:pPr>
              <w:jc w:val="center"/>
            </w:pPr>
          </w:p>
        </w:tc>
      </w:tr>
      <w:tr w14:paraId="1C31C1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304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FC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8CE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F701">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CB3812"/>
        </w:tc>
      </w:tr>
    </w:tbl>
    <w:p w14:paraId="2F814F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C4221B3">
        <w:tc>
          <w:tcPr>
            <w:tcW w:w="8848" w:type="dxa"/>
            <w:gridSpan w:val="14"/>
            <w:vAlign w:val="center"/>
          </w:tcPr>
          <w:p w14:paraId="1999462D">
            <w:pPr>
              <w:jc w:val="center"/>
            </w:pPr>
            <w:r>
              <w:rPr>
                <w:rFonts w:ascii="宋体" w:hAnsi="宋体" w:eastAsia="宋体"/>
                <w:sz w:val="24"/>
              </w:rPr>
              <w:t>项目支出绩效自评表</w:t>
            </w:r>
          </w:p>
        </w:tc>
      </w:tr>
      <w:tr w14:paraId="302C9A9D">
        <w:tblPrEx>
          <w:tblCellMar>
            <w:top w:w="0" w:type="dxa"/>
            <w:left w:w="108" w:type="dxa"/>
            <w:bottom w:w="0" w:type="dxa"/>
            <w:right w:w="108" w:type="dxa"/>
          </w:tblCellMar>
        </w:tblPrEx>
        <w:tc>
          <w:tcPr>
            <w:tcW w:w="8848" w:type="dxa"/>
            <w:gridSpan w:val="14"/>
            <w:vAlign w:val="center"/>
          </w:tcPr>
          <w:p w14:paraId="6F73F875">
            <w:pPr>
              <w:jc w:val="center"/>
            </w:pPr>
            <w:r>
              <w:rPr>
                <w:rFonts w:ascii="宋体" w:hAnsi="宋体" w:eastAsia="宋体"/>
                <w:sz w:val="24"/>
              </w:rPr>
              <w:t>(2024年度)</w:t>
            </w:r>
          </w:p>
        </w:tc>
      </w:tr>
      <w:tr w14:paraId="337987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5E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D18ED7">
            <w:pPr>
              <w:jc w:val="center"/>
            </w:pPr>
            <w:r>
              <w:rPr>
                <w:rFonts w:ascii="宋体" w:hAnsi="宋体" w:eastAsia="宋体"/>
                <w:sz w:val="16"/>
              </w:rPr>
              <w:t>喀什广建集团并购前退休人员2022年至2024年医疗费及冬季取暖费项目</w:t>
            </w:r>
          </w:p>
        </w:tc>
      </w:tr>
      <w:tr w14:paraId="45D89C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38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3FB6A">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CD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14829C">
            <w:pPr>
              <w:jc w:val="center"/>
            </w:pPr>
            <w:r>
              <w:rPr>
                <w:rFonts w:ascii="宋体" w:hAnsi="宋体" w:eastAsia="宋体"/>
                <w:sz w:val="16"/>
              </w:rPr>
              <w:t>喀什地区国有资产监督管理委员会</w:t>
            </w:r>
          </w:p>
        </w:tc>
      </w:tr>
      <w:tr w14:paraId="6F4773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397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C86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745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2BF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9F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9DC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D2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1C9E">
            <w:pPr>
              <w:jc w:val="center"/>
            </w:pPr>
            <w:r>
              <w:rPr>
                <w:rFonts w:ascii="宋体" w:hAnsi="宋体" w:eastAsia="宋体"/>
                <w:sz w:val="16"/>
              </w:rPr>
              <w:t>得分</w:t>
            </w:r>
          </w:p>
        </w:tc>
      </w:tr>
      <w:tr w14:paraId="38DD5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3D1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E30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69B4">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1B745">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155DC">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9F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1F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69FD">
            <w:pPr>
              <w:jc w:val="center"/>
            </w:pPr>
            <w:r>
              <w:rPr>
                <w:rFonts w:ascii="宋体" w:hAnsi="宋体" w:eastAsia="宋体"/>
                <w:sz w:val="16"/>
              </w:rPr>
              <w:t>10.00分</w:t>
            </w:r>
          </w:p>
        </w:tc>
      </w:tr>
      <w:tr w14:paraId="52137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28A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22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EE18">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66406">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0D5D1">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0F3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CB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FC24">
            <w:pPr>
              <w:jc w:val="center"/>
            </w:pPr>
            <w:r>
              <w:rPr>
                <w:rFonts w:ascii="宋体" w:hAnsi="宋体" w:eastAsia="宋体"/>
                <w:sz w:val="16"/>
              </w:rPr>
              <w:t>—</w:t>
            </w:r>
          </w:p>
        </w:tc>
      </w:tr>
      <w:tr w14:paraId="7F1CC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076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CB2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B8C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2E0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E3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86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FEF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EBB9">
            <w:pPr>
              <w:jc w:val="center"/>
            </w:pPr>
            <w:r>
              <w:rPr>
                <w:rFonts w:ascii="宋体" w:hAnsi="宋体" w:eastAsia="宋体"/>
                <w:sz w:val="16"/>
              </w:rPr>
              <w:t>—</w:t>
            </w:r>
          </w:p>
        </w:tc>
      </w:tr>
      <w:tr w14:paraId="26F1B3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2AF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BF9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449473">
            <w:pPr>
              <w:jc w:val="center"/>
            </w:pPr>
            <w:r>
              <w:rPr>
                <w:rFonts w:ascii="宋体" w:hAnsi="宋体" w:eastAsia="宋体"/>
                <w:sz w:val="16"/>
              </w:rPr>
              <w:t>实际完成情况</w:t>
            </w:r>
          </w:p>
        </w:tc>
      </w:tr>
      <w:tr w14:paraId="69CD6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DB3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CF871">
            <w:pPr>
              <w:jc w:val="both"/>
            </w:pPr>
            <w:r>
              <w:rPr>
                <w:rFonts w:ascii="宋体" w:hAnsi="宋体" w:eastAsia="宋体"/>
                <w:sz w:val="16"/>
              </w:rPr>
              <w:t>该项目主要为喀什广建2022年度离、退休人员费用。2010年改制后至2020年7月广州市建筑集团并购前累计办理退休21人。通过实施该项目进一步保障自治区区属破产改制企业离退休职工的生活，保障社会大局。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C36E83">
            <w:pPr>
              <w:jc w:val="both"/>
            </w:pPr>
            <w:r>
              <w:rPr>
                <w:rFonts w:ascii="宋体" w:hAnsi="宋体" w:eastAsia="宋体"/>
                <w:sz w:val="16"/>
              </w:rPr>
              <w:t>该项目主要为喀什广建2022年度离、退休人员费用，退休共计21人，其中，支付医疗费用5.46万元，支付冬季取暖费5.54万元。通过实施该项目保障了离退休职工的生活，提升了职工幸福感。</w:t>
            </w:r>
          </w:p>
        </w:tc>
      </w:tr>
      <w:tr w14:paraId="1427F0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77A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27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DA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11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1B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18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8E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EC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16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88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87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B9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148D">
            <w:pPr>
              <w:jc w:val="center"/>
            </w:pPr>
            <w:r>
              <w:rPr>
                <w:rFonts w:ascii="宋体" w:hAnsi="宋体" w:eastAsia="宋体"/>
                <w:sz w:val="16"/>
              </w:rPr>
              <w:t>偏差原因分析及改进措施</w:t>
            </w:r>
          </w:p>
        </w:tc>
      </w:tr>
      <w:tr w14:paraId="12411C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CF7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497B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62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C1FC">
            <w:pPr>
              <w:jc w:val="center"/>
            </w:pPr>
            <w:r>
              <w:rPr>
                <w:rFonts w:ascii="宋体" w:hAnsi="宋体" w:eastAsia="宋体"/>
                <w:sz w:val="16"/>
              </w:rPr>
              <w:t>保障离、退休人员数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C858">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B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56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22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BA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8B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D855">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FB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917B6">
            <w:pPr>
              <w:jc w:val="center"/>
            </w:pPr>
          </w:p>
        </w:tc>
      </w:tr>
      <w:tr w14:paraId="387DF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AB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57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80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44E9">
            <w:pPr>
              <w:jc w:val="center"/>
            </w:pPr>
            <w:r>
              <w:rPr>
                <w:rFonts w:ascii="宋体" w:hAnsi="宋体" w:eastAsia="宋体"/>
                <w:sz w:val="16"/>
              </w:rPr>
              <w:t>喀什广建离、退休人员医保参保率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00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8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0E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79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61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13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A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BC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3AF8B">
            <w:pPr>
              <w:jc w:val="center"/>
            </w:pPr>
          </w:p>
        </w:tc>
      </w:tr>
      <w:tr w14:paraId="39A6E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348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10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D8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93F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B4F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5D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0A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D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2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41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C1A6">
            <w:pPr>
              <w:jc w:val="center"/>
            </w:pPr>
            <w:r>
              <w:rPr>
                <w:rFonts w:ascii="宋体" w:hAnsi="宋体" w:eastAsia="宋体"/>
                <w:sz w:val="16"/>
              </w:rPr>
              <w:t>2024年9月16日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33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FEFF">
            <w:pPr>
              <w:jc w:val="center"/>
            </w:pPr>
          </w:p>
        </w:tc>
      </w:tr>
      <w:tr w14:paraId="394BB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47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D46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210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49BF">
            <w:pPr>
              <w:jc w:val="center"/>
            </w:pPr>
            <w:r>
              <w:rPr>
                <w:rFonts w:ascii="宋体" w:hAnsi="宋体" w:eastAsia="宋体"/>
                <w:sz w:val="16"/>
              </w:rPr>
              <w:t>财政年度补助喀什广建医疗费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0E4E">
            <w:pPr>
              <w:jc w:val="center"/>
            </w:pPr>
            <w:r>
              <w:rPr>
                <w:rFonts w:ascii="宋体" w:hAnsi="宋体" w:eastAsia="宋体"/>
                <w:sz w:val="16"/>
              </w:rPr>
              <w:t>&lt;=5.46万元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78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4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B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ED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EE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3C16">
            <w:pPr>
              <w:jc w:val="center"/>
            </w:pPr>
            <w:r>
              <w:rPr>
                <w:rFonts w:ascii="宋体" w:hAnsi="宋体" w:eastAsia="宋体"/>
                <w:sz w:val="16"/>
              </w:rPr>
              <w:t>=5.46万元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50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13B2F">
            <w:pPr>
              <w:jc w:val="center"/>
            </w:pPr>
          </w:p>
        </w:tc>
      </w:tr>
      <w:tr w14:paraId="0F3FE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55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C1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E6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4EE1">
            <w:pPr>
              <w:jc w:val="center"/>
            </w:pPr>
            <w:r>
              <w:rPr>
                <w:rFonts w:ascii="宋体" w:hAnsi="宋体" w:eastAsia="宋体"/>
                <w:sz w:val="16"/>
              </w:rPr>
              <w:t>财政年度补助喀什广建冬季取暖费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41B1">
            <w:pPr>
              <w:jc w:val="center"/>
            </w:pPr>
            <w:r>
              <w:rPr>
                <w:rFonts w:ascii="宋体" w:hAnsi="宋体" w:eastAsia="宋体"/>
                <w:sz w:val="16"/>
              </w:rPr>
              <w:t>&lt;=5.54万元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04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F6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B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8D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6A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F581">
            <w:pPr>
              <w:jc w:val="center"/>
            </w:pPr>
            <w:r>
              <w:rPr>
                <w:rFonts w:ascii="宋体" w:hAnsi="宋体" w:eastAsia="宋体"/>
                <w:sz w:val="16"/>
              </w:rPr>
              <w:t>=5.54万元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D9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82883">
            <w:pPr>
              <w:jc w:val="center"/>
            </w:pPr>
          </w:p>
        </w:tc>
      </w:tr>
      <w:tr w14:paraId="66FAF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84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92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CF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01FC">
            <w:pPr>
              <w:jc w:val="center"/>
            </w:pPr>
            <w:r>
              <w:rPr>
                <w:rFonts w:ascii="宋体" w:hAnsi="宋体" w:eastAsia="宋体"/>
                <w:sz w:val="16"/>
              </w:rPr>
              <w:t>改善喀什广建离、退休人员生活质量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BC1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0C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26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5B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C0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DA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687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6C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5ED88">
            <w:pPr>
              <w:jc w:val="center"/>
            </w:pPr>
          </w:p>
        </w:tc>
      </w:tr>
      <w:tr w14:paraId="4A397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ED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B8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6E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EBAF">
            <w:pPr>
              <w:jc w:val="center"/>
            </w:pPr>
            <w:r>
              <w:rPr>
                <w:rFonts w:ascii="宋体" w:hAnsi="宋体" w:eastAsia="宋体"/>
                <w:sz w:val="16"/>
              </w:rPr>
              <w:t>离、退休人员满意度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6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A3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57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C2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34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D6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DF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AB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73B97">
            <w:pPr>
              <w:jc w:val="center"/>
            </w:pPr>
          </w:p>
        </w:tc>
      </w:tr>
      <w:tr w14:paraId="2A8671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BA61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4B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2A4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A2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E10FAD"/>
        </w:tc>
      </w:tr>
    </w:tbl>
    <w:p w14:paraId="71ECE8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708"/>
        <w:gridCol w:w="556"/>
        <w:gridCol w:w="632"/>
        <w:gridCol w:w="632"/>
        <w:gridCol w:w="632"/>
        <w:gridCol w:w="696"/>
        <w:gridCol w:w="632"/>
        <w:gridCol w:w="632"/>
        <w:gridCol w:w="632"/>
      </w:tblGrid>
      <w:tr w14:paraId="6277FFCB">
        <w:tc>
          <w:tcPr>
            <w:tcW w:w="9056" w:type="dxa"/>
            <w:gridSpan w:val="14"/>
            <w:vAlign w:val="center"/>
          </w:tcPr>
          <w:p w14:paraId="338CE43C">
            <w:pPr>
              <w:jc w:val="center"/>
            </w:pPr>
            <w:r>
              <w:rPr>
                <w:rFonts w:ascii="宋体" w:hAnsi="宋体" w:eastAsia="宋体"/>
                <w:sz w:val="24"/>
              </w:rPr>
              <w:t>项目支出绩效自评表</w:t>
            </w:r>
          </w:p>
        </w:tc>
      </w:tr>
      <w:tr w14:paraId="760B5E48">
        <w:tblPrEx>
          <w:tblCellMar>
            <w:top w:w="0" w:type="dxa"/>
            <w:left w:w="108" w:type="dxa"/>
            <w:bottom w:w="0" w:type="dxa"/>
            <w:right w:w="108" w:type="dxa"/>
          </w:tblCellMar>
        </w:tblPrEx>
        <w:tc>
          <w:tcPr>
            <w:tcW w:w="9056" w:type="dxa"/>
            <w:gridSpan w:val="14"/>
            <w:vAlign w:val="center"/>
          </w:tcPr>
          <w:p w14:paraId="041F92AC">
            <w:pPr>
              <w:jc w:val="center"/>
            </w:pPr>
            <w:r>
              <w:rPr>
                <w:rFonts w:ascii="宋体" w:hAnsi="宋体" w:eastAsia="宋体"/>
                <w:sz w:val="24"/>
              </w:rPr>
              <w:t>(2024年度)</w:t>
            </w:r>
          </w:p>
        </w:tc>
      </w:tr>
      <w:tr w14:paraId="6CB7C8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44E2">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216978">
            <w:pPr>
              <w:jc w:val="center"/>
            </w:pPr>
            <w:r>
              <w:rPr>
                <w:rFonts w:ascii="宋体" w:hAnsi="宋体" w:eastAsia="宋体"/>
                <w:sz w:val="16"/>
              </w:rPr>
              <w:t>喀什文化旅游投资（集团）有限责任公司注册资本金项目</w:t>
            </w:r>
          </w:p>
        </w:tc>
      </w:tr>
      <w:tr w14:paraId="6C0B58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BF60">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ABFC8">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2228">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768D65">
            <w:pPr>
              <w:jc w:val="center"/>
            </w:pPr>
            <w:r>
              <w:rPr>
                <w:rFonts w:ascii="宋体" w:hAnsi="宋体" w:eastAsia="宋体"/>
                <w:sz w:val="16"/>
              </w:rPr>
              <w:t>喀什地区国有资产监督管理委员会</w:t>
            </w:r>
          </w:p>
        </w:tc>
      </w:tr>
      <w:tr w14:paraId="29D504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638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AC037">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8A3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DB3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C9B75">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8AE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C98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698E">
            <w:pPr>
              <w:jc w:val="center"/>
            </w:pPr>
            <w:r>
              <w:rPr>
                <w:rFonts w:ascii="宋体" w:hAnsi="宋体" w:eastAsia="宋体"/>
                <w:sz w:val="16"/>
              </w:rPr>
              <w:t>得分</w:t>
            </w:r>
          </w:p>
        </w:tc>
      </w:tr>
      <w:tr w14:paraId="6BA1D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ADF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2090D">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D84C">
            <w:pPr>
              <w:jc w:val="center"/>
            </w:pPr>
            <w:r>
              <w:rPr>
                <w:rFonts w:ascii="宋体" w:hAnsi="宋体" w:eastAsia="宋体"/>
                <w:sz w:val="16"/>
              </w:rPr>
              <w:t>415.94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20441">
            <w:pPr>
              <w:jc w:val="center"/>
            </w:pPr>
            <w:r>
              <w:rPr>
                <w:rFonts w:ascii="宋体" w:hAnsi="宋体" w:eastAsia="宋体"/>
                <w:sz w:val="16"/>
              </w:rPr>
              <w:t>415.94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C03F3">
            <w:pPr>
              <w:jc w:val="center"/>
            </w:pPr>
            <w:r>
              <w:rPr>
                <w:rFonts w:ascii="宋体" w:hAnsi="宋体" w:eastAsia="宋体"/>
                <w:sz w:val="16"/>
              </w:rPr>
              <w:t>415.94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090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A461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546D">
            <w:pPr>
              <w:jc w:val="center"/>
            </w:pPr>
            <w:r>
              <w:rPr>
                <w:rFonts w:ascii="宋体" w:hAnsi="宋体" w:eastAsia="宋体"/>
                <w:sz w:val="16"/>
              </w:rPr>
              <w:t>10.00分</w:t>
            </w:r>
          </w:p>
        </w:tc>
      </w:tr>
      <w:tr w14:paraId="24B15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7B5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106B5">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33C5">
            <w:pPr>
              <w:jc w:val="center"/>
            </w:pPr>
            <w:r>
              <w:rPr>
                <w:rFonts w:ascii="宋体" w:hAnsi="宋体" w:eastAsia="宋体"/>
                <w:sz w:val="16"/>
              </w:rPr>
              <w:t>415.94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39AD1">
            <w:pPr>
              <w:jc w:val="center"/>
            </w:pPr>
            <w:r>
              <w:rPr>
                <w:rFonts w:ascii="宋体" w:hAnsi="宋体" w:eastAsia="宋体"/>
                <w:sz w:val="16"/>
              </w:rPr>
              <w:t>415.94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8F436">
            <w:pPr>
              <w:jc w:val="center"/>
            </w:pPr>
            <w:r>
              <w:rPr>
                <w:rFonts w:ascii="宋体" w:hAnsi="宋体" w:eastAsia="宋体"/>
                <w:sz w:val="16"/>
              </w:rPr>
              <w:t>415.94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195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EE4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B50C">
            <w:pPr>
              <w:jc w:val="center"/>
            </w:pPr>
            <w:r>
              <w:rPr>
                <w:rFonts w:ascii="宋体" w:hAnsi="宋体" w:eastAsia="宋体"/>
                <w:sz w:val="16"/>
              </w:rPr>
              <w:t>—</w:t>
            </w:r>
          </w:p>
        </w:tc>
      </w:tr>
      <w:tr w14:paraId="230D3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3AE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E6F1">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791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4BD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DBE8">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861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B87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FA55">
            <w:pPr>
              <w:jc w:val="center"/>
            </w:pPr>
            <w:r>
              <w:rPr>
                <w:rFonts w:ascii="宋体" w:hAnsi="宋体" w:eastAsia="宋体"/>
                <w:sz w:val="16"/>
              </w:rPr>
              <w:t>—</w:t>
            </w:r>
          </w:p>
        </w:tc>
      </w:tr>
      <w:tr w14:paraId="326F3E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5924A">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5EE26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5E245">
            <w:pPr>
              <w:jc w:val="center"/>
            </w:pPr>
            <w:r>
              <w:rPr>
                <w:rFonts w:ascii="宋体" w:hAnsi="宋体" w:eastAsia="宋体"/>
                <w:sz w:val="16"/>
              </w:rPr>
              <w:t>实际完成情况</w:t>
            </w:r>
          </w:p>
        </w:tc>
      </w:tr>
      <w:tr w14:paraId="0AA5E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D9A39"/>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E4FB0">
            <w:pPr>
              <w:jc w:val="both"/>
            </w:pPr>
            <w:r>
              <w:rPr>
                <w:rFonts w:ascii="宋体" w:hAnsi="宋体" w:eastAsia="宋体"/>
                <w:sz w:val="16"/>
              </w:rPr>
              <w:t>喀什地区文化旅游产业孵化中心建设土地的购置，宗地面积为13262平方米，2024年计划缴纳土地出让金415.94万元，有效增加文旅投集团资产体量，更有效地参与喀什地区文旅产业全链条开发建设。</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15200B">
            <w:pPr>
              <w:jc w:val="both"/>
            </w:pPr>
            <w:r>
              <w:rPr>
                <w:rFonts w:hint="eastAsia" w:ascii="宋体" w:hAnsi="宋体"/>
                <w:sz w:val="16"/>
                <w:lang w:eastAsia="zh-CN"/>
              </w:rPr>
              <w:t>截至</w:t>
            </w:r>
            <w:r>
              <w:rPr>
                <w:rFonts w:ascii="宋体" w:hAnsi="宋体" w:eastAsia="宋体"/>
                <w:sz w:val="16"/>
              </w:rPr>
              <w:t>2024年底，注册资本金到位资金5000万元，并按照计划2024年实际支出415.94万元，完成喀什地区文化旅游产业孵化中心建设项目前期土地购置手续费用，签订出让合同，宗地面积共计为13262平方米，2024年缴纳出让合同价20%的土地出让金398万元及土地交易服务费17.94万元，共计415.94万元。项目的实施有效增加文旅投集团资产体量，更有效地参与喀什地区文旅产业全链条开发建设。</w:t>
            </w:r>
          </w:p>
        </w:tc>
      </w:tr>
      <w:tr w14:paraId="01E8D1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237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54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75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4FB1">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E8746A">
            <w:pPr>
              <w:jc w:val="center"/>
            </w:pPr>
            <w:r>
              <w:rPr>
                <w:rFonts w:ascii="宋体" w:hAnsi="宋体" w:eastAsia="宋体"/>
                <w:sz w:val="16"/>
              </w:rPr>
              <w:t>年度指标值</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6674D31D">
            <w:pPr>
              <w:jc w:val="center"/>
            </w:pPr>
            <w:r>
              <w:rPr>
                <w:rFonts w:ascii="宋体" w:hAnsi="宋体" w:eastAsia="宋体"/>
                <w:sz w:val="16"/>
              </w:rPr>
              <w:t>指标值设定依据</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217830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7A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F7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E272">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BBEB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5A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6F840">
            <w:pPr>
              <w:jc w:val="center"/>
            </w:pPr>
            <w:r>
              <w:rPr>
                <w:rFonts w:ascii="宋体" w:hAnsi="宋体" w:eastAsia="宋体"/>
                <w:sz w:val="16"/>
              </w:rPr>
              <w:t>偏差原因分析及改进措施</w:t>
            </w:r>
          </w:p>
        </w:tc>
      </w:tr>
      <w:tr w14:paraId="6AE806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0F5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3030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CAC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47FA">
            <w:pPr>
              <w:jc w:val="center"/>
            </w:pPr>
            <w:r>
              <w:rPr>
                <w:rFonts w:ascii="宋体" w:hAnsi="宋体" w:eastAsia="宋体"/>
                <w:sz w:val="16"/>
              </w:rPr>
              <w:t>缴纳土地出让金面积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81819F">
            <w:pPr>
              <w:jc w:val="center"/>
            </w:pPr>
            <w:r>
              <w:rPr>
                <w:rFonts w:ascii="宋体" w:hAnsi="宋体" w:eastAsia="宋体"/>
                <w:sz w:val="16"/>
              </w:rPr>
              <w:t>&gt;=13262平方米</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06D5BF64">
            <w:pPr>
              <w:jc w:val="center"/>
            </w:pPr>
            <w:r>
              <w:rPr>
                <w:rFonts w:ascii="宋体" w:hAnsi="宋体" w:eastAsia="宋体"/>
                <w:sz w:val="16"/>
              </w:rPr>
              <w:t>计划标准</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2C2A50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FE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3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B23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7F496D">
            <w:pPr>
              <w:jc w:val="center"/>
            </w:pPr>
            <w:r>
              <w:rPr>
                <w:rFonts w:ascii="宋体" w:hAnsi="宋体" w:eastAsia="宋体"/>
                <w:sz w:val="16"/>
              </w:rPr>
              <w:t>=13262平方米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BC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579A">
            <w:pPr>
              <w:jc w:val="center"/>
            </w:pPr>
          </w:p>
        </w:tc>
      </w:tr>
      <w:tr w14:paraId="2F503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D1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E1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A4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B7C7">
            <w:pPr>
              <w:jc w:val="center"/>
            </w:pPr>
            <w:r>
              <w:rPr>
                <w:rFonts w:ascii="宋体" w:hAnsi="宋体" w:eastAsia="宋体"/>
                <w:sz w:val="16"/>
              </w:rPr>
              <w:t>缴纳土地交易费次数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B0CC7D">
            <w:pPr>
              <w:jc w:val="center"/>
            </w:pPr>
            <w:r>
              <w:rPr>
                <w:rFonts w:ascii="宋体" w:hAnsi="宋体" w:eastAsia="宋体"/>
                <w:sz w:val="16"/>
              </w:rPr>
              <w:t>=1次</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747B92AF">
            <w:pPr>
              <w:jc w:val="center"/>
            </w:pPr>
            <w:r>
              <w:rPr>
                <w:rFonts w:ascii="宋体" w:hAnsi="宋体" w:eastAsia="宋体"/>
                <w:sz w:val="16"/>
              </w:rPr>
              <w:t>计划标准</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20E0AF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54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8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4EE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97DEF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B0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F954E">
            <w:pPr>
              <w:jc w:val="center"/>
            </w:pPr>
          </w:p>
        </w:tc>
      </w:tr>
      <w:tr w14:paraId="6B420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E6D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D1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8B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1947">
            <w:pPr>
              <w:jc w:val="center"/>
            </w:pPr>
            <w:r>
              <w:rPr>
                <w:rFonts w:ascii="宋体" w:hAnsi="宋体" w:eastAsia="宋体"/>
                <w:sz w:val="16"/>
              </w:rPr>
              <w:t>土地出让金缴纳率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F8FF34B">
            <w:pPr>
              <w:jc w:val="center"/>
            </w:pPr>
            <w:r>
              <w:rPr>
                <w:rFonts w:ascii="宋体" w:hAnsi="宋体" w:eastAsia="宋体"/>
                <w:sz w:val="16"/>
              </w:rPr>
              <w:t>=20</w:t>
            </w:r>
            <w:r>
              <w:rPr>
                <w:rFonts w:hint="eastAsia" w:ascii="宋体" w:hAnsi="宋体"/>
                <w:sz w:val="16"/>
                <w:lang w:eastAsia="zh-CN"/>
              </w:rPr>
              <w:t>%</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05022605">
            <w:pPr>
              <w:jc w:val="center"/>
            </w:pPr>
            <w:r>
              <w:rPr>
                <w:rFonts w:ascii="宋体" w:hAnsi="宋体" w:eastAsia="宋体"/>
                <w:sz w:val="16"/>
              </w:rPr>
              <w:t>计划标准</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2D73F0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83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04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4BD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322C8D">
            <w:pPr>
              <w:jc w:val="center"/>
            </w:pPr>
            <w:r>
              <w:rPr>
                <w:rFonts w:ascii="宋体" w:hAnsi="宋体" w:eastAsia="宋体"/>
                <w:sz w:val="16"/>
              </w:rPr>
              <w:t>=20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89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88B0">
            <w:pPr>
              <w:jc w:val="center"/>
            </w:pPr>
          </w:p>
        </w:tc>
      </w:tr>
      <w:tr w14:paraId="1A1B0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29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A0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A0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5FB2">
            <w:pPr>
              <w:jc w:val="center"/>
            </w:pPr>
            <w:r>
              <w:rPr>
                <w:rFonts w:ascii="宋体" w:hAnsi="宋体" w:eastAsia="宋体"/>
                <w:sz w:val="16"/>
              </w:rPr>
              <w:t>土地出让金缴纳时间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D5789C">
            <w:pPr>
              <w:jc w:val="center"/>
            </w:pPr>
            <w:r>
              <w:rPr>
                <w:rFonts w:ascii="宋体" w:hAnsi="宋体" w:eastAsia="宋体"/>
                <w:sz w:val="16"/>
              </w:rPr>
              <w:t>=2024年12月20日前</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2B4DAEF5">
            <w:pPr>
              <w:jc w:val="center"/>
            </w:pPr>
            <w:r>
              <w:rPr>
                <w:rFonts w:ascii="宋体" w:hAnsi="宋体" w:eastAsia="宋体"/>
                <w:sz w:val="16"/>
              </w:rPr>
              <w:t>计划标准</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75292B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3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E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DB3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CB3B51">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97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C663F">
            <w:pPr>
              <w:jc w:val="center"/>
            </w:pPr>
          </w:p>
        </w:tc>
      </w:tr>
      <w:tr w14:paraId="45DDF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B5C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F412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B0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4CBD">
            <w:pPr>
              <w:jc w:val="center"/>
            </w:pPr>
            <w:r>
              <w:rPr>
                <w:rFonts w:ascii="宋体" w:hAnsi="宋体" w:eastAsia="宋体"/>
                <w:sz w:val="16"/>
              </w:rPr>
              <w:t>2024年孵化中心项目土地购置前期成本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6D983B">
            <w:pPr>
              <w:jc w:val="center"/>
            </w:pPr>
            <w:r>
              <w:rPr>
                <w:rFonts w:ascii="宋体" w:hAnsi="宋体" w:eastAsia="宋体"/>
                <w:sz w:val="16"/>
              </w:rPr>
              <w:t>&lt;=398万元</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5DF6E2EB">
            <w:pPr>
              <w:jc w:val="center"/>
            </w:pPr>
            <w:r>
              <w:rPr>
                <w:rFonts w:ascii="宋体" w:hAnsi="宋体" w:eastAsia="宋体"/>
                <w:sz w:val="16"/>
              </w:rPr>
              <w:t>计划标准</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0138DC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4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A0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EFC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6B230D">
            <w:pPr>
              <w:jc w:val="center"/>
            </w:pPr>
            <w:r>
              <w:rPr>
                <w:rFonts w:ascii="宋体" w:hAnsi="宋体" w:eastAsia="宋体"/>
                <w:sz w:val="16"/>
              </w:rPr>
              <w:t>=398万元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E5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127FB">
            <w:pPr>
              <w:jc w:val="center"/>
            </w:pPr>
          </w:p>
        </w:tc>
      </w:tr>
      <w:tr w14:paraId="31F76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5F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A97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6626">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75A1">
            <w:pPr>
              <w:jc w:val="center"/>
            </w:pPr>
            <w:r>
              <w:rPr>
                <w:rFonts w:ascii="宋体" w:hAnsi="宋体" w:eastAsia="宋体"/>
                <w:sz w:val="16"/>
              </w:rPr>
              <w:t>2024年土地购置交易服务成本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9C4DC5">
            <w:pPr>
              <w:jc w:val="center"/>
            </w:pPr>
            <w:r>
              <w:rPr>
                <w:rFonts w:ascii="宋体" w:hAnsi="宋体" w:eastAsia="宋体"/>
                <w:sz w:val="16"/>
              </w:rPr>
              <w:t>&lt;=17.94万元</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5597494D">
            <w:pPr>
              <w:jc w:val="center"/>
            </w:pPr>
            <w:r>
              <w:rPr>
                <w:rFonts w:ascii="宋体" w:hAnsi="宋体" w:eastAsia="宋体"/>
                <w:sz w:val="16"/>
              </w:rPr>
              <w:t>计划标准</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4C4FCB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3B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1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EDA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0AE768">
            <w:pPr>
              <w:jc w:val="center"/>
            </w:pPr>
            <w:r>
              <w:rPr>
                <w:rFonts w:ascii="宋体" w:hAnsi="宋体" w:eastAsia="宋体"/>
                <w:sz w:val="16"/>
              </w:rPr>
              <w:t>=17.94万元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C0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4D777">
            <w:pPr>
              <w:jc w:val="center"/>
            </w:pPr>
          </w:p>
        </w:tc>
      </w:tr>
      <w:tr w14:paraId="14FCE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C5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45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59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9B52">
            <w:pPr>
              <w:jc w:val="center"/>
            </w:pPr>
            <w:r>
              <w:rPr>
                <w:rFonts w:ascii="宋体" w:hAnsi="宋体" w:eastAsia="宋体"/>
                <w:sz w:val="16"/>
              </w:rPr>
              <w:t>有效增加文旅投集团资产体量，更有效地参与喀什地区文旅产业全链条开发建设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A5E710">
            <w:pPr>
              <w:jc w:val="center"/>
            </w:pPr>
            <w:r>
              <w:rPr>
                <w:rFonts w:ascii="宋体" w:hAnsi="宋体" w:eastAsia="宋体"/>
                <w:sz w:val="16"/>
              </w:rPr>
              <w:t>推动</w:t>
            </w:r>
          </w:p>
        </w:tc>
        <w:tc>
          <w:tcPr>
            <w:tcW w:w="708" w:type="dxa"/>
            <w:tcBorders>
              <w:top w:val="single" w:color="auto" w:sz="10" w:space="0"/>
              <w:left w:val="single" w:color="auto" w:sz="10" w:space="0"/>
              <w:bottom w:val="single" w:color="auto" w:sz="10" w:space="0"/>
              <w:right w:val="single" w:color="auto" w:sz="10" w:space="0"/>
              <w:insideV w:val="single" w:sz="10" w:space="0"/>
            </w:tcBorders>
            <w:vAlign w:val="center"/>
          </w:tcPr>
          <w:p w14:paraId="5C3CAEEF">
            <w:pPr>
              <w:jc w:val="center"/>
            </w:pPr>
            <w:r>
              <w:rPr>
                <w:rFonts w:ascii="宋体" w:hAnsi="宋体" w:eastAsia="宋体"/>
                <w:sz w:val="16"/>
              </w:rPr>
              <w:t>计划标准</w:t>
            </w:r>
          </w:p>
        </w:tc>
        <w:tc>
          <w:tcPr>
            <w:tcW w:w="556" w:type="dxa"/>
            <w:tcBorders>
              <w:top w:val="single" w:color="auto" w:sz="10" w:space="0"/>
              <w:left w:val="single" w:color="auto" w:sz="10" w:space="0"/>
              <w:bottom w:val="single" w:color="auto" w:sz="10" w:space="0"/>
              <w:right w:val="single" w:color="auto" w:sz="10" w:space="0"/>
              <w:insideV w:val="single" w:sz="10" w:space="0"/>
            </w:tcBorders>
            <w:vAlign w:val="center"/>
          </w:tcPr>
          <w:p w14:paraId="5D54F4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68E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EC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D93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3CF87A">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B01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FEBF">
            <w:pPr>
              <w:jc w:val="center"/>
            </w:pPr>
          </w:p>
        </w:tc>
      </w:tr>
      <w:tr w14:paraId="663647B6">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55F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2EB5">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8AA3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D01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A680A8"/>
        </w:tc>
      </w:tr>
    </w:tbl>
    <w:p w14:paraId="609A2E8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2"/>
        <w:gridCol w:w="615"/>
        <w:gridCol w:w="632"/>
      </w:tblGrid>
      <w:tr w14:paraId="799B40A7">
        <w:tblPrEx>
          <w:tblCellMar>
            <w:top w:w="0" w:type="dxa"/>
            <w:left w:w="108" w:type="dxa"/>
            <w:bottom w:w="0" w:type="dxa"/>
            <w:right w:w="108" w:type="dxa"/>
          </w:tblCellMar>
        </w:tblPrEx>
        <w:tc>
          <w:tcPr>
            <w:tcW w:w="8848" w:type="dxa"/>
            <w:gridSpan w:val="14"/>
            <w:vAlign w:val="center"/>
          </w:tcPr>
          <w:p w14:paraId="509F964F">
            <w:pPr>
              <w:jc w:val="center"/>
            </w:pPr>
            <w:r>
              <w:rPr>
                <w:rFonts w:ascii="宋体" w:hAnsi="宋体" w:eastAsia="宋体"/>
                <w:sz w:val="24"/>
              </w:rPr>
              <w:t>项目支出绩效自评表</w:t>
            </w:r>
          </w:p>
        </w:tc>
      </w:tr>
      <w:tr w14:paraId="6EA50235">
        <w:tblPrEx>
          <w:tblCellMar>
            <w:top w:w="0" w:type="dxa"/>
            <w:left w:w="108" w:type="dxa"/>
            <w:bottom w:w="0" w:type="dxa"/>
            <w:right w:w="108" w:type="dxa"/>
          </w:tblCellMar>
        </w:tblPrEx>
        <w:tc>
          <w:tcPr>
            <w:tcW w:w="8848" w:type="dxa"/>
            <w:gridSpan w:val="14"/>
            <w:vAlign w:val="center"/>
          </w:tcPr>
          <w:p w14:paraId="0F7578B3">
            <w:pPr>
              <w:jc w:val="center"/>
            </w:pPr>
            <w:r>
              <w:rPr>
                <w:rFonts w:ascii="宋体" w:hAnsi="宋体" w:eastAsia="宋体"/>
                <w:sz w:val="24"/>
              </w:rPr>
              <w:t>(2024年度)</w:t>
            </w:r>
          </w:p>
        </w:tc>
      </w:tr>
      <w:tr w14:paraId="7110BA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89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7AD117">
            <w:pPr>
              <w:jc w:val="center"/>
            </w:pPr>
            <w:r>
              <w:rPr>
                <w:rFonts w:ascii="宋体" w:hAnsi="宋体" w:eastAsia="宋体"/>
                <w:sz w:val="16"/>
              </w:rPr>
              <w:t>喀什矿业注册资本金项目</w:t>
            </w:r>
          </w:p>
        </w:tc>
      </w:tr>
      <w:tr w14:paraId="23B218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BA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344DF">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30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75EA3B">
            <w:pPr>
              <w:jc w:val="center"/>
            </w:pPr>
            <w:r>
              <w:rPr>
                <w:rFonts w:ascii="宋体" w:hAnsi="宋体" w:eastAsia="宋体"/>
                <w:sz w:val="16"/>
              </w:rPr>
              <w:t>喀什地区国有资产监督管理委员会</w:t>
            </w:r>
          </w:p>
        </w:tc>
      </w:tr>
      <w:tr w14:paraId="45F44F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6EB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189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6E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8B8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27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D7C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CF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51E0">
            <w:pPr>
              <w:jc w:val="center"/>
            </w:pPr>
            <w:r>
              <w:rPr>
                <w:rFonts w:ascii="宋体" w:hAnsi="宋体" w:eastAsia="宋体"/>
                <w:sz w:val="16"/>
              </w:rPr>
              <w:t>得分</w:t>
            </w:r>
          </w:p>
        </w:tc>
      </w:tr>
      <w:tr w14:paraId="4431E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AB6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BF2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A5C98">
            <w:pPr>
              <w:jc w:val="center"/>
            </w:pPr>
            <w:r>
              <w:rPr>
                <w:rFonts w:ascii="宋体" w:hAnsi="宋体" w:eastAsia="宋体"/>
                <w:sz w:val="16"/>
              </w:rPr>
              <w:t>56.48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BA06">
            <w:pPr>
              <w:jc w:val="center"/>
            </w:pPr>
            <w:r>
              <w:rPr>
                <w:rFonts w:ascii="宋体" w:hAnsi="宋体" w:eastAsia="宋体"/>
                <w:sz w:val="16"/>
              </w:rPr>
              <w:t>56.48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76664">
            <w:pPr>
              <w:jc w:val="center"/>
            </w:pPr>
            <w:r>
              <w:rPr>
                <w:rFonts w:ascii="宋体" w:hAnsi="宋体" w:eastAsia="宋体"/>
                <w:sz w:val="16"/>
              </w:rPr>
              <w:t>56.48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8FE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5A5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157C">
            <w:pPr>
              <w:jc w:val="center"/>
            </w:pPr>
            <w:r>
              <w:rPr>
                <w:rFonts w:ascii="宋体" w:hAnsi="宋体" w:eastAsia="宋体"/>
                <w:sz w:val="16"/>
              </w:rPr>
              <w:t>10.00分</w:t>
            </w:r>
          </w:p>
        </w:tc>
      </w:tr>
      <w:tr w14:paraId="36E3F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F0F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E6E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F65E3">
            <w:pPr>
              <w:jc w:val="center"/>
            </w:pPr>
            <w:r>
              <w:rPr>
                <w:rFonts w:ascii="宋体" w:hAnsi="宋体" w:eastAsia="宋体"/>
                <w:sz w:val="16"/>
              </w:rPr>
              <w:t>56.48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654DD">
            <w:pPr>
              <w:jc w:val="center"/>
            </w:pPr>
            <w:r>
              <w:rPr>
                <w:rFonts w:ascii="宋体" w:hAnsi="宋体" w:eastAsia="宋体"/>
                <w:sz w:val="16"/>
              </w:rPr>
              <w:t>56.48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F248">
            <w:pPr>
              <w:jc w:val="center"/>
            </w:pPr>
            <w:r>
              <w:rPr>
                <w:rFonts w:ascii="宋体" w:hAnsi="宋体" w:eastAsia="宋体"/>
                <w:sz w:val="16"/>
              </w:rPr>
              <w:t>56.48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688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E61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85D3">
            <w:pPr>
              <w:jc w:val="center"/>
            </w:pPr>
            <w:r>
              <w:rPr>
                <w:rFonts w:ascii="宋体" w:hAnsi="宋体" w:eastAsia="宋体"/>
                <w:sz w:val="16"/>
              </w:rPr>
              <w:t>—</w:t>
            </w:r>
          </w:p>
        </w:tc>
      </w:tr>
      <w:tr w14:paraId="4BE03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E8A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F0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274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D05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D7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280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70E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8FEA">
            <w:pPr>
              <w:jc w:val="center"/>
            </w:pPr>
            <w:r>
              <w:rPr>
                <w:rFonts w:ascii="宋体" w:hAnsi="宋体" w:eastAsia="宋体"/>
                <w:sz w:val="16"/>
              </w:rPr>
              <w:t>—</w:t>
            </w:r>
          </w:p>
        </w:tc>
      </w:tr>
      <w:tr w14:paraId="7DAC18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D2B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047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1A417F">
            <w:pPr>
              <w:jc w:val="center"/>
            </w:pPr>
            <w:r>
              <w:rPr>
                <w:rFonts w:ascii="宋体" w:hAnsi="宋体" w:eastAsia="宋体"/>
                <w:sz w:val="16"/>
              </w:rPr>
              <w:t>实际完成情况</w:t>
            </w:r>
          </w:p>
        </w:tc>
      </w:tr>
      <w:tr w14:paraId="523E1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6CC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430B31">
            <w:pPr>
              <w:jc w:val="both"/>
            </w:pPr>
            <w:r>
              <w:rPr>
                <w:rFonts w:ascii="宋体" w:hAnsi="宋体" w:eastAsia="宋体"/>
                <w:sz w:val="16"/>
              </w:rPr>
              <w:t>通过对喀什矿业有限责任公司注资，收到注册资本金500万元，计划2024年采购办公设备，其中包含6台电脑，3台打印机，办公桌用来保障企业正常运转，保障企业领导、员工数量6人，工资及社保等相关支出正常发放，健强企业内部人员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A0AE12">
            <w:pPr>
              <w:jc w:val="both"/>
            </w:pPr>
            <w:r>
              <w:rPr>
                <w:rFonts w:hint="eastAsia" w:ascii="宋体" w:hAnsi="宋体"/>
                <w:sz w:val="16"/>
                <w:lang w:eastAsia="zh-CN"/>
              </w:rPr>
              <w:t>截至</w:t>
            </w:r>
            <w:r>
              <w:rPr>
                <w:rFonts w:ascii="宋体" w:hAnsi="宋体" w:eastAsia="宋体"/>
                <w:sz w:val="16"/>
              </w:rPr>
              <w:t>2024年12月31日已经完成采购电脑6台打印机3台，发放7至12月人员工资及社保福利，租赁一辆车作为后勤保障。通过项目实施健强企业内部人员队伍，为队伍增加新活力，同时优化办公环境增强团队的凝聚力和向心力。</w:t>
            </w:r>
          </w:p>
        </w:tc>
      </w:tr>
      <w:tr w14:paraId="1960D7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782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FE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24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B2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504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CE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FC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7E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DF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7F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1B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F0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9A16E">
            <w:pPr>
              <w:jc w:val="center"/>
            </w:pPr>
            <w:r>
              <w:rPr>
                <w:rFonts w:ascii="宋体" w:hAnsi="宋体" w:eastAsia="宋体"/>
                <w:sz w:val="16"/>
              </w:rPr>
              <w:t>偏差原因分析及改进措施</w:t>
            </w:r>
          </w:p>
        </w:tc>
      </w:tr>
      <w:tr w14:paraId="1CE18B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580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3D3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F40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9E67">
            <w:pPr>
              <w:jc w:val="center"/>
            </w:pPr>
            <w:r>
              <w:rPr>
                <w:rFonts w:ascii="宋体" w:hAnsi="宋体" w:eastAsia="宋体"/>
                <w:sz w:val="16"/>
              </w:rPr>
              <w:t>保障企业领导、员工数量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20A2">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E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81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9B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DB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DF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F12C">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E9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9CA98">
            <w:pPr>
              <w:jc w:val="center"/>
            </w:pPr>
          </w:p>
        </w:tc>
      </w:tr>
      <w:tr w14:paraId="0A3FC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75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66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75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1C98">
            <w:pPr>
              <w:jc w:val="center"/>
            </w:pPr>
            <w:r>
              <w:rPr>
                <w:rFonts w:ascii="宋体" w:hAnsi="宋体" w:eastAsia="宋体"/>
                <w:sz w:val="16"/>
              </w:rPr>
              <w:t>购买办公用电脑、打印机设备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31EA">
            <w:pPr>
              <w:jc w:val="center"/>
            </w:pPr>
            <w:r>
              <w:rPr>
                <w:rFonts w:ascii="宋体" w:hAnsi="宋体" w:eastAsia="宋体"/>
                <w:sz w:val="16"/>
              </w:rPr>
              <w:t>&gt;=9台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C2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41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4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39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46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85FD">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20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5C633">
            <w:pPr>
              <w:jc w:val="center"/>
            </w:pPr>
          </w:p>
        </w:tc>
      </w:tr>
      <w:tr w14:paraId="02919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57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8D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43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3469">
            <w:pPr>
              <w:jc w:val="center"/>
            </w:pPr>
            <w:r>
              <w:rPr>
                <w:rFonts w:ascii="宋体" w:hAnsi="宋体" w:eastAsia="宋体"/>
                <w:sz w:val="16"/>
              </w:rPr>
              <w:t>租用车辆数量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386A">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2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2D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DF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3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C9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7954">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B2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9F328">
            <w:pPr>
              <w:jc w:val="center"/>
            </w:pPr>
          </w:p>
        </w:tc>
      </w:tr>
      <w:tr w14:paraId="30FC8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23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E0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3F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EF77">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9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3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69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D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D3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E9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E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B5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DB1E">
            <w:pPr>
              <w:jc w:val="center"/>
            </w:pPr>
          </w:p>
        </w:tc>
      </w:tr>
      <w:tr w14:paraId="1FC8A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3F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11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EF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2F02">
            <w:pPr>
              <w:jc w:val="center"/>
            </w:pPr>
            <w:r>
              <w:rPr>
                <w:rFonts w:ascii="宋体" w:hAnsi="宋体" w:eastAsia="宋体"/>
                <w:sz w:val="16"/>
              </w:rPr>
              <w:t>人员工资保障期限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05D6">
            <w:pPr>
              <w:jc w:val="center"/>
            </w:pPr>
            <w:r>
              <w:rPr>
                <w:rFonts w:ascii="宋体" w:hAnsi="宋体" w:eastAsia="宋体"/>
                <w:sz w:val="16"/>
              </w:rPr>
              <w:t>&lt;=6月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51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32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DA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44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01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81EA">
            <w:pPr>
              <w:jc w:val="center"/>
            </w:pPr>
            <w:r>
              <w:rPr>
                <w:rFonts w:ascii="宋体" w:hAnsi="宋体" w:eastAsia="宋体"/>
                <w:sz w:val="16"/>
              </w:rPr>
              <w:t>=6月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AF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E4BA0">
            <w:pPr>
              <w:jc w:val="center"/>
            </w:pPr>
          </w:p>
        </w:tc>
      </w:tr>
      <w:tr w14:paraId="6CC32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BCC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70B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05D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D86E">
            <w:pPr>
              <w:jc w:val="center"/>
            </w:pPr>
            <w:r>
              <w:rPr>
                <w:rFonts w:ascii="宋体" w:hAnsi="宋体" w:eastAsia="宋体"/>
                <w:sz w:val="16"/>
              </w:rPr>
              <w:t>工资、社保福利成本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01F3">
            <w:pPr>
              <w:jc w:val="center"/>
            </w:pPr>
            <w:r>
              <w:rPr>
                <w:rFonts w:ascii="宋体" w:hAnsi="宋体" w:eastAsia="宋体"/>
                <w:sz w:val="16"/>
              </w:rPr>
              <w:t>&lt;=46.31万元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8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46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14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93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4D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D1B2">
            <w:pPr>
              <w:jc w:val="center"/>
            </w:pPr>
            <w:r>
              <w:rPr>
                <w:rFonts w:ascii="宋体" w:hAnsi="宋体" w:eastAsia="宋体"/>
                <w:sz w:val="16"/>
              </w:rPr>
              <w:t>=46.31万元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E4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CF14A">
            <w:pPr>
              <w:jc w:val="center"/>
            </w:pPr>
          </w:p>
        </w:tc>
      </w:tr>
      <w:tr w14:paraId="13F17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557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BE2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A6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34A4">
            <w:pPr>
              <w:jc w:val="center"/>
            </w:pPr>
            <w:r>
              <w:rPr>
                <w:rFonts w:ascii="宋体" w:hAnsi="宋体" w:eastAsia="宋体"/>
                <w:sz w:val="16"/>
              </w:rPr>
              <w:t>矿业公司运转成本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8C1B">
            <w:pPr>
              <w:jc w:val="center"/>
            </w:pPr>
            <w:r>
              <w:rPr>
                <w:rFonts w:ascii="宋体" w:hAnsi="宋体" w:eastAsia="宋体"/>
                <w:sz w:val="16"/>
              </w:rPr>
              <w:t>&lt;=10.17万元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30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D4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C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19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FF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39CA">
            <w:pPr>
              <w:jc w:val="center"/>
            </w:pPr>
            <w:r>
              <w:rPr>
                <w:rFonts w:ascii="宋体" w:hAnsi="宋体" w:eastAsia="宋体"/>
                <w:sz w:val="16"/>
              </w:rPr>
              <w: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18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729A5">
            <w:pPr>
              <w:jc w:val="center"/>
            </w:pPr>
          </w:p>
        </w:tc>
      </w:tr>
      <w:tr w14:paraId="1BD53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5D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EC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75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D988">
            <w:pPr>
              <w:jc w:val="center"/>
            </w:pPr>
            <w:r>
              <w:rPr>
                <w:rFonts w:ascii="宋体" w:hAnsi="宋体" w:eastAsia="宋体"/>
                <w:sz w:val="16"/>
              </w:rPr>
              <w:t>健强企业内部人员队伍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2A0F">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6B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FD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08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2A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6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B34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43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A3FC8">
            <w:pPr>
              <w:jc w:val="center"/>
            </w:pPr>
          </w:p>
        </w:tc>
      </w:tr>
      <w:tr w14:paraId="7C27A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0C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F2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CB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D50F">
            <w:pPr>
              <w:jc w:val="center"/>
            </w:pPr>
            <w:r>
              <w:rPr>
                <w:rFonts w:ascii="宋体" w:hAnsi="宋体" w:eastAsia="宋体"/>
                <w:sz w:val="16"/>
              </w:rPr>
              <w:t>喀什矿业公司职工满意度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2835">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5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04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8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C2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9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5CF6">
            <w:pPr>
              <w:jc w:val="center"/>
            </w:pPr>
            <w:r>
              <w:rPr>
                <w:rFonts w:ascii="宋体" w:hAnsi="宋体" w:eastAsia="宋体"/>
                <w:sz w:val="16"/>
              </w:rPr>
              <w:t>=99.72%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24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DCE2">
            <w:pPr>
              <w:jc w:val="center"/>
            </w:pPr>
          </w:p>
        </w:tc>
      </w:tr>
      <w:tr w14:paraId="1B366B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1C8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2D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F27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A4E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497D08"/>
        </w:tc>
      </w:tr>
    </w:tbl>
    <w:p w14:paraId="6E9049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5A5A630">
        <w:tblPrEx>
          <w:tblCellMar>
            <w:top w:w="0" w:type="dxa"/>
            <w:left w:w="108" w:type="dxa"/>
            <w:bottom w:w="0" w:type="dxa"/>
            <w:right w:w="108" w:type="dxa"/>
          </w:tblCellMar>
        </w:tblPrEx>
        <w:tc>
          <w:tcPr>
            <w:tcW w:w="8848" w:type="dxa"/>
            <w:gridSpan w:val="14"/>
            <w:vAlign w:val="center"/>
          </w:tcPr>
          <w:p w14:paraId="4BBAE067">
            <w:pPr>
              <w:jc w:val="center"/>
            </w:pPr>
            <w:r>
              <w:rPr>
                <w:rFonts w:ascii="宋体" w:hAnsi="宋体" w:eastAsia="宋体"/>
                <w:sz w:val="24"/>
              </w:rPr>
              <w:t>项目支出绩效自评表</w:t>
            </w:r>
          </w:p>
        </w:tc>
      </w:tr>
      <w:tr w14:paraId="2727F9EE">
        <w:tblPrEx>
          <w:tblCellMar>
            <w:top w:w="0" w:type="dxa"/>
            <w:left w:w="108" w:type="dxa"/>
            <w:bottom w:w="0" w:type="dxa"/>
            <w:right w:w="108" w:type="dxa"/>
          </w:tblCellMar>
        </w:tblPrEx>
        <w:tc>
          <w:tcPr>
            <w:tcW w:w="8848" w:type="dxa"/>
            <w:gridSpan w:val="14"/>
            <w:vAlign w:val="center"/>
          </w:tcPr>
          <w:p w14:paraId="60E80D56">
            <w:pPr>
              <w:jc w:val="center"/>
            </w:pPr>
            <w:r>
              <w:rPr>
                <w:rFonts w:ascii="宋体" w:hAnsi="宋体" w:eastAsia="宋体"/>
                <w:sz w:val="24"/>
              </w:rPr>
              <w:t>(2024年度)</w:t>
            </w:r>
          </w:p>
        </w:tc>
      </w:tr>
      <w:tr w14:paraId="265AD2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9C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37725E">
            <w:pPr>
              <w:jc w:val="center"/>
            </w:pPr>
            <w:r>
              <w:rPr>
                <w:rFonts w:ascii="宋体" w:hAnsi="宋体" w:eastAsia="宋体"/>
                <w:sz w:val="16"/>
              </w:rPr>
              <w:t>喀什融媒传媒有限公司注册资本金项目</w:t>
            </w:r>
          </w:p>
        </w:tc>
      </w:tr>
      <w:tr w14:paraId="07848D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B5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44937">
            <w:pPr>
              <w:jc w:val="center"/>
            </w:pPr>
            <w:r>
              <w:rPr>
                <w:rFonts w:ascii="宋体" w:hAnsi="宋体" w:eastAsia="宋体"/>
                <w:sz w:val="16"/>
              </w:rPr>
              <w:t>喀什地区融媒体中心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2D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BF6C6">
            <w:pPr>
              <w:jc w:val="center"/>
            </w:pPr>
            <w:r>
              <w:rPr>
                <w:rFonts w:ascii="宋体" w:hAnsi="宋体" w:eastAsia="宋体"/>
                <w:sz w:val="16"/>
              </w:rPr>
              <w:t>喀什地区国有资产监督管理委员会</w:t>
            </w:r>
          </w:p>
        </w:tc>
      </w:tr>
      <w:tr w14:paraId="0D64B0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DD0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C91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0FE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6FC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5BB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DB9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CCD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B5F1">
            <w:pPr>
              <w:jc w:val="center"/>
            </w:pPr>
            <w:r>
              <w:rPr>
                <w:rFonts w:ascii="宋体" w:hAnsi="宋体" w:eastAsia="宋体"/>
                <w:sz w:val="16"/>
              </w:rPr>
              <w:t>得分</w:t>
            </w:r>
          </w:p>
        </w:tc>
      </w:tr>
      <w:tr w14:paraId="0BAA5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5F6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14C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614AA">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59AF">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F7E19">
            <w:pPr>
              <w:jc w:val="center"/>
            </w:pPr>
            <w:r>
              <w:rPr>
                <w:rFonts w:ascii="宋体" w:hAnsi="宋体" w:eastAsia="宋体"/>
                <w:sz w:val="16"/>
              </w:rPr>
              <w:t>262.76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D9F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E806">
            <w:pPr>
              <w:jc w:val="center"/>
            </w:pPr>
            <w:r>
              <w:rPr>
                <w:rFonts w:ascii="宋体" w:hAnsi="宋体" w:eastAsia="宋体"/>
                <w:sz w:val="16"/>
              </w:rPr>
              <w:t>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1E16">
            <w:pPr>
              <w:jc w:val="center"/>
            </w:pPr>
            <w:r>
              <w:rPr>
                <w:rFonts w:ascii="宋体" w:hAnsi="宋体" w:eastAsia="宋体"/>
                <w:sz w:val="16"/>
              </w:rPr>
              <w:t>0.00分</w:t>
            </w:r>
          </w:p>
        </w:tc>
      </w:tr>
      <w:tr w14:paraId="0F946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976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B5C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5A849">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C1F3">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6B929">
            <w:pPr>
              <w:jc w:val="center"/>
            </w:pPr>
            <w:r>
              <w:rPr>
                <w:rFonts w:ascii="宋体" w:hAnsi="宋体" w:eastAsia="宋体"/>
                <w:sz w:val="16"/>
              </w:rPr>
              <w:t>262.76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1B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5F4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8A98">
            <w:pPr>
              <w:jc w:val="center"/>
            </w:pPr>
            <w:r>
              <w:rPr>
                <w:rFonts w:ascii="宋体" w:hAnsi="宋体" w:eastAsia="宋体"/>
                <w:sz w:val="16"/>
              </w:rPr>
              <w:t>—</w:t>
            </w:r>
          </w:p>
        </w:tc>
      </w:tr>
      <w:tr w14:paraId="48067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D14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732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24C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D42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D02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8C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CF1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DAF9">
            <w:pPr>
              <w:jc w:val="center"/>
            </w:pPr>
            <w:r>
              <w:rPr>
                <w:rFonts w:ascii="宋体" w:hAnsi="宋体" w:eastAsia="宋体"/>
                <w:sz w:val="16"/>
              </w:rPr>
              <w:t>—</w:t>
            </w:r>
          </w:p>
        </w:tc>
      </w:tr>
      <w:tr w14:paraId="6E9116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D3B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C58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0DF124">
            <w:pPr>
              <w:jc w:val="center"/>
            </w:pPr>
            <w:r>
              <w:rPr>
                <w:rFonts w:ascii="宋体" w:hAnsi="宋体" w:eastAsia="宋体"/>
                <w:sz w:val="16"/>
              </w:rPr>
              <w:t>实际完成情况</w:t>
            </w:r>
          </w:p>
        </w:tc>
      </w:tr>
      <w:tr w14:paraId="7B254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CCE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36E3D">
            <w:pPr>
              <w:jc w:val="both"/>
            </w:pPr>
            <w:r>
              <w:rPr>
                <w:rFonts w:ascii="宋体" w:hAnsi="宋体" w:eastAsia="宋体"/>
                <w:sz w:val="16"/>
              </w:rPr>
              <w:t>通过该项目投资于高质量内容的创作与生产，包括新闻、专题报道、纪录片等。二是支持新媒体内容的创新，如短视频、直播、互动式内容等，以吸引更广泛的受众群体。加强融媒体技术平台的建设与维护，提升数据处理能力和用户体验。二是投入资源进行新技术的研发，如人工智能在内容推荐、个性化服务等方面的应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71FF4F">
            <w:pPr>
              <w:jc w:val="both"/>
            </w:pPr>
            <w:r>
              <w:rPr>
                <w:rFonts w:ascii="宋体" w:hAnsi="宋体" w:eastAsia="宋体"/>
                <w:sz w:val="16"/>
              </w:rPr>
              <w:t>喀什融媒传媒有限公司于8月份收到2024年注册资本金500万元，该笔注册资本金的使用，企业采购拍摄像专用设备8台，办公电脑26台，保障人员工资、社保及公积金支出156.25万元，完善固定资产、办公用品采购支出65.21万元，保障活动的全息影像设备、拍摄像设备采购支出41.30万元。通过各项目的实施，进一步推动媒体深度改革，加快媒体深度融合，为我公司拓展市场空间、提升团队能力素质提供保障。同时我公司搭建合作平台、构建全媒体传播体系、优化资源配置、拓展经营领域。</w:t>
            </w:r>
          </w:p>
        </w:tc>
      </w:tr>
      <w:tr w14:paraId="7B3F00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034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38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76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40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4D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6E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40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40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B2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FE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03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8C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A78DA">
            <w:pPr>
              <w:jc w:val="center"/>
            </w:pPr>
            <w:r>
              <w:rPr>
                <w:rFonts w:ascii="宋体" w:hAnsi="宋体" w:eastAsia="宋体"/>
                <w:sz w:val="16"/>
              </w:rPr>
              <w:t>偏差原因分析及改进措施</w:t>
            </w:r>
          </w:p>
        </w:tc>
      </w:tr>
      <w:tr w14:paraId="123A22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B97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BB8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D4A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8C7E">
            <w:pPr>
              <w:jc w:val="center"/>
            </w:pPr>
            <w:r>
              <w:rPr>
                <w:rFonts w:ascii="宋体" w:hAnsi="宋体" w:eastAsia="宋体"/>
                <w:sz w:val="16"/>
              </w:rPr>
              <w:t>购买拍摄专用设备数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16B8">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3A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72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A0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CF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DF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006B">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F04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7C3ED">
            <w:pPr>
              <w:jc w:val="center"/>
            </w:pPr>
            <w:r>
              <w:rPr>
                <w:rFonts w:ascii="宋体" w:hAnsi="宋体" w:eastAsia="宋体"/>
                <w:sz w:val="16"/>
              </w:rPr>
              <w:t>偏差原因：根据实际业务开展的现实情况进行采购，以保障业务顺利开展截至12月底实际采购量超计划值。改进措施：结合实际业务目标，精准采购计划。</w:t>
            </w:r>
          </w:p>
        </w:tc>
      </w:tr>
      <w:tr w14:paraId="21136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31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55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243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F291">
            <w:pPr>
              <w:jc w:val="center"/>
            </w:pPr>
            <w:r>
              <w:rPr>
                <w:rFonts w:ascii="宋体" w:hAnsi="宋体" w:eastAsia="宋体"/>
                <w:sz w:val="16"/>
              </w:rPr>
              <w:t>购买台式电脑数量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7BE1">
            <w:pPr>
              <w:jc w:val="center"/>
            </w:pPr>
            <w:r>
              <w:rPr>
                <w:rFonts w:ascii="宋体" w:hAnsi="宋体" w:eastAsia="宋体"/>
                <w:sz w:val="16"/>
              </w:rPr>
              <w:t>&gt;=25台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EB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06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10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3E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EE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6A18">
            <w:pPr>
              <w:jc w:val="center"/>
            </w:pPr>
            <w:r>
              <w:rPr>
                <w:rFonts w:ascii="宋体" w:hAnsi="宋体" w:eastAsia="宋体"/>
                <w:sz w:val="16"/>
              </w:rPr>
              <w:t>=26台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D45C">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C1D96">
            <w:pPr>
              <w:jc w:val="center"/>
            </w:pPr>
            <w:r>
              <w:rPr>
                <w:rFonts w:ascii="宋体" w:hAnsi="宋体" w:eastAsia="宋体"/>
                <w:sz w:val="16"/>
              </w:rPr>
              <w:t>偏差原因：根据实际在职人员数量进行采购，截至12月底实际采购26台，以保障日常工作开展。改进措施：结合实际情况，精确采购计划。</w:t>
            </w:r>
          </w:p>
        </w:tc>
      </w:tr>
      <w:tr w14:paraId="2CE4F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CE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F0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00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A3E8">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9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79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55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5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42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7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5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EB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2B010">
            <w:pPr>
              <w:jc w:val="center"/>
            </w:pPr>
          </w:p>
        </w:tc>
      </w:tr>
      <w:tr w14:paraId="2BEA4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89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F8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33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A2A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0F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0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9B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6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35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32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8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5A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356DE">
            <w:pPr>
              <w:jc w:val="center"/>
            </w:pPr>
          </w:p>
        </w:tc>
      </w:tr>
      <w:tr w14:paraId="01162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40F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619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DB1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9557">
            <w:pPr>
              <w:jc w:val="center"/>
            </w:pPr>
            <w:r>
              <w:rPr>
                <w:rFonts w:ascii="宋体" w:hAnsi="宋体" w:eastAsia="宋体"/>
                <w:sz w:val="16"/>
              </w:rPr>
              <w:t>人员类支出成本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CA7D">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C5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B0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5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0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19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65A7">
            <w:pPr>
              <w:jc w:val="center"/>
            </w:pPr>
            <w:r>
              <w:rPr>
                <w:rFonts w:ascii="宋体" w:hAnsi="宋体" w:eastAsia="宋体"/>
                <w:sz w:val="16"/>
              </w:rPr>
              <w:t>=156.25万元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E7B8">
            <w:pPr>
              <w:jc w:val="center"/>
            </w:pPr>
            <w:r>
              <w:rPr>
                <w:rFonts w:ascii="宋体" w:hAnsi="宋体" w:eastAsia="宋体"/>
                <w:sz w:val="16"/>
              </w:rPr>
              <w:t>5.53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7C150">
            <w:pPr>
              <w:jc w:val="center"/>
            </w:pPr>
            <w:r>
              <w:rPr>
                <w:rFonts w:ascii="宋体" w:hAnsi="宋体" w:eastAsia="宋体"/>
                <w:sz w:val="16"/>
              </w:rPr>
              <w:t>偏差原因：计划目标时只考虑工资部分，未将五险一金支出列入。改进措施：全面考虑人员成本支出，将五险二金列入计划。</w:t>
            </w:r>
          </w:p>
        </w:tc>
      </w:tr>
      <w:tr w14:paraId="6922F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48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75D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17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A207">
            <w:pPr>
              <w:jc w:val="center"/>
            </w:pPr>
            <w:r>
              <w:rPr>
                <w:rFonts w:ascii="宋体" w:hAnsi="宋体" w:eastAsia="宋体"/>
                <w:sz w:val="16"/>
              </w:rPr>
              <w:t>运转类成本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71BC">
            <w:pPr>
              <w:jc w:val="center"/>
            </w:pPr>
            <w:r>
              <w:rPr>
                <w:rFonts w:ascii="宋体" w:hAnsi="宋体" w:eastAsia="宋体"/>
                <w:sz w:val="16"/>
              </w:rPr>
              <w:t>&lt;=86万元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D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18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A0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1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A2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FA10">
            <w:pPr>
              <w:jc w:val="center"/>
            </w:pPr>
            <w:r>
              <w:rPr>
                <w:rFonts w:ascii="宋体" w:hAnsi="宋体" w:eastAsia="宋体"/>
                <w:sz w:val="16"/>
              </w:rPr>
              <w:t>=65.21万元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AD29">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C01F9">
            <w:pPr>
              <w:jc w:val="center"/>
            </w:pPr>
            <w:r>
              <w:rPr>
                <w:rFonts w:ascii="宋体" w:hAnsi="宋体" w:eastAsia="宋体"/>
                <w:sz w:val="16"/>
              </w:rPr>
              <w:t>偏差原因：单位8月份收到注册资本金，截至12月底，运转类部分资金暂未支出。改进措施：剩余资金将在25年继续使用，合理规划资金使用并按时支付</w:t>
            </w:r>
          </w:p>
        </w:tc>
      </w:tr>
      <w:tr w14:paraId="379C7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14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C6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615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5A13">
            <w:pPr>
              <w:jc w:val="center"/>
            </w:pPr>
            <w:r>
              <w:rPr>
                <w:rFonts w:ascii="宋体" w:hAnsi="宋体" w:eastAsia="宋体"/>
                <w:sz w:val="16"/>
              </w:rPr>
              <w:t>融媒体运营成本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35C4">
            <w:pPr>
              <w:jc w:val="center"/>
            </w:pPr>
            <w:r>
              <w:rPr>
                <w:rFonts w:ascii="宋体" w:hAnsi="宋体" w:eastAsia="宋体"/>
                <w:sz w:val="16"/>
              </w:rPr>
              <w:t>&lt;=306万元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7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46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DF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2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A2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A31B">
            <w:pPr>
              <w:jc w:val="center"/>
            </w:pPr>
            <w:r>
              <w:rPr>
                <w:rFonts w:ascii="宋体" w:hAnsi="宋体" w:eastAsia="宋体"/>
                <w:sz w:val="16"/>
              </w:rPr>
              <w:t>=41.3万元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FF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7EF22">
            <w:pPr>
              <w:jc w:val="center"/>
            </w:pPr>
            <w:r>
              <w:rPr>
                <w:rFonts w:ascii="宋体" w:hAnsi="宋体" w:eastAsia="宋体"/>
                <w:sz w:val="16"/>
              </w:rPr>
              <w:t>偏差原因：单位8月份收到注册资本金，截至12月底，融媒体运营部分资金暂未支出。改进措施：剩余资金将在25年继续使用，合理规划资金使用并按时支付</w:t>
            </w:r>
          </w:p>
        </w:tc>
      </w:tr>
      <w:tr w14:paraId="56D27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D28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19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0C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E9D3">
            <w:pPr>
              <w:jc w:val="center"/>
            </w:pPr>
            <w:r>
              <w:rPr>
                <w:rFonts w:ascii="宋体" w:hAnsi="宋体" w:eastAsia="宋体"/>
                <w:sz w:val="16"/>
              </w:rPr>
              <w:t>提升公众对融媒体重要性的认识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25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86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CA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519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B0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73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04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1B7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12064">
            <w:pPr>
              <w:jc w:val="center"/>
            </w:pPr>
          </w:p>
        </w:tc>
      </w:tr>
      <w:tr w14:paraId="1FEE09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BC7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571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F46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6F97">
            <w:pPr>
              <w:jc w:val="center"/>
            </w:pPr>
            <w:r>
              <w:rPr>
                <w:rFonts w:ascii="宋体" w:hAnsi="宋体" w:eastAsia="宋体"/>
                <w:sz w:val="16"/>
              </w:rPr>
              <w:t>71.11分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98BEC4"/>
        </w:tc>
      </w:tr>
    </w:tbl>
    <w:p w14:paraId="55667BC6">
      <w:r>
        <w:br w:type="page"/>
      </w:r>
    </w:p>
    <w:tbl>
      <w:tblPr>
        <w:tblStyle w:val="9"/>
        <w:tblW w:w="0" w:type="auto"/>
        <w:tblInd w:w="0" w:type="dxa"/>
        <w:tblLayout w:type="autofit"/>
        <w:tblCellMar>
          <w:top w:w="0" w:type="dxa"/>
          <w:left w:w="108" w:type="dxa"/>
          <w:bottom w:w="0" w:type="dxa"/>
          <w:right w:w="108" w:type="dxa"/>
        </w:tblCellMar>
      </w:tblPr>
      <w:tblGrid>
        <w:gridCol w:w="613"/>
        <w:gridCol w:w="584"/>
        <w:gridCol w:w="585"/>
        <w:gridCol w:w="585"/>
        <w:gridCol w:w="1016"/>
        <w:gridCol w:w="585"/>
        <w:gridCol w:w="614"/>
        <w:gridCol w:w="599"/>
        <w:gridCol w:w="585"/>
        <w:gridCol w:w="585"/>
        <w:gridCol w:w="936"/>
        <w:gridCol w:w="629"/>
        <w:gridCol w:w="515"/>
        <w:gridCol w:w="629"/>
      </w:tblGrid>
      <w:tr w14:paraId="1DE97320">
        <w:tblPrEx>
          <w:tblCellMar>
            <w:top w:w="0" w:type="dxa"/>
            <w:left w:w="108" w:type="dxa"/>
            <w:bottom w:w="0" w:type="dxa"/>
            <w:right w:w="108" w:type="dxa"/>
          </w:tblCellMar>
        </w:tblPrEx>
        <w:tc>
          <w:tcPr>
            <w:tcW w:w="8848" w:type="dxa"/>
            <w:gridSpan w:val="14"/>
            <w:vAlign w:val="center"/>
          </w:tcPr>
          <w:p w14:paraId="184C686A">
            <w:pPr>
              <w:jc w:val="center"/>
            </w:pPr>
            <w:r>
              <w:rPr>
                <w:rFonts w:ascii="宋体" w:hAnsi="宋体" w:eastAsia="宋体"/>
                <w:sz w:val="24"/>
              </w:rPr>
              <w:t>项目支出绩效自评表</w:t>
            </w:r>
          </w:p>
        </w:tc>
      </w:tr>
      <w:tr w14:paraId="2DA84323">
        <w:tblPrEx>
          <w:tblCellMar>
            <w:top w:w="0" w:type="dxa"/>
            <w:left w:w="108" w:type="dxa"/>
            <w:bottom w:w="0" w:type="dxa"/>
            <w:right w:w="108" w:type="dxa"/>
          </w:tblCellMar>
        </w:tblPrEx>
        <w:tc>
          <w:tcPr>
            <w:tcW w:w="8848" w:type="dxa"/>
            <w:gridSpan w:val="14"/>
            <w:vAlign w:val="center"/>
          </w:tcPr>
          <w:p w14:paraId="4A426797">
            <w:pPr>
              <w:jc w:val="center"/>
            </w:pPr>
            <w:r>
              <w:rPr>
                <w:rFonts w:ascii="宋体" w:hAnsi="宋体" w:eastAsia="宋体"/>
                <w:sz w:val="24"/>
              </w:rPr>
              <w:t>(2024年度)</w:t>
            </w:r>
          </w:p>
        </w:tc>
      </w:tr>
      <w:tr w14:paraId="4A907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3E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8F2DEF">
            <w:pPr>
              <w:jc w:val="center"/>
            </w:pPr>
            <w:r>
              <w:rPr>
                <w:rFonts w:ascii="宋体" w:hAnsi="宋体" w:eastAsia="宋体"/>
                <w:sz w:val="16"/>
              </w:rPr>
              <w:t>国资政务能力提升项目</w:t>
            </w:r>
          </w:p>
        </w:tc>
      </w:tr>
      <w:tr w14:paraId="640C08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BA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4ECB8">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F8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D8DEB2">
            <w:pPr>
              <w:jc w:val="center"/>
            </w:pPr>
            <w:r>
              <w:rPr>
                <w:rFonts w:ascii="宋体" w:hAnsi="宋体" w:eastAsia="宋体"/>
                <w:sz w:val="16"/>
              </w:rPr>
              <w:t>喀什地区国有资产监督管理委员会</w:t>
            </w:r>
          </w:p>
        </w:tc>
      </w:tr>
      <w:tr w14:paraId="0C97B6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DA1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896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DC9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6E7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95C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8DF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6A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187F">
            <w:pPr>
              <w:jc w:val="center"/>
            </w:pPr>
            <w:r>
              <w:rPr>
                <w:rFonts w:ascii="宋体" w:hAnsi="宋体" w:eastAsia="宋体"/>
                <w:sz w:val="16"/>
              </w:rPr>
              <w:t>得分</w:t>
            </w:r>
          </w:p>
        </w:tc>
      </w:tr>
      <w:tr w14:paraId="425CE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041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E10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3741">
            <w:pPr>
              <w:jc w:val="center"/>
            </w:pPr>
            <w:r>
              <w:rPr>
                <w:rFonts w:ascii="宋体" w:hAnsi="宋体" w:eastAsia="宋体"/>
                <w:sz w:val="16"/>
              </w:rPr>
              <w:t>33.28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3575">
            <w:pPr>
              <w:jc w:val="center"/>
            </w:pPr>
            <w:r>
              <w:rPr>
                <w:rFonts w:ascii="宋体" w:hAnsi="宋体" w:eastAsia="宋体"/>
                <w:sz w:val="16"/>
              </w:rPr>
              <w:t>33.28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D329F">
            <w:pPr>
              <w:jc w:val="center"/>
            </w:pPr>
            <w:r>
              <w:rPr>
                <w:rFonts w:ascii="宋体" w:hAnsi="宋体" w:eastAsia="宋体"/>
                <w:sz w:val="16"/>
              </w:rPr>
              <w:t>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580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681D6">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E2F3">
            <w:pPr>
              <w:jc w:val="center"/>
            </w:pPr>
            <w:r>
              <w:rPr>
                <w:rFonts w:ascii="宋体" w:hAnsi="宋体" w:eastAsia="宋体"/>
                <w:sz w:val="16"/>
              </w:rPr>
              <w:t>10.00分</w:t>
            </w:r>
          </w:p>
        </w:tc>
      </w:tr>
      <w:tr w14:paraId="75CD4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2FC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450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86B75">
            <w:pPr>
              <w:jc w:val="center"/>
            </w:pPr>
            <w:r>
              <w:rPr>
                <w:rFonts w:ascii="宋体" w:hAnsi="宋体" w:eastAsia="宋体"/>
                <w:sz w:val="16"/>
              </w:rPr>
              <w:t>33.28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86369">
            <w:pPr>
              <w:jc w:val="center"/>
            </w:pPr>
            <w:r>
              <w:rPr>
                <w:rFonts w:ascii="宋体" w:hAnsi="宋体" w:eastAsia="宋体"/>
                <w:sz w:val="16"/>
              </w:rPr>
              <w:t>33.28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5D62">
            <w:pPr>
              <w:jc w:val="center"/>
            </w:pPr>
            <w:r>
              <w:rPr>
                <w:rFonts w:ascii="宋体" w:hAnsi="宋体" w:eastAsia="宋体"/>
                <w:sz w:val="16"/>
              </w:rPr>
              <w:t>32.32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D94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51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14BE">
            <w:pPr>
              <w:jc w:val="center"/>
            </w:pPr>
            <w:r>
              <w:rPr>
                <w:rFonts w:ascii="宋体" w:hAnsi="宋体" w:eastAsia="宋体"/>
                <w:sz w:val="16"/>
              </w:rPr>
              <w:t>—</w:t>
            </w:r>
          </w:p>
        </w:tc>
      </w:tr>
      <w:tr w14:paraId="3C5BD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1A1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979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5B4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11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691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102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649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CB4B">
            <w:pPr>
              <w:jc w:val="center"/>
            </w:pPr>
            <w:r>
              <w:rPr>
                <w:rFonts w:ascii="宋体" w:hAnsi="宋体" w:eastAsia="宋体"/>
                <w:sz w:val="16"/>
              </w:rPr>
              <w:t>—</w:t>
            </w:r>
          </w:p>
        </w:tc>
      </w:tr>
      <w:tr w14:paraId="18C236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67C9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6C7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AE44CA">
            <w:pPr>
              <w:jc w:val="center"/>
            </w:pPr>
            <w:r>
              <w:rPr>
                <w:rFonts w:ascii="宋体" w:hAnsi="宋体" w:eastAsia="宋体"/>
                <w:sz w:val="16"/>
              </w:rPr>
              <w:t>实际完成情况</w:t>
            </w:r>
          </w:p>
        </w:tc>
      </w:tr>
      <w:tr w14:paraId="19AE9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BDB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3120B">
            <w:pPr>
              <w:jc w:val="both"/>
            </w:pPr>
            <w:r>
              <w:rPr>
                <w:rFonts w:ascii="宋体" w:hAnsi="宋体" w:eastAsia="宋体"/>
                <w:sz w:val="16"/>
              </w:rPr>
              <w:t>该项目资金为33.28万元，主要保障出差及其他办公方面支出，以提高工作效率。本项目实施提高单位职工公共服务能力，</w:t>
            </w:r>
            <w:r>
              <w:rPr>
                <w:rFonts w:hint="eastAsia" w:ascii="宋体" w:hAnsi="宋体"/>
                <w:sz w:val="16"/>
                <w:lang w:eastAsia="zh-CN"/>
              </w:rPr>
              <w:t>使</w:t>
            </w:r>
            <w:r>
              <w:rPr>
                <w:rFonts w:ascii="宋体" w:hAnsi="宋体" w:eastAsia="宋体"/>
                <w:sz w:val="16"/>
              </w:rPr>
              <w:t>单位更好地完成各项工作任务。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43869">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23日支出32.32万元，其中：办公费10.66万元；印刷费0.6万元；水费0.8万元；电费1.5万元；邮电费6.81万元；差旅费6.75万元；维修费0.5万元；其他交通费4.7万元；该项目保障了我们单位1辆公务用车运行，保障了23人办公支出，办公达标率100%，人均运转经费14052.17元，该项目的实施提高了单位职工公共服务能力，使得单位更好地完成了各项工作任务。</w:t>
            </w:r>
          </w:p>
        </w:tc>
      </w:tr>
      <w:tr w14:paraId="767C18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052A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AA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C8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D9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85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CD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4C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3F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D0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58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CD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FE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10B2B">
            <w:pPr>
              <w:jc w:val="center"/>
            </w:pPr>
            <w:r>
              <w:rPr>
                <w:rFonts w:ascii="宋体" w:hAnsi="宋体" w:eastAsia="宋体"/>
                <w:sz w:val="16"/>
              </w:rPr>
              <w:t>偏差原因分析及改进措施</w:t>
            </w:r>
          </w:p>
        </w:tc>
      </w:tr>
      <w:tr w14:paraId="31648B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30E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F79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77C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A077">
            <w:pPr>
              <w:jc w:val="center"/>
            </w:pPr>
            <w:r>
              <w:rPr>
                <w:rFonts w:ascii="宋体" w:hAnsi="宋体" w:eastAsia="宋体"/>
                <w:sz w:val="16"/>
              </w:rPr>
              <w:t>保障单位公务用车数量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5A7E">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34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23DC">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10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7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39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536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21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85886">
            <w:pPr>
              <w:jc w:val="center"/>
            </w:pPr>
          </w:p>
        </w:tc>
      </w:tr>
      <w:tr w14:paraId="02A62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24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0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D3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1536">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34F4">
            <w:pPr>
              <w:jc w:val="center"/>
            </w:pPr>
            <w:r>
              <w:rPr>
                <w:rFonts w:ascii="宋体" w:hAnsi="宋体" w:eastAsia="宋体"/>
                <w:sz w:val="16"/>
              </w:rPr>
              <w:t>&gt;=19人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CD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94EB">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9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30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09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85A8">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CD46">
            <w:pPr>
              <w:jc w:val="center"/>
            </w:pPr>
            <w:r>
              <w:rPr>
                <w:rFonts w:ascii="宋体" w:hAnsi="宋体" w:eastAsia="宋体"/>
                <w:sz w:val="16"/>
              </w:rPr>
              <w:t>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E2150">
            <w:pPr>
              <w:jc w:val="center"/>
            </w:pPr>
            <w:r>
              <w:rPr>
                <w:rFonts w:ascii="宋体" w:hAnsi="宋体" w:eastAsia="宋体"/>
                <w:sz w:val="16"/>
              </w:rPr>
              <w:t>偏差原因：因本年度新增人员，因此保障办公人员数量指标有偏差。改进措施：项目实施前，统计单位办公人员，合理制定指标。</w:t>
            </w:r>
          </w:p>
        </w:tc>
      </w:tr>
      <w:tr w14:paraId="6C709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3D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64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4B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3562">
            <w:pPr>
              <w:jc w:val="center"/>
            </w:pPr>
            <w:r>
              <w:rPr>
                <w:rFonts w:ascii="宋体" w:hAnsi="宋体" w:eastAsia="宋体"/>
                <w:sz w:val="16"/>
              </w:rPr>
              <w:t>各项工作达标率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3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43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CC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59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DF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7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3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1E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03F82">
            <w:pPr>
              <w:jc w:val="center"/>
            </w:pPr>
          </w:p>
        </w:tc>
      </w:tr>
      <w:tr w14:paraId="54911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7A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57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A6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9BB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6F2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3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AF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A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DE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9F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8432">
            <w:pPr>
              <w:jc w:val="center"/>
            </w:pPr>
            <w:r>
              <w:rPr>
                <w:rFonts w:ascii="宋体" w:hAnsi="宋体" w:eastAsia="宋体"/>
                <w:sz w:val="16"/>
              </w:rPr>
              <w:t>2024年12月22日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88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BEAD2">
            <w:pPr>
              <w:jc w:val="center"/>
            </w:pPr>
          </w:p>
        </w:tc>
      </w:tr>
      <w:tr w14:paraId="74B42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E1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74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C1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3862">
            <w:pPr>
              <w:jc w:val="center"/>
            </w:pPr>
            <w:r>
              <w:rPr>
                <w:rFonts w:ascii="宋体" w:hAnsi="宋体" w:eastAsia="宋体"/>
                <w:sz w:val="16"/>
              </w:rPr>
              <w:t>人均运转经费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8C6F">
            <w:pPr>
              <w:jc w:val="center"/>
            </w:pPr>
            <w:r>
              <w:rPr>
                <w:rFonts w:ascii="宋体" w:hAnsi="宋体" w:eastAsia="宋体"/>
                <w:sz w:val="16"/>
              </w:rPr>
              <w:t>&lt;=17515.79元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8B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25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82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A5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B2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462B">
            <w:pPr>
              <w:jc w:val="center"/>
            </w:pPr>
            <w:r>
              <w:rPr>
                <w:rFonts w:ascii="宋体" w:hAnsi="宋体" w:eastAsia="宋体"/>
                <w:sz w:val="16"/>
              </w:rPr>
              <w:t>=14052.17元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B81B">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6A3DA">
            <w:pPr>
              <w:jc w:val="center"/>
            </w:pPr>
            <w:r>
              <w:rPr>
                <w:rFonts w:ascii="宋体" w:hAnsi="宋体" w:eastAsia="宋体"/>
                <w:sz w:val="16"/>
              </w:rPr>
              <w:t>偏差原因：因本年度</w:t>
            </w:r>
            <w:r>
              <w:rPr>
                <w:rFonts w:hint="eastAsia" w:ascii="宋体" w:hAnsi="宋体"/>
                <w:sz w:val="16"/>
                <w:lang w:eastAsia="zh-CN"/>
              </w:rPr>
              <w:t>本部门</w:t>
            </w:r>
            <w:r>
              <w:rPr>
                <w:rFonts w:ascii="宋体" w:hAnsi="宋体" w:eastAsia="宋体"/>
                <w:sz w:val="16"/>
              </w:rPr>
              <w:t>新增人员，因此人均运转经费指标产生偏差。改进措施：下年度合理设置指标。</w:t>
            </w:r>
          </w:p>
        </w:tc>
      </w:tr>
      <w:tr w14:paraId="0B63B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AC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22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70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2745">
            <w:pPr>
              <w:jc w:val="center"/>
            </w:pPr>
            <w:r>
              <w:rPr>
                <w:rFonts w:ascii="宋体" w:hAnsi="宋体" w:eastAsia="宋体"/>
                <w:sz w:val="16"/>
              </w:rPr>
              <w:t>提升单位公共服务能力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648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C0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953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97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F8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64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F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00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C6B1C">
            <w:pPr>
              <w:jc w:val="center"/>
            </w:pPr>
          </w:p>
        </w:tc>
      </w:tr>
      <w:tr w14:paraId="6AE4D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4A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60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4F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EE8F">
            <w:pPr>
              <w:jc w:val="center"/>
            </w:pPr>
            <w:r>
              <w:rPr>
                <w:rFonts w:ascii="宋体" w:hAnsi="宋体" w:eastAsia="宋体"/>
                <w:sz w:val="16"/>
              </w:rPr>
              <w:t>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F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41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78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EA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A8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34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6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95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7F02D">
            <w:pPr>
              <w:jc w:val="center"/>
            </w:pPr>
          </w:p>
        </w:tc>
      </w:tr>
      <w:tr w14:paraId="65857B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563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B4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ABA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CC9E">
            <w:pPr>
              <w:jc w:val="center"/>
            </w:pPr>
            <w:r>
              <w:rPr>
                <w:rFonts w:ascii="宋体" w:hAnsi="宋体" w:eastAsia="宋体"/>
                <w:sz w:val="16"/>
              </w:rPr>
              <w:t>88.02分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74B0DA"/>
        </w:tc>
      </w:tr>
    </w:tbl>
    <w:p w14:paraId="4D585C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33B6BC3">
        <w:tblPrEx>
          <w:tblCellMar>
            <w:top w:w="0" w:type="dxa"/>
            <w:left w:w="108" w:type="dxa"/>
            <w:bottom w:w="0" w:type="dxa"/>
            <w:right w:w="108" w:type="dxa"/>
          </w:tblCellMar>
        </w:tblPrEx>
        <w:tc>
          <w:tcPr>
            <w:tcW w:w="8848" w:type="dxa"/>
            <w:gridSpan w:val="14"/>
            <w:vAlign w:val="center"/>
          </w:tcPr>
          <w:p w14:paraId="24F13649">
            <w:pPr>
              <w:jc w:val="center"/>
            </w:pPr>
            <w:r>
              <w:rPr>
                <w:rFonts w:ascii="宋体" w:hAnsi="宋体" w:eastAsia="宋体"/>
                <w:sz w:val="24"/>
              </w:rPr>
              <w:t>项目支出绩效自评表</w:t>
            </w:r>
          </w:p>
        </w:tc>
      </w:tr>
      <w:tr w14:paraId="7FAEBBAE">
        <w:tblPrEx>
          <w:tblCellMar>
            <w:top w:w="0" w:type="dxa"/>
            <w:left w:w="108" w:type="dxa"/>
            <w:bottom w:w="0" w:type="dxa"/>
            <w:right w:w="108" w:type="dxa"/>
          </w:tblCellMar>
        </w:tblPrEx>
        <w:tc>
          <w:tcPr>
            <w:tcW w:w="8848" w:type="dxa"/>
            <w:gridSpan w:val="14"/>
            <w:vAlign w:val="center"/>
          </w:tcPr>
          <w:p w14:paraId="3DCE2C4E">
            <w:pPr>
              <w:jc w:val="center"/>
            </w:pPr>
            <w:r>
              <w:rPr>
                <w:rFonts w:ascii="宋体" w:hAnsi="宋体" w:eastAsia="宋体"/>
                <w:sz w:val="24"/>
              </w:rPr>
              <w:t>(2024年度)</w:t>
            </w:r>
          </w:p>
        </w:tc>
      </w:tr>
      <w:tr w14:paraId="670C81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BC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01622D">
            <w:pPr>
              <w:jc w:val="center"/>
            </w:pPr>
            <w:r>
              <w:rPr>
                <w:rFonts w:ascii="宋体" w:hAnsi="宋体" w:eastAsia="宋体"/>
                <w:sz w:val="16"/>
              </w:rPr>
              <w:t>地直国有企业优化重组保障项目</w:t>
            </w:r>
          </w:p>
        </w:tc>
      </w:tr>
      <w:tr w14:paraId="36448E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0D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F57207">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DD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B9E41">
            <w:pPr>
              <w:jc w:val="center"/>
            </w:pPr>
            <w:r>
              <w:rPr>
                <w:rFonts w:ascii="宋体" w:hAnsi="宋体" w:eastAsia="宋体"/>
                <w:sz w:val="16"/>
              </w:rPr>
              <w:t>喀什地区国有资产监督管理委员会</w:t>
            </w:r>
          </w:p>
        </w:tc>
      </w:tr>
      <w:tr w14:paraId="2DFA74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3AD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40E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F8D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35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80A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0F3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FC1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5AF3">
            <w:pPr>
              <w:jc w:val="center"/>
            </w:pPr>
            <w:r>
              <w:rPr>
                <w:rFonts w:ascii="宋体" w:hAnsi="宋体" w:eastAsia="宋体"/>
                <w:sz w:val="16"/>
              </w:rPr>
              <w:t>得分</w:t>
            </w:r>
          </w:p>
        </w:tc>
      </w:tr>
      <w:tr w14:paraId="5A006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E16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A5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CE73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16FE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0F18">
            <w:pPr>
              <w:jc w:val="center"/>
            </w:pPr>
            <w:r>
              <w:rPr>
                <w:rFonts w:ascii="宋体" w:hAnsi="宋体" w:eastAsia="宋体"/>
                <w:sz w:val="16"/>
              </w:rPr>
              <w:t>17.69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3CC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0156A">
            <w:pPr>
              <w:jc w:val="center"/>
            </w:pPr>
            <w:r>
              <w:rPr>
                <w:rFonts w:ascii="宋体" w:hAnsi="宋体" w:eastAsia="宋体"/>
                <w:sz w:val="16"/>
              </w:rPr>
              <w:t>17.7%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9F6C">
            <w:pPr>
              <w:jc w:val="center"/>
            </w:pPr>
            <w:r>
              <w:rPr>
                <w:rFonts w:ascii="宋体" w:hAnsi="宋体" w:eastAsia="宋体"/>
                <w:sz w:val="16"/>
              </w:rPr>
              <w:t>0.00分</w:t>
            </w:r>
          </w:p>
        </w:tc>
      </w:tr>
      <w:tr w14:paraId="14060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373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09E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6818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4C2A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A9D8">
            <w:pPr>
              <w:jc w:val="center"/>
            </w:pPr>
            <w:r>
              <w:rPr>
                <w:rFonts w:ascii="宋体" w:hAnsi="宋体" w:eastAsia="宋体"/>
                <w:sz w:val="16"/>
              </w:rPr>
              <w:t>17.69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AD6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8E4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0149">
            <w:pPr>
              <w:jc w:val="center"/>
            </w:pPr>
            <w:r>
              <w:rPr>
                <w:rFonts w:ascii="宋体" w:hAnsi="宋体" w:eastAsia="宋体"/>
                <w:sz w:val="16"/>
              </w:rPr>
              <w:t>—</w:t>
            </w:r>
          </w:p>
        </w:tc>
      </w:tr>
      <w:tr w14:paraId="76B08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ADB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78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3A4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9D8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FFE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B2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51D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1021">
            <w:pPr>
              <w:jc w:val="center"/>
            </w:pPr>
            <w:r>
              <w:rPr>
                <w:rFonts w:ascii="宋体" w:hAnsi="宋体" w:eastAsia="宋体"/>
                <w:sz w:val="16"/>
              </w:rPr>
              <w:t>—</w:t>
            </w:r>
          </w:p>
        </w:tc>
      </w:tr>
      <w:tr w14:paraId="351C2B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507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E79F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96B28B">
            <w:pPr>
              <w:jc w:val="center"/>
            </w:pPr>
            <w:r>
              <w:rPr>
                <w:rFonts w:ascii="宋体" w:hAnsi="宋体" w:eastAsia="宋体"/>
                <w:sz w:val="16"/>
              </w:rPr>
              <w:t>实际完成情况</w:t>
            </w:r>
          </w:p>
        </w:tc>
      </w:tr>
      <w:tr w14:paraId="5DAEF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5F1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2175BB">
            <w:pPr>
              <w:jc w:val="both"/>
            </w:pPr>
            <w:r>
              <w:rPr>
                <w:rFonts w:ascii="宋体" w:hAnsi="宋体" w:eastAsia="宋体"/>
                <w:sz w:val="16"/>
              </w:rPr>
              <w:t>该项目资金为100万元，主要用于企业第三方尽调后出具尽调报告，实施该项目</w:t>
            </w:r>
            <w:r>
              <w:rPr>
                <w:rFonts w:hint="eastAsia" w:ascii="宋体" w:hAnsi="宋体"/>
                <w:sz w:val="16"/>
                <w:lang w:eastAsia="zh-CN"/>
              </w:rPr>
              <w:t>以</w:t>
            </w:r>
            <w:r>
              <w:rPr>
                <w:rFonts w:ascii="宋体" w:hAnsi="宋体" w:eastAsia="宋体"/>
                <w:sz w:val="16"/>
              </w:rPr>
              <w:t>达到更好</w:t>
            </w:r>
            <w:r>
              <w:rPr>
                <w:rFonts w:hint="eastAsia" w:ascii="宋体" w:hAnsi="宋体"/>
                <w:sz w:val="16"/>
                <w:lang w:eastAsia="zh-CN"/>
              </w:rPr>
              <w:t>地</w:t>
            </w:r>
            <w:r>
              <w:rPr>
                <w:rFonts w:ascii="宋体" w:hAnsi="宋体" w:eastAsia="宋体"/>
                <w:sz w:val="16"/>
              </w:rPr>
              <w:t>贯彻落实中共中央、国务院关于新时代推进国有经济布局优化和结构调整的决策部署，深化改革完善体系加快国有企业高质量发展的要求，进一步深化我区国资国企改革，以国有资本做强做优做大为目标。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BB05CC">
            <w:pPr>
              <w:jc w:val="both"/>
            </w:pPr>
            <w:r>
              <w:rPr>
                <w:rFonts w:ascii="宋体" w:hAnsi="宋体" w:eastAsia="宋体"/>
                <w:sz w:val="16"/>
              </w:rPr>
              <w:t>该项目支出17.69万元，其中：办公费1.16万元；差旅费7.33万元；委托业务费3.2万元；其他交通费6万元；该项目的实施有效提升了国有企业高质量发展。因该项目最新方案还未修订完成，未全面实施，因此第三方还未开展地直国有企业尽职入户调查，还无法出具尽职调查报告。项目将在2025年继续实施。</w:t>
            </w:r>
          </w:p>
        </w:tc>
      </w:tr>
      <w:tr w14:paraId="392C14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EA9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2E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85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69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15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87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CE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6A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A7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79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CC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EB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22E03">
            <w:pPr>
              <w:jc w:val="center"/>
            </w:pPr>
            <w:r>
              <w:rPr>
                <w:rFonts w:ascii="宋体" w:hAnsi="宋体" w:eastAsia="宋体"/>
                <w:sz w:val="16"/>
              </w:rPr>
              <w:t>偏差原因分析及改进措施</w:t>
            </w:r>
          </w:p>
        </w:tc>
      </w:tr>
      <w:tr w14:paraId="23F53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B03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CF89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22F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8CE5">
            <w:pPr>
              <w:jc w:val="center"/>
            </w:pPr>
            <w:r>
              <w:rPr>
                <w:rFonts w:ascii="宋体" w:hAnsi="宋体" w:eastAsia="宋体"/>
                <w:sz w:val="16"/>
              </w:rPr>
              <w:t>第三方出具尽职调查报告份数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287D">
            <w:pPr>
              <w:jc w:val="center"/>
            </w:pPr>
            <w:r>
              <w:rPr>
                <w:rFonts w:ascii="宋体" w:hAnsi="宋体" w:eastAsia="宋体"/>
                <w:sz w:val="16"/>
              </w:rPr>
              <w:t>&gt;=9份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68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E6DC">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E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3F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AB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8C00">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C6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07EF9">
            <w:pPr>
              <w:jc w:val="center"/>
            </w:pPr>
            <w:r>
              <w:rPr>
                <w:rFonts w:ascii="宋体" w:hAnsi="宋体" w:eastAsia="宋体"/>
                <w:sz w:val="16"/>
              </w:rPr>
              <w:t>该项目未完成，因此产生偏差，未完成原因</w:t>
            </w:r>
            <w:r>
              <w:rPr>
                <w:rFonts w:hint="eastAsia" w:ascii="宋体" w:hAnsi="宋体"/>
                <w:sz w:val="16"/>
                <w:lang w:eastAsia="zh-CN"/>
              </w:rPr>
              <w:t>：</w:t>
            </w:r>
            <w:r>
              <w:rPr>
                <w:rFonts w:ascii="宋体" w:hAnsi="宋体" w:eastAsia="宋体"/>
                <w:sz w:val="16"/>
              </w:rPr>
              <w:t>未合理设置经济科目，导致项目资金无法支出。改进措施：根据项目实际情况，合理设定经济指标。</w:t>
            </w:r>
          </w:p>
        </w:tc>
      </w:tr>
      <w:tr w14:paraId="2F6EC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F62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6D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FF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FF63">
            <w:pPr>
              <w:jc w:val="center"/>
            </w:pPr>
            <w:r>
              <w:rPr>
                <w:rFonts w:ascii="宋体" w:hAnsi="宋体" w:eastAsia="宋体"/>
                <w:sz w:val="16"/>
              </w:rPr>
              <w:t>第三方对地直国有企业尽职调查数量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E1DB">
            <w:pPr>
              <w:jc w:val="center"/>
            </w:pPr>
            <w:r>
              <w:rPr>
                <w:rFonts w:ascii="宋体" w:hAnsi="宋体" w:eastAsia="宋体"/>
                <w:sz w:val="16"/>
              </w:rPr>
              <w:t>&gt;=9户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6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51FF">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32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9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6D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CD55">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B2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42DD7">
            <w:pPr>
              <w:jc w:val="center"/>
            </w:pPr>
            <w:r>
              <w:rPr>
                <w:rFonts w:ascii="宋体" w:hAnsi="宋体" w:eastAsia="宋体"/>
                <w:sz w:val="16"/>
              </w:rPr>
              <w:t>该项目未完成，因此产生偏差，未完成原因</w:t>
            </w:r>
            <w:r>
              <w:rPr>
                <w:rFonts w:hint="eastAsia" w:ascii="宋体" w:hAnsi="宋体"/>
                <w:sz w:val="16"/>
                <w:lang w:eastAsia="zh-CN"/>
              </w:rPr>
              <w:t>：</w:t>
            </w:r>
            <w:r>
              <w:rPr>
                <w:rFonts w:ascii="宋体" w:hAnsi="宋体" w:eastAsia="宋体"/>
                <w:sz w:val="16"/>
              </w:rPr>
              <w:t>未合理设置经济科目，导致项目资金无法支出。改进措施：根据项目实际情况，合理设定经济指标。</w:t>
            </w:r>
          </w:p>
        </w:tc>
      </w:tr>
      <w:tr w14:paraId="3B83C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33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3A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EA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CE15">
            <w:pPr>
              <w:jc w:val="center"/>
            </w:pPr>
            <w:r>
              <w:rPr>
                <w:rFonts w:ascii="宋体" w:hAnsi="宋体" w:eastAsia="宋体"/>
                <w:sz w:val="16"/>
              </w:rPr>
              <w:t>尽职调查企业合格率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7C77">
            <w:pPr>
              <w:jc w:val="center"/>
            </w:pPr>
            <w:r>
              <w:rPr>
                <w:rFonts w:ascii="宋体" w:hAnsi="宋体" w:eastAsia="宋体"/>
                <w:sz w:val="16"/>
              </w:rPr>
              <w:t>&gt;=88%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0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47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31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33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42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E0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52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D9F4">
            <w:pPr>
              <w:jc w:val="center"/>
            </w:pPr>
            <w:r>
              <w:rPr>
                <w:rFonts w:ascii="宋体" w:hAnsi="宋体" w:eastAsia="宋体"/>
                <w:sz w:val="16"/>
              </w:rPr>
              <w:t>该项目未完成，因此产生偏差，未完成原因</w:t>
            </w:r>
            <w:r>
              <w:rPr>
                <w:rFonts w:hint="eastAsia" w:ascii="宋体" w:hAnsi="宋体"/>
                <w:sz w:val="16"/>
                <w:lang w:eastAsia="zh-CN"/>
              </w:rPr>
              <w:t>：</w:t>
            </w:r>
            <w:r>
              <w:rPr>
                <w:rFonts w:ascii="宋体" w:hAnsi="宋体" w:eastAsia="宋体"/>
                <w:sz w:val="16"/>
              </w:rPr>
              <w:t>未合理设置经济科目，导致项目资金无法支出。改进措施：根据项目实际情况，合理设定经济指标。</w:t>
            </w:r>
          </w:p>
        </w:tc>
      </w:tr>
      <w:tr w14:paraId="4CAA4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57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24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6A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21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DB9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53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EC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2F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9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FE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747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C4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1A131">
            <w:pPr>
              <w:jc w:val="center"/>
            </w:pPr>
            <w:r>
              <w:rPr>
                <w:rFonts w:ascii="宋体" w:hAnsi="宋体" w:eastAsia="宋体"/>
                <w:sz w:val="16"/>
              </w:rPr>
              <w:t>该项目未完成，因此产生偏差，未完成原因</w:t>
            </w:r>
            <w:r>
              <w:rPr>
                <w:rFonts w:hint="eastAsia" w:ascii="宋体" w:hAnsi="宋体"/>
                <w:sz w:val="16"/>
                <w:lang w:eastAsia="zh-CN"/>
              </w:rPr>
              <w:t>：</w:t>
            </w:r>
            <w:r>
              <w:rPr>
                <w:rFonts w:ascii="宋体" w:hAnsi="宋体" w:eastAsia="宋体"/>
                <w:sz w:val="16"/>
              </w:rPr>
              <w:t>未合理设置经济科目，导致项目资金无法支出。改进措施：根据项目实际情况，合理设定经济指标</w:t>
            </w:r>
            <w:r>
              <w:rPr>
                <w:rFonts w:hint="eastAsia" w:ascii="宋体" w:hAnsi="宋体"/>
                <w:sz w:val="16"/>
                <w:lang w:eastAsia="zh-CN"/>
              </w:rPr>
              <w:t>。</w:t>
            </w:r>
          </w:p>
        </w:tc>
      </w:tr>
      <w:tr w14:paraId="20B33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F0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29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97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1E22">
            <w:pPr>
              <w:jc w:val="center"/>
            </w:pPr>
            <w:r>
              <w:rPr>
                <w:rFonts w:ascii="宋体" w:hAnsi="宋体" w:eastAsia="宋体"/>
                <w:sz w:val="16"/>
              </w:rPr>
              <w:t>每份报告平均成本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26DE">
            <w:pPr>
              <w:jc w:val="center"/>
            </w:pPr>
            <w:r>
              <w:rPr>
                <w:rFonts w:ascii="宋体" w:hAnsi="宋体" w:eastAsia="宋体"/>
                <w:sz w:val="16"/>
              </w:rPr>
              <w:t>&lt;=11.11万元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33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F4A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14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C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63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A36C">
            <w:pPr>
              <w:jc w:val="center"/>
            </w:pPr>
            <w:r>
              <w:rPr>
                <w:rFonts w:ascii="宋体" w:hAnsi="宋体" w:eastAsia="宋体"/>
                <w:sz w:val="16"/>
              </w:rPr>
              <w:t>=17.69万元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587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0C599">
            <w:pPr>
              <w:jc w:val="center"/>
            </w:pPr>
            <w:r>
              <w:rPr>
                <w:rFonts w:ascii="宋体" w:hAnsi="宋体" w:eastAsia="宋体"/>
                <w:sz w:val="16"/>
              </w:rPr>
              <w:t>该项目未完成，因此产生偏差，未完成原因</w:t>
            </w:r>
            <w:r>
              <w:rPr>
                <w:rFonts w:hint="eastAsia" w:ascii="宋体" w:hAnsi="宋体"/>
                <w:sz w:val="16"/>
                <w:lang w:eastAsia="zh-CN"/>
              </w:rPr>
              <w:t>：</w:t>
            </w:r>
            <w:r>
              <w:rPr>
                <w:rFonts w:ascii="宋体" w:hAnsi="宋体" w:eastAsia="宋体"/>
                <w:sz w:val="16"/>
              </w:rPr>
              <w:t>未合理设置经济科目，导致项目资金无法支出。改进措施：根据项目实际情况，合理设定经济指标。</w:t>
            </w:r>
          </w:p>
        </w:tc>
      </w:tr>
      <w:tr w14:paraId="07941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A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A4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9B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E44E">
            <w:pPr>
              <w:jc w:val="center"/>
            </w:pPr>
            <w:r>
              <w:rPr>
                <w:rFonts w:ascii="宋体" w:hAnsi="宋体" w:eastAsia="宋体"/>
                <w:sz w:val="16"/>
              </w:rPr>
              <w:t>确保国有资产保值增值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D90A">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1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7F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45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70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2F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5E5B">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B2A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F8E79">
            <w:pPr>
              <w:jc w:val="center"/>
            </w:pPr>
          </w:p>
        </w:tc>
      </w:tr>
      <w:tr w14:paraId="02786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1D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DC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38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5A39">
            <w:pPr>
              <w:jc w:val="center"/>
            </w:pPr>
            <w:r>
              <w:rPr>
                <w:rFonts w:ascii="宋体" w:hAnsi="宋体" w:eastAsia="宋体"/>
                <w:sz w:val="16"/>
              </w:rPr>
              <w:t>国资委对第三方服务的满意度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18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F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AA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E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9A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6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BBA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D4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E0E12">
            <w:pPr>
              <w:jc w:val="center"/>
            </w:pPr>
            <w:r>
              <w:rPr>
                <w:rFonts w:ascii="宋体" w:hAnsi="宋体" w:eastAsia="宋体"/>
                <w:sz w:val="16"/>
              </w:rPr>
              <w:t>项目未完成，未进行满意度调查。改进措施：待项目完成后进行满意度调查。</w:t>
            </w:r>
          </w:p>
        </w:tc>
      </w:tr>
      <w:tr w14:paraId="23563F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BA7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69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83E3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1713">
            <w:pPr>
              <w:jc w:val="center"/>
            </w:pPr>
            <w:r>
              <w:rPr>
                <w:rFonts w:ascii="宋体" w:hAnsi="宋体" w:eastAsia="宋体"/>
                <w:sz w:val="16"/>
              </w:rPr>
              <w:t>20分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743DDD"/>
        </w:tc>
      </w:tr>
    </w:tbl>
    <w:p w14:paraId="56A96EA6">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599"/>
        <w:gridCol w:w="620"/>
        <w:gridCol w:w="610"/>
        <w:gridCol w:w="599"/>
        <w:gridCol w:w="599"/>
        <w:gridCol w:w="856"/>
        <w:gridCol w:w="632"/>
        <w:gridCol w:w="561"/>
        <w:gridCol w:w="631"/>
      </w:tblGrid>
      <w:tr w14:paraId="497EB9A0">
        <w:tc>
          <w:tcPr>
            <w:tcW w:w="8848" w:type="dxa"/>
            <w:gridSpan w:val="14"/>
            <w:vAlign w:val="center"/>
          </w:tcPr>
          <w:p w14:paraId="19EBBF9F">
            <w:pPr>
              <w:jc w:val="center"/>
            </w:pPr>
            <w:r>
              <w:rPr>
                <w:rFonts w:ascii="宋体" w:hAnsi="宋体" w:eastAsia="宋体"/>
                <w:sz w:val="24"/>
              </w:rPr>
              <w:t>项目支出绩效自评表</w:t>
            </w:r>
          </w:p>
        </w:tc>
      </w:tr>
      <w:tr w14:paraId="7D85C828">
        <w:tblPrEx>
          <w:tblCellMar>
            <w:top w:w="0" w:type="dxa"/>
            <w:left w:w="108" w:type="dxa"/>
            <w:bottom w:w="0" w:type="dxa"/>
            <w:right w:w="108" w:type="dxa"/>
          </w:tblCellMar>
        </w:tblPrEx>
        <w:tc>
          <w:tcPr>
            <w:tcW w:w="8848" w:type="dxa"/>
            <w:gridSpan w:val="14"/>
            <w:vAlign w:val="center"/>
          </w:tcPr>
          <w:p w14:paraId="69709530">
            <w:pPr>
              <w:jc w:val="center"/>
            </w:pPr>
            <w:r>
              <w:rPr>
                <w:rFonts w:ascii="宋体" w:hAnsi="宋体" w:eastAsia="宋体"/>
                <w:sz w:val="24"/>
              </w:rPr>
              <w:t>(2024年度)</w:t>
            </w:r>
          </w:p>
        </w:tc>
      </w:tr>
      <w:tr w14:paraId="1E8969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44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B50487">
            <w:pPr>
              <w:jc w:val="center"/>
            </w:pPr>
            <w:r>
              <w:rPr>
                <w:rFonts w:ascii="宋体" w:hAnsi="宋体" w:eastAsia="宋体"/>
                <w:sz w:val="16"/>
              </w:rPr>
              <w:t>聘请法律顾问项目</w:t>
            </w:r>
          </w:p>
        </w:tc>
      </w:tr>
      <w:tr w14:paraId="2C7030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20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762B5">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9B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8F4B01">
            <w:pPr>
              <w:jc w:val="center"/>
            </w:pPr>
            <w:r>
              <w:rPr>
                <w:rFonts w:ascii="宋体" w:hAnsi="宋体" w:eastAsia="宋体"/>
                <w:sz w:val="16"/>
              </w:rPr>
              <w:t>喀什地区国有资产监督管理委员会</w:t>
            </w:r>
          </w:p>
        </w:tc>
      </w:tr>
      <w:tr w14:paraId="2FDCA6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62A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F59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C14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A6C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893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5F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D2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082C">
            <w:pPr>
              <w:jc w:val="center"/>
            </w:pPr>
            <w:r>
              <w:rPr>
                <w:rFonts w:ascii="宋体" w:hAnsi="宋体" w:eastAsia="宋体"/>
                <w:sz w:val="16"/>
              </w:rPr>
              <w:t>得分</w:t>
            </w:r>
          </w:p>
        </w:tc>
      </w:tr>
      <w:tr w14:paraId="57552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F04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449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BF29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4004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021E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4DA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E9E0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90DB">
            <w:pPr>
              <w:jc w:val="center"/>
            </w:pPr>
            <w:r>
              <w:rPr>
                <w:rFonts w:ascii="宋体" w:hAnsi="宋体" w:eastAsia="宋体"/>
                <w:sz w:val="16"/>
              </w:rPr>
              <w:t>10.00分</w:t>
            </w:r>
          </w:p>
        </w:tc>
      </w:tr>
      <w:tr w14:paraId="0D94A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CB6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28A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C2C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57AA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869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157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040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D706">
            <w:pPr>
              <w:jc w:val="center"/>
            </w:pPr>
            <w:r>
              <w:rPr>
                <w:rFonts w:ascii="宋体" w:hAnsi="宋体" w:eastAsia="宋体"/>
                <w:sz w:val="16"/>
              </w:rPr>
              <w:t>—</w:t>
            </w:r>
          </w:p>
        </w:tc>
      </w:tr>
      <w:tr w14:paraId="3F994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928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071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675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8F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16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AF8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5F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C59F">
            <w:pPr>
              <w:jc w:val="center"/>
            </w:pPr>
            <w:r>
              <w:rPr>
                <w:rFonts w:ascii="宋体" w:hAnsi="宋体" w:eastAsia="宋体"/>
                <w:sz w:val="16"/>
              </w:rPr>
              <w:t>—</w:t>
            </w:r>
          </w:p>
        </w:tc>
      </w:tr>
      <w:tr w14:paraId="743DF7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036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E11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75675">
            <w:pPr>
              <w:jc w:val="center"/>
            </w:pPr>
            <w:r>
              <w:rPr>
                <w:rFonts w:ascii="宋体" w:hAnsi="宋体" w:eastAsia="宋体"/>
                <w:sz w:val="16"/>
              </w:rPr>
              <w:t>实际完成情况</w:t>
            </w:r>
          </w:p>
        </w:tc>
      </w:tr>
      <w:tr w14:paraId="38FD2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0F4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3FC3C">
            <w:pPr>
              <w:jc w:val="both"/>
            </w:pPr>
            <w:r>
              <w:rPr>
                <w:rFonts w:ascii="宋体" w:hAnsi="宋体" w:eastAsia="宋体"/>
                <w:sz w:val="16"/>
              </w:rPr>
              <w:t>该项目主要聘请法律顾问1人，项目资金为2万元，通过聘请法律顾问，加强政府法律顾问队伍建设，完善政府法律顾问工作机制，充分发挥政府法律顾问在法治轨道上推进新疆治理体系和治理能力现代化方面的积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69C4ED">
            <w:pPr>
              <w:jc w:val="both"/>
            </w:pPr>
            <w:r>
              <w:rPr>
                <w:rFonts w:ascii="宋体" w:hAnsi="宋体" w:eastAsia="宋体"/>
                <w:sz w:val="16"/>
              </w:rPr>
              <w:t>该项目已</w:t>
            </w:r>
            <w:r>
              <w:rPr>
                <w:rFonts w:hint="eastAsia" w:ascii="宋体" w:hAnsi="宋体"/>
                <w:sz w:val="16"/>
                <w:lang w:eastAsia="zh-CN"/>
              </w:rPr>
              <w:t>完成</w:t>
            </w:r>
            <w:r>
              <w:rPr>
                <w:rFonts w:ascii="宋体" w:hAnsi="宋体" w:eastAsia="宋体"/>
                <w:sz w:val="16"/>
              </w:rPr>
              <w:t>聘请一名法律顾问，费用为2万元，项目的实施，有效推进法律顾问服务工作，促进了国企基础管理工作。</w:t>
            </w:r>
          </w:p>
        </w:tc>
      </w:tr>
      <w:tr w14:paraId="56244B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1567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78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DD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4B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98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A9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A7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01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23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D1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65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6C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C4F51">
            <w:pPr>
              <w:jc w:val="center"/>
            </w:pPr>
            <w:r>
              <w:rPr>
                <w:rFonts w:ascii="宋体" w:hAnsi="宋体" w:eastAsia="宋体"/>
                <w:sz w:val="16"/>
              </w:rPr>
              <w:t>偏差原因分析及改进措施</w:t>
            </w:r>
          </w:p>
        </w:tc>
      </w:tr>
      <w:tr w14:paraId="2BA7C8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2F5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119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D50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F61F">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F92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3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66C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0D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8C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4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985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61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83970">
            <w:pPr>
              <w:jc w:val="center"/>
            </w:pPr>
          </w:p>
        </w:tc>
      </w:tr>
      <w:tr w14:paraId="6FBCF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9C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42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4A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D2D6">
            <w:pPr>
              <w:jc w:val="center"/>
            </w:pPr>
            <w:r>
              <w:rPr>
                <w:rFonts w:ascii="宋体" w:hAnsi="宋体" w:eastAsia="宋体"/>
                <w:sz w:val="16"/>
              </w:rPr>
              <w:t>聘请法律顾问服务时限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132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DA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182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94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E7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52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C83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EC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7EB80">
            <w:pPr>
              <w:jc w:val="center"/>
            </w:pPr>
          </w:p>
        </w:tc>
      </w:tr>
      <w:tr w14:paraId="3DEBC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6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B5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1E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34D9">
            <w:pPr>
              <w:jc w:val="center"/>
            </w:pPr>
            <w:r>
              <w:rPr>
                <w:rFonts w:ascii="宋体" w:hAnsi="宋体" w:eastAsia="宋体"/>
                <w:sz w:val="16"/>
              </w:rPr>
              <w:t>法律顾问服务质量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0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6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5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1C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4C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EF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3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22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411F4">
            <w:pPr>
              <w:jc w:val="center"/>
            </w:pPr>
          </w:p>
        </w:tc>
      </w:tr>
      <w:tr w14:paraId="51ADD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E9A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53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AD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7B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FE4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0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43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61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D7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82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8998">
            <w:pPr>
              <w:jc w:val="center"/>
            </w:pPr>
            <w:r>
              <w:rPr>
                <w:rFonts w:ascii="宋体" w:hAnsi="宋体" w:eastAsia="宋体"/>
                <w:sz w:val="16"/>
              </w:rPr>
              <w:t>=2024年5月8日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1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5AB7C">
            <w:pPr>
              <w:jc w:val="center"/>
            </w:pPr>
          </w:p>
        </w:tc>
      </w:tr>
      <w:tr w14:paraId="4E04D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7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2B0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36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2DD9">
            <w:pPr>
              <w:jc w:val="center"/>
            </w:pPr>
            <w:r>
              <w:rPr>
                <w:rFonts w:ascii="宋体" w:hAnsi="宋体" w:eastAsia="宋体"/>
                <w:sz w:val="16"/>
              </w:rPr>
              <w:t>聘请法律顾问成本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5885">
            <w:pPr>
              <w:jc w:val="center"/>
            </w:pPr>
            <w:r>
              <w:rPr>
                <w:rFonts w:ascii="宋体" w:hAnsi="宋体" w:eastAsia="宋体"/>
                <w:sz w:val="16"/>
              </w:rPr>
              <w:t>&lt;=1666.66元/月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1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0A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37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B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29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9293">
            <w:pPr>
              <w:jc w:val="center"/>
            </w:pPr>
            <w:r>
              <w:rPr>
                <w:rFonts w:ascii="宋体" w:hAnsi="宋体" w:eastAsia="宋体"/>
                <w:sz w:val="16"/>
              </w:rPr>
              <w:t>=1666.66元/月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03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DB10F">
            <w:pPr>
              <w:jc w:val="center"/>
            </w:pPr>
          </w:p>
        </w:tc>
      </w:tr>
      <w:tr w14:paraId="780FC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E8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18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54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8BDC">
            <w:pPr>
              <w:jc w:val="center"/>
            </w:pPr>
            <w:r>
              <w:rPr>
                <w:rFonts w:ascii="宋体" w:hAnsi="宋体" w:eastAsia="宋体"/>
                <w:sz w:val="16"/>
              </w:rPr>
              <w:t>提高单位人员法律意识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9BE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2D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3F4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3C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84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B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3D7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83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8DD97">
            <w:pPr>
              <w:jc w:val="center"/>
            </w:pPr>
          </w:p>
        </w:tc>
      </w:tr>
      <w:tr w14:paraId="3A76B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C1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3D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5F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B840">
            <w:pPr>
              <w:jc w:val="center"/>
            </w:pPr>
            <w:r>
              <w:rPr>
                <w:rFonts w:ascii="宋体" w:hAnsi="宋体" w:eastAsia="宋体"/>
                <w:sz w:val="16"/>
              </w:rPr>
              <w:t>单位人员对法律顾问服务满意度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7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9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4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7D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43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8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8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FE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9FFB6">
            <w:pPr>
              <w:jc w:val="center"/>
            </w:pPr>
          </w:p>
        </w:tc>
      </w:tr>
      <w:tr w14:paraId="42D1C3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160B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6C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B8B9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03C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3647A8"/>
        </w:tc>
      </w:tr>
    </w:tbl>
    <w:p w14:paraId="5406B3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6EDE4CF">
        <w:tc>
          <w:tcPr>
            <w:tcW w:w="8848" w:type="dxa"/>
            <w:gridSpan w:val="14"/>
            <w:vAlign w:val="center"/>
          </w:tcPr>
          <w:p w14:paraId="6DDCDB57">
            <w:pPr>
              <w:jc w:val="center"/>
            </w:pPr>
            <w:r>
              <w:rPr>
                <w:rFonts w:ascii="宋体" w:hAnsi="宋体" w:eastAsia="宋体"/>
                <w:sz w:val="24"/>
              </w:rPr>
              <w:t>项目支出绩效自评表</w:t>
            </w:r>
          </w:p>
        </w:tc>
      </w:tr>
      <w:tr w14:paraId="0C28F1F2">
        <w:tblPrEx>
          <w:tblCellMar>
            <w:top w:w="0" w:type="dxa"/>
            <w:left w:w="108" w:type="dxa"/>
            <w:bottom w:w="0" w:type="dxa"/>
            <w:right w:w="108" w:type="dxa"/>
          </w:tblCellMar>
        </w:tblPrEx>
        <w:tc>
          <w:tcPr>
            <w:tcW w:w="8848" w:type="dxa"/>
            <w:gridSpan w:val="14"/>
            <w:vAlign w:val="center"/>
          </w:tcPr>
          <w:p w14:paraId="2A43EFF5">
            <w:pPr>
              <w:jc w:val="center"/>
            </w:pPr>
            <w:r>
              <w:rPr>
                <w:rFonts w:ascii="宋体" w:hAnsi="宋体" w:eastAsia="宋体"/>
                <w:sz w:val="24"/>
              </w:rPr>
              <w:t>(2024年度)</w:t>
            </w:r>
          </w:p>
        </w:tc>
      </w:tr>
      <w:tr w14:paraId="46EC24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64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D7CAC2">
            <w:pPr>
              <w:jc w:val="center"/>
            </w:pPr>
            <w:r>
              <w:rPr>
                <w:rFonts w:ascii="宋体" w:hAnsi="宋体" w:eastAsia="宋体"/>
                <w:sz w:val="16"/>
              </w:rPr>
              <w:t>阳光集团产业引导基金前期出资注册资本金项目</w:t>
            </w:r>
          </w:p>
        </w:tc>
      </w:tr>
      <w:tr w14:paraId="59C5B1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21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71059">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28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0C3C18">
            <w:pPr>
              <w:jc w:val="center"/>
            </w:pPr>
            <w:r>
              <w:rPr>
                <w:rFonts w:ascii="宋体" w:hAnsi="宋体" w:eastAsia="宋体"/>
                <w:sz w:val="16"/>
              </w:rPr>
              <w:t>喀什地区国有资产监督管理委员会</w:t>
            </w:r>
          </w:p>
        </w:tc>
      </w:tr>
      <w:tr w14:paraId="384027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4A1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A1B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AE3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13A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2A0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694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E2F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2C52">
            <w:pPr>
              <w:jc w:val="center"/>
            </w:pPr>
            <w:r>
              <w:rPr>
                <w:rFonts w:ascii="宋体" w:hAnsi="宋体" w:eastAsia="宋体"/>
                <w:sz w:val="16"/>
              </w:rPr>
              <w:t>得分</w:t>
            </w:r>
          </w:p>
        </w:tc>
      </w:tr>
      <w:tr w14:paraId="54711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E6E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DF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722A8">
            <w:pPr>
              <w:jc w:val="center"/>
            </w:pPr>
            <w:r>
              <w:rPr>
                <w:rFonts w:ascii="宋体" w:hAnsi="宋体" w:eastAsia="宋体"/>
                <w:sz w:val="16"/>
              </w:rPr>
              <w:t>20,000.00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1E8ED">
            <w:pPr>
              <w:jc w:val="center"/>
            </w:pPr>
            <w:r>
              <w:rPr>
                <w:rFonts w:ascii="宋体" w:hAnsi="宋体" w:eastAsia="宋体"/>
                <w:sz w:val="16"/>
              </w:rPr>
              <w:t>20,000.00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FD00F">
            <w:pPr>
              <w:jc w:val="center"/>
            </w:pPr>
            <w:r>
              <w:rPr>
                <w:rFonts w:ascii="宋体" w:hAnsi="宋体" w:eastAsia="宋体"/>
                <w:sz w:val="16"/>
              </w:rPr>
              <w:t>20,000.00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068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64BD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E1DA">
            <w:pPr>
              <w:jc w:val="center"/>
            </w:pPr>
            <w:r>
              <w:rPr>
                <w:rFonts w:ascii="宋体" w:hAnsi="宋体" w:eastAsia="宋体"/>
                <w:sz w:val="16"/>
              </w:rPr>
              <w:t>10.00分</w:t>
            </w:r>
          </w:p>
        </w:tc>
      </w:tr>
      <w:tr w14:paraId="439CA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0E9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A82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7E81E">
            <w:pPr>
              <w:jc w:val="center"/>
            </w:pPr>
            <w:r>
              <w:rPr>
                <w:rFonts w:ascii="宋体" w:hAnsi="宋体" w:eastAsia="宋体"/>
                <w:sz w:val="16"/>
              </w:rPr>
              <w:t>20,000.00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FD995">
            <w:pPr>
              <w:jc w:val="center"/>
            </w:pPr>
            <w:r>
              <w:rPr>
                <w:rFonts w:ascii="宋体" w:hAnsi="宋体" w:eastAsia="宋体"/>
                <w:sz w:val="16"/>
              </w:rPr>
              <w:t>20,000.00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13D8C">
            <w:pPr>
              <w:jc w:val="center"/>
            </w:pPr>
            <w:r>
              <w:rPr>
                <w:rFonts w:ascii="宋体" w:hAnsi="宋体" w:eastAsia="宋体"/>
                <w:sz w:val="16"/>
              </w:rPr>
              <w:t>20,000.00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506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7F4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5B3E">
            <w:pPr>
              <w:jc w:val="center"/>
            </w:pPr>
            <w:r>
              <w:rPr>
                <w:rFonts w:ascii="宋体" w:hAnsi="宋体" w:eastAsia="宋体"/>
                <w:sz w:val="16"/>
              </w:rPr>
              <w:t>—</w:t>
            </w:r>
          </w:p>
        </w:tc>
      </w:tr>
      <w:tr w14:paraId="28D54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1F2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A1A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3A3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7EC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98A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E4F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F29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C2BD">
            <w:pPr>
              <w:jc w:val="center"/>
            </w:pPr>
            <w:r>
              <w:rPr>
                <w:rFonts w:ascii="宋体" w:hAnsi="宋体" w:eastAsia="宋体"/>
                <w:sz w:val="16"/>
              </w:rPr>
              <w:t>—</w:t>
            </w:r>
          </w:p>
        </w:tc>
      </w:tr>
      <w:tr w14:paraId="473872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B42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F476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E3C770">
            <w:pPr>
              <w:jc w:val="center"/>
            </w:pPr>
            <w:r>
              <w:rPr>
                <w:rFonts w:ascii="宋体" w:hAnsi="宋体" w:eastAsia="宋体"/>
                <w:sz w:val="16"/>
              </w:rPr>
              <w:t>实际完成情况</w:t>
            </w:r>
          </w:p>
        </w:tc>
      </w:tr>
      <w:tr w14:paraId="3299F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191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BCBE5F">
            <w:pPr>
              <w:jc w:val="both"/>
            </w:pPr>
            <w:r>
              <w:rPr>
                <w:rFonts w:ascii="宋体" w:hAnsi="宋体" w:eastAsia="宋体"/>
                <w:sz w:val="16"/>
              </w:rPr>
              <w:t>该项目资金为20000万元，主要为注册资本金，通过对喀什阳光集团注资</w:t>
            </w:r>
            <w:r>
              <w:rPr>
                <w:rFonts w:hint="eastAsia" w:ascii="宋体" w:hAnsi="宋体"/>
                <w:sz w:val="16"/>
                <w:lang w:eastAsia="zh-CN"/>
              </w:rPr>
              <w:t>，</w:t>
            </w:r>
            <w:r>
              <w:rPr>
                <w:rFonts w:ascii="宋体" w:hAnsi="宋体" w:eastAsia="宋体"/>
                <w:sz w:val="16"/>
              </w:rPr>
              <w:t>协助新动能公司开展实地调研等工作。更好撬动社会资本聚力助推高质量发展。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070F63">
            <w:pPr>
              <w:jc w:val="both"/>
            </w:pPr>
            <w:r>
              <w:rPr>
                <w:rFonts w:ascii="宋体" w:hAnsi="宋体" w:eastAsia="宋体"/>
                <w:sz w:val="16"/>
              </w:rPr>
              <w:t>阳光集团对喀什阳光融通股权基金合伙企业（有限合伙）出资20000万元，已注资完成。</w:t>
            </w:r>
          </w:p>
        </w:tc>
      </w:tr>
      <w:tr w14:paraId="4B4901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6A9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A8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AE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CF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BB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91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AA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B2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88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37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25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70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17D0C">
            <w:pPr>
              <w:jc w:val="center"/>
            </w:pPr>
            <w:r>
              <w:rPr>
                <w:rFonts w:ascii="宋体" w:hAnsi="宋体" w:eastAsia="宋体"/>
                <w:sz w:val="16"/>
              </w:rPr>
              <w:t>偏差原因分析及改进措施</w:t>
            </w:r>
          </w:p>
        </w:tc>
      </w:tr>
      <w:tr w14:paraId="34CDA9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E78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9EB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D23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75C8">
            <w:pPr>
              <w:jc w:val="center"/>
            </w:pPr>
            <w:r>
              <w:rPr>
                <w:rFonts w:ascii="宋体" w:hAnsi="宋体" w:eastAsia="宋体"/>
                <w:sz w:val="16"/>
              </w:rPr>
              <w:t>受益企业数量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060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5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20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0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D6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95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608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C4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973F9">
            <w:pPr>
              <w:jc w:val="center"/>
            </w:pPr>
          </w:p>
        </w:tc>
      </w:tr>
      <w:tr w14:paraId="0F753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8A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A4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1D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F1EA">
            <w:pPr>
              <w:jc w:val="center"/>
            </w:pPr>
            <w:r>
              <w:rPr>
                <w:rFonts w:ascii="宋体" w:hAnsi="宋体" w:eastAsia="宋体"/>
                <w:sz w:val="16"/>
              </w:rPr>
              <w:t>成立母基金个数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56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6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2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AB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58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1AD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856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D4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58E94">
            <w:pPr>
              <w:jc w:val="center"/>
            </w:pPr>
          </w:p>
        </w:tc>
      </w:tr>
      <w:tr w14:paraId="5A5FB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8F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5FF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B3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9A83">
            <w:pPr>
              <w:jc w:val="center"/>
            </w:pPr>
            <w:r>
              <w:rPr>
                <w:rFonts w:ascii="宋体" w:hAnsi="宋体" w:eastAsia="宋体"/>
                <w:sz w:val="16"/>
              </w:rPr>
              <w:t>注册资本金使用合规率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F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6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79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B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0C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F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5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1C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65D39">
            <w:pPr>
              <w:jc w:val="center"/>
            </w:pPr>
          </w:p>
        </w:tc>
      </w:tr>
      <w:tr w14:paraId="2928A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20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EA1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86A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1B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599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8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CC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B4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7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2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92FA">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2F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5D557">
            <w:pPr>
              <w:jc w:val="center"/>
            </w:pPr>
          </w:p>
        </w:tc>
      </w:tr>
      <w:tr w14:paraId="756FC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4C2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969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13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7F3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5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D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1D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1B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FB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5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98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EE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E33B7">
            <w:pPr>
              <w:jc w:val="center"/>
            </w:pPr>
          </w:p>
        </w:tc>
      </w:tr>
      <w:tr w14:paraId="1F87F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D2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22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B0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56D0">
            <w:pPr>
              <w:jc w:val="center"/>
            </w:pPr>
            <w:r>
              <w:rPr>
                <w:rFonts w:ascii="宋体" w:hAnsi="宋体" w:eastAsia="宋体"/>
                <w:sz w:val="16"/>
              </w:rPr>
              <w:t>推动产业高质量发展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9F0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8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E3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183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56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A5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6F8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7EC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7FD01">
            <w:pPr>
              <w:jc w:val="center"/>
            </w:pPr>
          </w:p>
        </w:tc>
      </w:tr>
      <w:tr w14:paraId="2B6D4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1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61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31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AA87">
            <w:pPr>
              <w:jc w:val="center"/>
            </w:pPr>
            <w:r>
              <w:rPr>
                <w:rFonts w:ascii="宋体" w:hAnsi="宋体" w:eastAsia="宋体"/>
                <w:sz w:val="16"/>
              </w:rPr>
              <w:t>阳光集团满意度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00DE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D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E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1F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E1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0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7E87">
            <w:pPr>
              <w:jc w:val="center"/>
            </w:pPr>
            <w:r>
              <w:rPr>
                <w:rFonts w:ascii="宋体" w:hAnsi="宋体" w:eastAsia="宋体"/>
                <w:sz w:val="16"/>
              </w:rPr>
              <w:t>=99.57%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70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989BC">
            <w:pPr>
              <w:jc w:val="center"/>
            </w:pPr>
            <w:r>
              <w:rPr>
                <w:rFonts w:ascii="宋体" w:hAnsi="宋体" w:eastAsia="宋体"/>
                <w:sz w:val="16"/>
              </w:rPr>
              <w:t>该项目预期满意度98%，实际调查满意度99.57%，超出预期。</w:t>
            </w:r>
          </w:p>
        </w:tc>
      </w:tr>
      <w:tr w14:paraId="07ABE1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0FC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10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0EC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972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027E9D"/>
        </w:tc>
      </w:tr>
    </w:tbl>
    <w:p w14:paraId="647DB7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1A8ABC0">
        <w:tblPrEx>
          <w:tblCellMar>
            <w:top w:w="0" w:type="dxa"/>
            <w:left w:w="108" w:type="dxa"/>
            <w:bottom w:w="0" w:type="dxa"/>
            <w:right w:w="108" w:type="dxa"/>
          </w:tblCellMar>
        </w:tblPrEx>
        <w:tc>
          <w:tcPr>
            <w:tcW w:w="8848" w:type="dxa"/>
            <w:gridSpan w:val="14"/>
            <w:vAlign w:val="center"/>
          </w:tcPr>
          <w:p w14:paraId="409E0E3E">
            <w:pPr>
              <w:jc w:val="center"/>
            </w:pPr>
            <w:r>
              <w:rPr>
                <w:rFonts w:ascii="宋体" w:hAnsi="宋体" w:eastAsia="宋体"/>
                <w:sz w:val="24"/>
              </w:rPr>
              <w:t>项目支出绩效自评表</w:t>
            </w:r>
          </w:p>
        </w:tc>
      </w:tr>
      <w:tr w14:paraId="0C669E22">
        <w:tblPrEx>
          <w:tblCellMar>
            <w:top w:w="0" w:type="dxa"/>
            <w:left w:w="108" w:type="dxa"/>
            <w:bottom w:w="0" w:type="dxa"/>
            <w:right w:w="108" w:type="dxa"/>
          </w:tblCellMar>
        </w:tblPrEx>
        <w:tc>
          <w:tcPr>
            <w:tcW w:w="8848" w:type="dxa"/>
            <w:gridSpan w:val="14"/>
            <w:vAlign w:val="center"/>
          </w:tcPr>
          <w:p w14:paraId="4D7DB376">
            <w:pPr>
              <w:jc w:val="center"/>
            </w:pPr>
            <w:r>
              <w:rPr>
                <w:rFonts w:ascii="宋体" w:hAnsi="宋体" w:eastAsia="宋体"/>
                <w:sz w:val="24"/>
              </w:rPr>
              <w:t>(2024年度)</w:t>
            </w:r>
          </w:p>
        </w:tc>
      </w:tr>
      <w:tr w14:paraId="5E9466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FB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766741">
            <w:pPr>
              <w:jc w:val="center"/>
            </w:pPr>
            <w:r>
              <w:rPr>
                <w:rFonts w:ascii="宋体" w:hAnsi="宋体" w:eastAsia="宋体"/>
                <w:sz w:val="16"/>
              </w:rPr>
              <w:t>阳光集团国有资本金注入项目</w:t>
            </w:r>
          </w:p>
        </w:tc>
      </w:tr>
      <w:tr w14:paraId="30B8C5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7F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6B949">
            <w:pPr>
              <w:jc w:val="center"/>
            </w:pPr>
            <w:r>
              <w:rPr>
                <w:rFonts w:ascii="宋体" w:hAnsi="宋体" w:eastAsia="宋体"/>
                <w:sz w:val="16"/>
              </w:rPr>
              <w:t>喀什地区国有资产监督管理委员会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D9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EDD659">
            <w:pPr>
              <w:jc w:val="center"/>
            </w:pPr>
            <w:r>
              <w:rPr>
                <w:rFonts w:ascii="宋体" w:hAnsi="宋体" w:eastAsia="宋体"/>
                <w:sz w:val="16"/>
              </w:rPr>
              <w:t>喀什地区国有资产监督管理委员会</w:t>
            </w:r>
          </w:p>
        </w:tc>
      </w:tr>
      <w:tr w14:paraId="1BC87D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93B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5A9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3B0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BC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E57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A6A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E1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AA17">
            <w:pPr>
              <w:jc w:val="center"/>
            </w:pPr>
            <w:r>
              <w:rPr>
                <w:rFonts w:ascii="宋体" w:hAnsi="宋体" w:eastAsia="宋体"/>
                <w:sz w:val="16"/>
              </w:rPr>
              <w:t>得分</w:t>
            </w:r>
          </w:p>
        </w:tc>
      </w:tr>
      <w:tr w14:paraId="21DB0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F88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935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E7586">
            <w:pPr>
              <w:jc w:val="center"/>
            </w:pPr>
            <w:r>
              <w:rPr>
                <w:rFonts w:ascii="宋体" w:hAnsi="宋体" w:eastAsia="宋体"/>
                <w:sz w:val="16"/>
              </w:rPr>
              <w:t>588.00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35A5C">
            <w:pPr>
              <w:jc w:val="center"/>
            </w:pPr>
            <w:r>
              <w:rPr>
                <w:rFonts w:ascii="宋体" w:hAnsi="宋体" w:eastAsia="宋体"/>
                <w:sz w:val="16"/>
              </w:rPr>
              <w:t>588.00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3CD47">
            <w:pPr>
              <w:jc w:val="center"/>
            </w:pPr>
            <w:r>
              <w:rPr>
                <w:rFonts w:ascii="宋体" w:hAnsi="宋体" w:eastAsia="宋体"/>
                <w:sz w:val="16"/>
              </w:rPr>
              <w:t>588.00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34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21D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351E">
            <w:pPr>
              <w:jc w:val="center"/>
            </w:pPr>
            <w:r>
              <w:rPr>
                <w:rFonts w:ascii="宋体" w:hAnsi="宋体" w:eastAsia="宋体"/>
                <w:sz w:val="16"/>
              </w:rPr>
              <w:t>10.00分</w:t>
            </w:r>
          </w:p>
        </w:tc>
      </w:tr>
      <w:tr w14:paraId="72B21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917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F1C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7385C">
            <w:pPr>
              <w:jc w:val="center"/>
            </w:pPr>
            <w:r>
              <w:rPr>
                <w:rFonts w:ascii="宋体" w:hAnsi="宋体" w:eastAsia="宋体"/>
                <w:sz w:val="16"/>
              </w:rPr>
              <w:t>588.00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1F94">
            <w:pPr>
              <w:jc w:val="center"/>
            </w:pPr>
            <w:r>
              <w:rPr>
                <w:rFonts w:ascii="宋体" w:hAnsi="宋体" w:eastAsia="宋体"/>
                <w:sz w:val="16"/>
              </w:rPr>
              <w:t>588.00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C2F66">
            <w:pPr>
              <w:jc w:val="center"/>
            </w:pPr>
            <w:r>
              <w:rPr>
                <w:rFonts w:ascii="宋体" w:hAnsi="宋体" w:eastAsia="宋体"/>
                <w:sz w:val="16"/>
              </w:rPr>
              <w:t>588.00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34F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25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0852">
            <w:pPr>
              <w:jc w:val="center"/>
            </w:pPr>
            <w:r>
              <w:rPr>
                <w:rFonts w:ascii="宋体" w:hAnsi="宋体" w:eastAsia="宋体"/>
                <w:sz w:val="16"/>
              </w:rPr>
              <w:t>—</w:t>
            </w:r>
          </w:p>
        </w:tc>
      </w:tr>
      <w:tr w14:paraId="4D51F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449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E93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4F1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E22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89C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0BA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2E8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85D8">
            <w:pPr>
              <w:jc w:val="center"/>
            </w:pPr>
            <w:r>
              <w:rPr>
                <w:rFonts w:ascii="宋体" w:hAnsi="宋体" w:eastAsia="宋体"/>
                <w:sz w:val="16"/>
              </w:rPr>
              <w:t>—</w:t>
            </w:r>
          </w:p>
        </w:tc>
      </w:tr>
      <w:tr w14:paraId="710459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A43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9FB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5A10B5">
            <w:pPr>
              <w:jc w:val="center"/>
            </w:pPr>
            <w:r>
              <w:rPr>
                <w:rFonts w:ascii="宋体" w:hAnsi="宋体" w:eastAsia="宋体"/>
                <w:sz w:val="16"/>
              </w:rPr>
              <w:t>实际完成情况</w:t>
            </w:r>
          </w:p>
        </w:tc>
      </w:tr>
      <w:tr w14:paraId="64921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D41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86B5E">
            <w:pPr>
              <w:jc w:val="both"/>
            </w:pPr>
            <w:r>
              <w:rPr>
                <w:rFonts w:ascii="宋体" w:hAnsi="宋体" w:eastAsia="宋体"/>
                <w:sz w:val="16"/>
              </w:rPr>
              <w:t>该项目资金为588万元，主要为注册资本金，通过出资新疆天缘快线通用航空有限责任公司项目，推动丝绸之路经济带建设，全面提升我区丝绸之路经济带核心区战略地位和区域辐射能力；完善我区综合交通体系，推动我区通航产业实现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FC415E">
            <w:pPr>
              <w:jc w:val="both"/>
            </w:pPr>
            <w:r>
              <w:rPr>
                <w:rFonts w:ascii="宋体" w:hAnsi="宋体" w:eastAsia="宋体"/>
                <w:sz w:val="16"/>
              </w:rPr>
              <w:t>该项目主要为喀什阳光集团注册资本金，主要保障了1个资本金。项目的实施有利于</w:t>
            </w:r>
            <w:r>
              <w:rPr>
                <w:rFonts w:hint="eastAsia" w:ascii="宋体" w:hAnsi="宋体"/>
                <w:sz w:val="16"/>
                <w:lang w:eastAsia="zh-CN"/>
              </w:rPr>
              <w:t>推动</w:t>
            </w:r>
            <w:r>
              <w:rPr>
                <w:rFonts w:ascii="宋体" w:hAnsi="宋体" w:eastAsia="宋体"/>
                <w:sz w:val="16"/>
              </w:rPr>
              <w:t>丝绸之路经济带建设，全面提升我区丝绸之路经济带核心区战略地位和区域辐射能力。</w:t>
            </w:r>
          </w:p>
        </w:tc>
      </w:tr>
      <w:tr w14:paraId="7C6C4E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8E3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C3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EC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34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93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D7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43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8A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DB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B0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00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61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A1AD5">
            <w:pPr>
              <w:jc w:val="center"/>
            </w:pPr>
            <w:r>
              <w:rPr>
                <w:rFonts w:ascii="宋体" w:hAnsi="宋体" w:eastAsia="宋体"/>
                <w:sz w:val="16"/>
              </w:rPr>
              <w:t>偏差原因分析及改进措施</w:t>
            </w:r>
          </w:p>
        </w:tc>
      </w:tr>
      <w:tr w14:paraId="24C9D6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C9D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C35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F0B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849C">
            <w:pPr>
              <w:jc w:val="center"/>
            </w:pPr>
            <w:r>
              <w:rPr>
                <w:rFonts w:ascii="宋体" w:hAnsi="宋体" w:eastAsia="宋体"/>
                <w:sz w:val="16"/>
              </w:rPr>
              <w:t>受益企业数量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CD7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B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AD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A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06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98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0FB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5A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4E69A">
            <w:pPr>
              <w:jc w:val="center"/>
            </w:pPr>
          </w:p>
        </w:tc>
      </w:tr>
      <w:tr w14:paraId="6D38818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19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68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8FC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2363">
            <w:pPr>
              <w:jc w:val="center"/>
            </w:pPr>
            <w:r>
              <w:rPr>
                <w:rFonts w:ascii="宋体" w:hAnsi="宋体" w:eastAsia="宋体"/>
                <w:sz w:val="16"/>
              </w:rPr>
              <w:t>开辟短途客货运输航线数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C0E7">
            <w:pPr>
              <w:jc w:val="center"/>
            </w:pPr>
            <w:r>
              <w:rPr>
                <w:rFonts w:ascii="宋体" w:hAnsi="宋体" w:eastAsia="宋体"/>
                <w:sz w:val="16"/>
              </w:rPr>
              <w:t>&gt;=100条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67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6F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57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B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E09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B1AB">
            <w:pPr>
              <w:jc w:val="center"/>
            </w:pPr>
            <w:r>
              <w:rPr>
                <w:rFonts w:ascii="宋体" w:hAnsi="宋体" w:eastAsia="宋体"/>
                <w:sz w:val="16"/>
              </w:rPr>
              <w:t>=6条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76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4052E">
            <w:pPr>
              <w:jc w:val="center"/>
            </w:pPr>
            <w:r>
              <w:rPr>
                <w:rFonts w:ascii="宋体" w:hAnsi="宋体" w:eastAsia="宋体"/>
                <w:sz w:val="16"/>
              </w:rPr>
              <w:t>偏差原因：该指标值设定过高，因此有偏差。改进措施：下次合理设置目标值。</w:t>
            </w:r>
          </w:p>
        </w:tc>
      </w:tr>
      <w:tr w14:paraId="4708B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1D9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EC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90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8140">
            <w:pPr>
              <w:jc w:val="center"/>
            </w:pPr>
            <w:r>
              <w:rPr>
                <w:rFonts w:ascii="宋体" w:hAnsi="宋体" w:eastAsia="宋体"/>
                <w:sz w:val="16"/>
              </w:rPr>
              <w:t>注册资本金使用合规率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D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A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12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94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A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C5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E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8D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E1DA2">
            <w:pPr>
              <w:jc w:val="center"/>
            </w:pPr>
          </w:p>
        </w:tc>
      </w:tr>
      <w:tr w14:paraId="2AD6B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C1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CC6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F72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55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B45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8A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10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53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3C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92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4978">
            <w:pPr>
              <w:jc w:val="center"/>
            </w:pPr>
            <w:r>
              <w:rPr>
                <w:rFonts w:ascii="宋体" w:hAnsi="宋体" w:eastAsia="宋体"/>
                <w:sz w:val="16"/>
              </w:rPr>
              <w:t>=2024年6月7日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66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D1FF">
            <w:pPr>
              <w:jc w:val="center"/>
            </w:pPr>
          </w:p>
        </w:tc>
      </w:tr>
      <w:tr w14:paraId="1195C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23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E0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AF9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2A6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0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E8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60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CF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1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C5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6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49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86957">
            <w:pPr>
              <w:jc w:val="center"/>
            </w:pPr>
          </w:p>
        </w:tc>
      </w:tr>
      <w:tr w14:paraId="4D901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24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FB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C4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591A">
            <w:pPr>
              <w:jc w:val="center"/>
            </w:pPr>
            <w:r>
              <w:rPr>
                <w:rFonts w:ascii="宋体" w:hAnsi="宋体" w:eastAsia="宋体"/>
                <w:sz w:val="16"/>
              </w:rPr>
              <w:t>推动通航产业高质量发展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60EB">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B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4E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05F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FF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053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352D">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7BA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0F56">
            <w:pPr>
              <w:jc w:val="center"/>
            </w:pPr>
          </w:p>
        </w:tc>
      </w:tr>
      <w:tr w14:paraId="7C5B5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8F5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26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E3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8565">
            <w:pPr>
              <w:jc w:val="center"/>
            </w:pPr>
            <w:r>
              <w:rPr>
                <w:rFonts w:ascii="宋体" w:hAnsi="宋体" w:eastAsia="宋体"/>
                <w:sz w:val="16"/>
              </w:rPr>
              <w:t>旅客满意度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2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2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08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A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37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97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3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7A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D590C">
            <w:pPr>
              <w:jc w:val="center"/>
            </w:pPr>
          </w:p>
        </w:tc>
      </w:tr>
      <w:tr w14:paraId="1F8D78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7B4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F1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D651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967F">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7CC3DD"/>
        </w:tc>
      </w:tr>
    </w:tbl>
    <w:p w14:paraId="48D8BA6B">
      <w:r>
        <w:br w:type="page"/>
      </w:r>
    </w:p>
    <w:p w14:paraId="6C41A39C">
      <w:pPr>
        <w:spacing w:line="640" w:lineRule="exact"/>
        <w:ind w:firstLine="640"/>
        <w:jc w:val="both"/>
        <w:outlineLvl w:val="2"/>
      </w:pPr>
      <w:r>
        <w:rPr>
          <w:rFonts w:ascii="黑体" w:hAnsi="黑体" w:eastAsia="黑体"/>
          <w:sz w:val="32"/>
        </w:rPr>
        <w:t>十二、其他需说明的事项</w:t>
      </w:r>
    </w:p>
    <w:p w14:paraId="5EA289B5">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项目2个，全年预算数15.05万元，全年执行数15.05万元。</w:t>
      </w:r>
      <w:bookmarkStart w:id="0" w:name="_GoBack"/>
      <w:bookmarkEnd w:id="0"/>
    </w:p>
    <w:p w14:paraId="25F46D92">
      <w:r>
        <w:br w:type="page"/>
      </w:r>
    </w:p>
    <w:p w14:paraId="11B7285B">
      <w:pPr>
        <w:spacing w:line="240" w:lineRule="auto"/>
        <w:jc w:val="center"/>
        <w:outlineLvl w:val="1"/>
      </w:pPr>
      <w:r>
        <w:rPr>
          <w:rFonts w:ascii="黑体" w:hAnsi="黑体" w:eastAsia="黑体"/>
          <w:sz w:val="32"/>
        </w:rPr>
        <w:t>第三部分 专业名词解释</w:t>
      </w:r>
    </w:p>
    <w:p w14:paraId="3E10655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B6006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B1DE2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879688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EC4B2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378D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0D544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64CF3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6908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D2322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AA67B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3745F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D1CB6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19AB7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717EF8">
      <w:r>
        <w:br w:type="page"/>
      </w:r>
    </w:p>
    <w:p w14:paraId="233332B8">
      <w:pPr>
        <w:spacing w:line="240" w:lineRule="auto"/>
        <w:jc w:val="center"/>
        <w:outlineLvl w:val="1"/>
      </w:pPr>
      <w:r>
        <w:rPr>
          <w:rFonts w:ascii="黑体" w:hAnsi="黑体" w:eastAsia="黑体"/>
          <w:sz w:val="32"/>
        </w:rPr>
        <w:t>第四部分 部门决算报表（见附表）</w:t>
      </w:r>
    </w:p>
    <w:p w14:paraId="7A728E7D">
      <w:pPr>
        <w:spacing w:line="240" w:lineRule="auto"/>
        <w:ind w:firstLine="640"/>
        <w:jc w:val="both"/>
      </w:pPr>
      <w:r>
        <w:rPr>
          <w:rFonts w:ascii="仿宋_GB2312" w:hAnsi="仿宋_GB2312" w:eastAsia="仿宋_GB2312"/>
          <w:b w:val="0"/>
          <w:sz w:val="32"/>
        </w:rPr>
        <w:t>一、《收入支出决算总表》</w:t>
      </w:r>
    </w:p>
    <w:p w14:paraId="62D6F68B">
      <w:pPr>
        <w:spacing w:line="240" w:lineRule="auto"/>
        <w:ind w:firstLine="640"/>
        <w:jc w:val="both"/>
      </w:pPr>
      <w:r>
        <w:rPr>
          <w:rFonts w:ascii="仿宋_GB2312" w:hAnsi="仿宋_GB2312" w:eastAsia="仿宋_GB2312"/>
          <w:b w:val="0"/>
          <w:sz w:val="32"/>
        </w:rPr>
        <w:t>二、《收入决算表》</w:t>
      </w:r>
    </w:p>
    <w:p w14:paraId="3DA4E86F">
      <w:pPr>
        <w:spacing w:line="240" w:lineRule="auto"/>
        <w:ind w:firstLine="640"/>
        <w:jc w:val="both"/>
      </w:pPr>
      <w:r>
        <w:rPr>
          <w:rFonts w:ascii="仿宋_GB2312" w:hAnsi="仿宋_GB2312" w:eastAsia="仿宋_GB2312"/>
          <w:b w:val="0"/>
          <w:sz w:val="32"/>
        </w:rPr>
        <w:t>三、《支出决算表》</w:t>
      </w:r>
    </w:p>
    <w:p w14:paraId="6B41F03F">
      <w:pPr>
        <w:spacing w:line="240" w:lineRule="auto"/>
        <w:ind w:firstLine="640"/>
        <w:jc w:val="both"/>
      </w:pPr>
      <w:r>
        <w:rPr>
          <w:rFonts w:ascii="仿宋_GB2312" w:hAnsi="仿宋_GB2312" w:eastAsia="仿宋_GB2312"/>
          <w:b w:val="0"/>
          <w:sz w:val="32"/>
        </w:rPr>
        <w:t>四、《财政拨款收入支出决算总表》</w:t>
      </w:r>
    </w:p>
    <w:p w14:paraId="455CDF20">
      <w:pPr>
        <w:spacing w:line="240" w:lineRule="auto"/>
        <w:ind w:firstLine="640"/>
        <w:jc w:val="both"/>
      </w:pPr>
      <w:r>
        <w:rPr>
          <w:rFonts w:ascii="仿宋_GB2312" w:hAnsi="仿宋_GB2312" w:eastAsia="仿宋_GB2312"/>
          <w:b w:val="0"/>
          <w:sz w:val="32"/>
        </w:rPr>
        <w:t>五、《一般公共预算财政拨款支出决算表》</w:t>
      </w:r>
    </w:p>
    <w:p w14:paraId="69BA23FB">
      <w:pPr>
        <w:spacing w:line="240" w:lineRule="auto"/>
        <w:ind w:firstLine="640"/>
        <w:jc w:val="both"/>
      </w:pPr>
      <w:r>
        <w:rPr>
          <w:rFonts w:ascii="仿宋_GB2312" w:hAnsi="仿宋_GB2312" w:eastAsia="仿宋_GB2312"/>
          <w:b w:val="0"/>
          <w:sz w:val="32"/>
        </w:rPr>
        <w:t>六、《一般公共预算财政拨款基本支出决算表》</w:t>
      </w:r>
    </w:p>
    <w:p w14:paraId="501BE518">
      <w:pPr>
        <w:spacing w:line="240" w:lineRule="auto"/>
        <w:ind w:firstLine="640"/>
        <w:jc w:val="both"/>
      </w:pPr>
      <w:r>
        <w:rPr>
          <w:rFonts w:ascii="仿宋_GB2312" w:hAnsi="仿宋_GB2312" w:eastAsia="仿宋_GB2312"/>
          <w:b w:val="0"/>
          <w:sz w:val="32"/>
        </w:rPr>
        <w:t>七、《政府性基金预算财政拨款收入支出决算表》</w:t>
      </w:r>
    </w:p>
    <w:p w14:paraId="627A7D9B">
      <w:pPr>
        <w:spacing w:line="240" w:lineRule="auto"/>
        <w:ind w:firstLine="640"/>
        <w:jc w:val="both"/>
      </w:pPr>
      <w:r>
        <w:rPr>
          <w:rFonts w:ascii="仿宋_GB2312" w:hAnsi="仿宋_GB2312" w:eastAsia="仿宋_GB2312"/>
          <w:b w:val="0"/>
          <w:sz w:val="32"/>
        </w:rPr>
        <w:t>八、《国有资本经营预算财政拨款收入支出决算表》</w:t>
      </w:r>
    </w:p>
    <w:p w14:paraId="32090EF9">
      <w:pPr>
        <w:spacing w:line="240" w:lineRule="auto"/>
        <w:ind w:firstLine="640"/>
        <w:jc w:val="both"/>
      </w:pPr>
      <w:r>
        <w:rPr>
          <w:rFonts w:ascii="仿宋_GB2312" w:hAnsi="仿宋_GB2312" w:eastAsia="仿宋_GB2312"/>
          <w:b w:val="0"/>
          <w:sz w:val="32"/>
        </w:rPr>
        <w:t>九、《财政拨款“三公”经费支出决算表》</w:t>
      </w:r>
    </w:p>
    <w:p w14:paraId="5D4DF160">
      <w:pPr>
        <w:spacing w:line="240" w:lineRule="auto"/>
        <w:ind w:firstLine="640"/>
        <w:jc w:val="both"/>
      </w:pPr>
    </w:p>
    <w:p w14:paraId="6388A9B3">
      <w:pPr>
        <w:spacing w:line="240" w:lineRule="auto"/>
        <w:ind w:firstLine="640"/>
        <w:jc w:val="both"/>
      </w:pPr>
    </w:p>
    <w:p w14:paraId="715ADDD6">
      <w:pPr>
        <w:spacing w:line="240" w:lineRule="auto"/>
        <w:ind w:firstLine="640"/>
        <w:jc w:val="both"/>
      </w:pPr>
    </w:p>
    <w:p w14:paraId="4B351ED6">
      <w:pPr>
        <w:spacing w:line="240" w:lineRule="auto"/>
        <w:ind w:firstLine="640"/>
        <w:jc w:val="both"/>
      </w:pPr>
    </w:p>
    <w:p w14:paraId="2377D37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FDA29A-56B8-4D11-BE5F-41EDB984D1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732F5FD-C2C4-4502-9F08-0E3741111CE5}"/>
  </w:font>
  <w:font w:name="方正小标宋_GBK">
    <w:panose1 w:val="02000000000000000000"/>
    <w:charset w:val="86"/>
    <w:family w:val="script"/>
    <w:pitch w:val="default"/>
    <w:sig w:usb0="A00002BF" w:usb1="38CF7CFA" w:usb2="00082016" w:usb3="00000000" w:csb0="00040001" w:csb1="00000000"/>
    <w:embedRegular r:id="rId3" w:fontKey="{C2F2D932-AA9C-45C3-8D30-C5758D1D4E62}"/>
  </w:font>
  <w:font w:name="楷体_GB2312">
    <w:altName w:val="楷体"/>
    <w:panose1 w:val="00000000000000000000"/>
    <w:charset w:val="00"/>
    <w:family w:val="auto"/>
    <w:pitch w:val="default"/>
    <w:sig w:usb0="00000000" w:usb1="00000000" w:usb2="00000000" w:usb3="00000000" w:csb0="00000000" w:csb1="00000000"/>
    <w:embedRegular r:id="rId4" w:fontKey="{37FCF459-1391-4B8C-B344-32F8A5819B0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704ADE"/>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E2CAB"/>
    <w:rsid w:val="5AFC6609"/>
    <w:rsid w:val="5FA17648"/>
    <w:rsid w:val="5FD320BD"/>
    <w:rsid w:val="60DE4D57"/>
    <w:rsid w:val="613409CB"/>
    <w:rsid w:val="61A46A97"/>
    <w:rsid w:val="62DD7D21"/>
    <w:rsid w:val="65D97752"/>
    <w:rsid w:val="664C500C"/>
    <w:rsid w:val="67D111AB"/>
    <w:rsid w:val="68183C03"/>
    <w:rsid w:val="68DB0208"/>
    <w:rsid w:val="68DF36D5"/>
    <w:rsid w:val="69846A0E"/>
    <w:rsid w:val="69AD798C"/>
    <w:rsid w:val="6B68175F"/>
    <w:rsid w:val="6B8B5C99"/>
    <w:rsid w:val="6CA7198F"/>
    <w:rsid w:val="6D8919A8"/>
    <w:rsid w:val="6E0F7A08"/>
    <w:rsid w:val="6E801ABC"/>
    <w:rsid w:val="71473612"/>
    <w:rsid w:val="718F7F65"/>
    <w:rsid w:val="728D439E"/>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6994</Words>
  <Characters>8191</Characters>
  <Lines>0</Lines>
  <Paragraphs>0</Paragraphs>
  <TotalTime>14</TotalTime>
  <ScaleCrop>false</ScaleCrop>
  <LinksUpToDate>false</LinksUpToDate>
  <CharactersWithSpaces>8202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