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4E609E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喀什地区就业培训局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EB7285E">
      <w:r>
        <w:br w:type="page"/>
      </w:r>
    </w:p>
    <w:p w14:paraId="5DDC8195">
      <w:pPr>
        <w:spacing w:line="640" w:lineRule="exact"/>
        <w:jc w:val="center"/>
        <w:outlineLvl w:val="1"/>
      </w:pPr>
      <w:r>
        <w:rPr>
          <w:rFonts w:ascii="黑体" w:hAnsi="黑体" w:eastAsia="黑体"/>
          <w:sz w:val="32"/>
        </w:rPr>
        <w:t>第一部分 单位概况</w:t>
      </w:r>
    </w:p>
    <w:p w14:paraId="40EB584D">
      <w:pPr>
        <w:spacing w:line="640" w:lineRule="exact"/>
        <w:ind w:firstLine="640"/>
        <w:jc w:val="both"/>
        <w:outlineLvl w:val="2"/>
      </w:pPr>
      <w:r>
        <w:rPr>
          <w:rFonts w:ascii="黑体" w:hAnsi="黑体" w:eastAsia="黑体"/>
          <w:sz w:val="32"/>
        </w:rPr>
        <w:t>一、主要职能</w:t>
      </w:r>
    </w:p>
    <w:p w14:paraId="2A75EA4D">
      <w:pPr>
        <w:spacing w:line="580" w:lineRule="exact"/>
        <w:ind w:firstLine="640"/>
        <w:jc w:val="both"/>
      </w:pPr>
      <w:r>
        <w:rPr>
          <w:rFonts w:ascii="仿宋_GB2312" w:hAnsi="仿宋_GB2312" w:eastAsia="仿宋_GB2312"/>
          <w:sz w:val="32"/>
        </w:rPr>
        <w:t>承办地委、行署交办的工作。结合工作实际，开展专题调研，及时总结好经验、好做法，为地委领导科学决策提供依据，完成上级交办的其他工作。</w:t>
      </w:r>
    </w:p>
    <w:p w14:paraId="4B9811EA">
      <w:pPr>
        <w:spacing w:line="640" w:lineRule="exact"/>
        <w:ind w:firstLine="640"/>
        <w:jc w:val="both"/>
        <w:outlineLvl w:val="2"/>
      </w:pPr>
      <w:r>
        <w:rPr>
          <w:rFonts w:ascii="黑体" w:hAnsi="黑体" w:eastAsia="黑体"/>
          <w:sz w:val="32"/>
        </w:rPr>
        <w:t>二、机构设置及人员情况</w:t>
      </w:r>
    </w:p>
    <w:p w14:paraId="0D1D1F10">
      <w:pPr>
        <w:spacing w:line="580" w:lineRule="exact"/>
        <w:ind w:firstLine="640"/>
        <w:jc w:val="both"/>
      </w:pPr>
      <w:r>
        <w:rPr>
          <w:rFonts w:ascii="仿宋_GB2312" w:hAnsi="仿宋_GB2312" w:eastAsia="仿宋_GB2312"/>
          <w:sz w:val="32"/>
        </w:rPr>
        <w:t>喀什地区就业培训局2024年度，实有人数22人，其中：在职人员21人，增加2人；离休人员0人，增加0人；退休人员1人,增加0人。</w:t>
      </w:r>
    </w:p>
    <w:p w14:paraId="483E8FD8">
      <w:pPr>
        <w:spacing w:line="580" w:lineRule="exact"/>
        <w:ind w:firstLine="640"/>
        <w:jc w:val="both"/>
      </w:pPr>
      <w:r>
        <w:rPr>
          <w:rFonts w:ascii="仿宋_GB2312" w:hAnsi="仿宋_GB2312" w:eastAsia="仿宋_GB2312"/>
          <w:sz w:val="32"/>
        </w:rPr>
        <w:t>喀什地区就业培训局无下属预算单位，下设4个科室，分别是：办公室、就业室、信息督查室、培训宣教室。</w:t>
      </w:r>
    </w:p>
    <w:p w14:paraId="5A3E32BE">
      <w:r>
        <w:br w:type="page"/>
      </w:r>
    </w:p>
    <w:p w14:paraId="3D12BFF1">
      <w:pPr>
        <w:spacing w:line="240" w:lineRule="auto"/>
        <w:jc w:val="center"/>
        <w:outlineLvl w:val="1"/>
      </w:pPr>
      <w:r>
        <w:rPr>
          <w:rFonts w:ascii="黑体" w:hAnsi="黑体" w:eastAsia="黑体"/>
          <w:sz w:val="32"/>
        </w:rPr>
        <w:t>第二部分 部门决算情况说明</w:t>
      </w:r>
    </w:p>
    <w:p w14:paraId="5A8F156F">
      <w:pPr>
        <w:spacing w:line="640" w:lineRule="exact"/>
        <w:ind w:firstLine="640"/>
        <w:jc w:val="both"/>
        <w:outlineLvl w:val="2"/>
      </w:pPr>
      <w:r>
        <w:rPr>
          <w:rFonts w:ascii="黑体" w:hAnsi="黑体" w:eastAsia="黑体"/>
          <w:sz w:val="32"/>
        </w:rPr>
        <w:t>一、收入支出决算总体情况说明</w:t>
      </w:r>
    </w:p>
    <w:p w14:paraId="25DB7207">
      <w:pPr>
        <w:spacing w:line="580" w:lineRule="exact"/>
        <w:ind w:firstLine="640"/>
        <w:jc w:val="both"/>
      </w:pPr>
      <w:r>
        <w:rPr>
          <w:rFonts w:ascii="仿宋_GB2312" w:hAnsi="仿宋_GB2312" w:eastAsia="仿宋_GB2312"/>
          <w:b/>
          <w:sz w:val="32"/>
        </w:rPr>
        <w:t>2024年度收入总计391.51万元，</w:t>
      </w:r>
      <w:r>
        <w:rPr>
          <w:rFonts w:ascii="仿宋_GB2312" w:hAnsi="仿宋_GB2312" w:eastAsia="仿宋_GB2312"/>
          <w:b w:val="0"/>
          <w:sz w:val="32"/>
        </w:rPr>
        <w:t>其中：本年收入合计391.51万元，使用非财政拨款结余（含专用结余）0.00万元，年初结转和结余0.00万元。</w:t>
      </w:r>
    </w:p>
    <w:p w14:paraId="42743DBC">
      <w:pPr>
        <w:spacing w:line="580" w:lineRule="exact"/>
        <w:ind w:firstLine="640"/>
        <w:jc w:val="both"/>
      </w:pPr>
      <w:r>
        <w:rPr>
          <w:rFonts w:ascii="仿宋_GB2312" w:hAnsi="仿宋_GB2312" w:eastAsia="仿宋_GB2312"/>
          <w:b/>
          <w:sz w:val="32"/>
        </w:rPr>
        <w:t>2024年度支出总计391.51万元，</w:t>
      </w:r>
      <w:r>
        <w:rPr>
          <w:rFonts w:ascii="仿宋_GB2312" w:hAnsi="仿宋_GB2312" w:eastAsia="仿宋_GB2312"/>
          <w:b w:val="0"/>
          <w:sz w:val="32"/>
        </w:rPr>
        <w:t>其中：本年支出合计391.51万元，结余分配0.00万元，年末结转和结余0.00万元。</w:t>
      </w:r>
    </w:p>
    <w:p w14:paraId="380A5875">
      <w:pPr>
        <w:spacing w:line="580" w:lineRule="exact"/>
        <w:ind w:firstLine="640"/>
        <w:jc w:val="both"/>
      </w:pPr>
      <w:r>
        <w:rPr>
          <w:rFonts w:ascii="仿宋_GB2312" w:hAnsi="仿宋_GB2312" w:eastAsia="仿宋_GB2312"/>
          <w:b w:val="0"/>
          <w:sz w:val="32"/>
        </w:rPr>
        <w:t>收入支出总体与上年相比，减少1.05万元，下降0.27%，主要原因是：本年公务用车数量减少，导致收入支出总体较上年减少。</w:t>
      </w:r>
    </w:p>
    <w:p w14:paraId="461403CD">
      <w:pPr>
        <w:spacing w:line="640" w:lineRule="exact"/>
        <w:ind w:firstLine="640"/>
        <w:jc w:val="both"/>
        <w:outlineLvl w:val="2"/>
      </w:pPr>
      <w:r>
        <w:rPr>
          <w:rFonts w:ascii="黑体" w:hAnsi="黑体" w:eastAsia="黑体"/>
          <w:sz w:val="32"/>
        </w:rPr>
        <w:t>二、收入决算情况说明</w:t>
      </w:r>
    </w:p>
    <w:p w14:paraId="1A5479E1">
      <w:pPr>
        <w:spacing w:line="580" w:lineRule="exact"/>
        <w:ind w:firstLine="640"/>
        <w:jc w:val="both"/>
      </w:pPr>
      <w:r>
        <w:rPr>
          <w:rFonts w:ascii="仿宋_GB2312" w:hAnsi="仿宋_GB2312" w:eastAsia="仿宋_GB2312"/>
          <w:b/>
          <w:sz w:val="32"/>
        </w:rPr>
        <w:t>本年收入391.51万元，</w:t>
      </w:r>
      <w:r>
        <w:rPr>
          <w:rFonts w:ascii="仿宋_GB2312" w:hAnsi="仿宋_GB2312" w:eastAsia="仿宋_GB2312"/>
          <w:b w:val="0"/>
          <w:sz w:val="32"/>
        </w:rPr>
        <w:t>其中：财政拨款收入391.51万元，占100.00%；上级补助收入0.00万元，占0.00%；事业收入0.00万元，占0.00%；经营收入0.00万元，占0.00%；附属单位上缴收入0.00万元，占0.00%；其他收入0.00万元，占0.00%。</w:t>
      </w:r>
    </w:p>
    <w:p w14:paraId="1B8D2310">
      <w:pPr>
        <w:spacing w:line="640" w:lineRule="exact"/>
        <w:ind w:firstLine="640"/>
        <w:jc w:val="both"/>
        <w:outlineLvl w:val="2"/>
      </w:pPr>
      <w:r>
        <w:rPr>
          <w:rFonts w:ascii="黑体" w:hAnsi="黑体" w:eastAsia="黑体"/>
          <w:sz w:val="32"/>
        </w:rPr>
        <w:t>三、支出决算情况说明</w:t>
      </w:r>
    </w:p>
    <w:p w14:paraId="11F765BA">
      <w:pPr>
        <w:spacing w:line="580" w:lineRule="exact"/>
        <w:ind w:firstLine="640"/>
        <w:jc w:val="both"/>
      </w:pPr>
      <w:r>
        <w:rPr>
          <w:rFonts w:ascii="仿宋_GB2312" w:hAnsi="仿宋_GB2312" w:eastAsia="仿宋_GB2312"/>
          <w:b/>
          <w:sz w:val="32"/>
        </w:rPr>
        <w:t>本年支出391.51万元，</w:t>
      </w:r>
      <w:r>
        <w:rPr>
          <w:rFonts w:ascii="仿宋_GB2312" w:hAnsi="仿宋_GB2312" w:eastAsia="仿宋_GB2312"/>
          <w:b w:val="0"/>
          <w:sz w:val="32"/>
        </w:rPr>
        <w:t>其中：基本支出360.22万元，占92.01%；项目支出31.30万元，占7.99%；上缴上级支出0.00万元，占0.00%；经营支出0.00万元，占0.00%；对附属单位补助支出0.00万元，占0.00%。</w:t>
      </w:r>
    </w:p>
    <w:p w14:paraId="684165B5">
      <w:pPr>
        <w:spacing w:line="640" w:lineRule="exact"/>
        <w:ind w:firstLine="640"/>
        <w:jc w:val="both"/>
        <w:outlineLvl w:val="2"/>
      </w:pPr>
      <w:r>
        <w:rPr>
          <w:rFonts w:ascii="黑体" w:hAnsi="黑体" w:eastAsia="黑体"/>
          <w:sz w:val="32"/>
        </w:rPr>
        <w:t>四、财政拨款收入支出决算总体情况说明</w:t>
      </w:r>
    </w:p>
    <w:p w14:paraId="037430D6">
      <w:pPr>
        <w:spacing w:line="580" w:lineRule="exact"/>
        <w:ind w:firstLine="640"/>
        <w:jc w:val="both"/>
      </w:pPr>
      <w:r>
        <w:rPr>
          <w:rFonts w:ascii="仿宋_GB2312" w:hAnsi="仿宋_GB2312" w:eastAsia="仿宋_GB2312"/>
          <w:b/>
          <w:sz w:val="32"/>
        </w:rPr>
        <w:t>2024年度财政拨款收入总计391.51万元，</w:t>
      </w:r>
      <w:r>
        <w:rPr>
          <w:rFonts w:ascii="仿宋_GB2312" w:hAnsi="仿宋_GB2312" w:eastAsia="仿宋_GB2312"/>
          <w:b w:val="0"/>
          <w:sz w:val="32"/>
        </w:rPr>
        <w:t>其中：年初财政拨款结转和结余0.00万元，本年财政拨款收入391.51万元。</w:t>
      </w:r>
      <w:r>
        <w:rPr>
          <w:rFonts w:ascii="仿宋_GB2312" w:hAnsi="仿宋_GB2312" w:eastAsia="仿宋_GB2312"/>
          <w:b/>
          <w:sz w:val="32"/>
        </w:rPr>
        <w:t>财政拨款支出总计391.51万元，</w:t>
      </w:r>
      <w:r>
        <w:rPr>
          <w:rFonts w:ascii="仿宋_GB2312" w:hAnsi="仿宋_GB2312" w:eastAsia="仿宋_GB2312"/>
          <w:b w:val="0"/>
          <w:sz w:val="32"/>
        </w:rPr>
        <w:t>其中：年末财政拨款结转和结余0.00万元，本年财政拨款支出391.51万元。</w:t>
      </w:r>
    </w:p>
    <w:p w14:paraId="4DC8AFC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减少1.05万元，下降0.27%，主要原因是：本年公务用车数量减少，导致财政拨款收入支出总体较上年减少。</w:t>
      </w:r>
      <w:r>
        <w:rPr>
          <w:rFonts w:ascii="仿宋_GB2312" w:hAnsi="仿宋_GB2312" w:eastAsia="仿宋_GB2312"/>
          <w:b/>
          <w:sz w:val="32"/>
        </w:rPr>
        <w:t>与年初预算相比，</w:t>
      </w:r>
      <w:r>
        <w:rPr>
          <w:rFonts w:ascii="仿宋_GB2312" w:hAnsi="仿宋_GB2312" w:eastAsia="仿宋_GB2312"/>
          <w:b w:val="0"/>
          <w:sz w:val="32"/>
        </w:rPr>
        <w:t>年初预算数395.85万元，决算数391.51万元，预决算差异率-1.10%，主要原因是：严格落实中央八项规定精神，厉行节约，减少不必要的开支。</w:t>
      </w:r>
    </w:p>
    <w:p w14:paraId="72F4B4C5">
      <w:pPr>
        <w:spacing w:line="640" w:lineRule="exact"/>
        <w:ind w:firstLine="640"/>
        <w:jc w:val="both"/>
        <w:outlineLvl w:val="2"/>
      </w:pPr>
      <w:r>
        <w:rPr>
          <w:rFonts w:ascii="黑体" w:hAnsi="黑体" w:eastAsia="黑体"/>
          <w:sz w:val="32"/>
        </w:rPr>
        <w:t>五、一般公共预算财政拨款支出决算情况说明</w:t>
      </w:r>
    </w:p>
    <w:p w14:paraId="3E5BC2AE">
      <w:pPr>
        <w:spacing w:line="640" w:lineRule="exact"/>
        <w:ind w:firstLine="640"/>
        <w:jc w:val="both"/>
        <w:outlineLvl w:val="3"/>
      </w:pPr>
      <w:r>
        <w:rPr>
          <w:rFonts w:ascii="楷体_GB2312" w:hAnsi="楷体_GB2312" w:eastAsia="楷体_GB2312"/>
          <w:b/>
          <w:sz w:val="32"/>
        </w:rPr>
        <w:t>（一）一般公共预算财政拨款支出决算总体情况</w:t>
      </w:r>
    </w:p>
    <w:p w14:paraId="19171362">
      <w:pPr>
        <w:spacing w:line="580" w:lineRule="exact"/>
        <w:ind w:firstLine="640"/>
        <w:jc w:val="both"/>
      </w:pPr>
      <w:r>
        <w:rPr>
          <w:rFonts w:ascii="仿宋_GB2312" w:hAnsi="仿宋_GB2312" w:eastAsia="仿宋_GB2312"/>
          <w:b/>
          <w:sz w:val="32"/>
        </w:rPr>
        <w:t>2024年度一般公共预算财政拨款支出391.51万元，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减少1.05万元，下降0.27%，主要原因是：本年公务用车数量减少，导致财政拨款支出减少。</w:t>
      </w:r>
      <w:r>
        <w:rPr>
          <w:rFonts w:ascii="仿宋_GB2312" w:hAnsi="仿宋_GB2312" w:eastAsia="仿宋_GB2312"/>
          <w:b/>
          <w:sz w:val="32"/>
        </w:rPr>
        <w:t>与年初预算相比,</w:t>
      </w:r>
      <w:r>
        <w:rPr>
          <w:rFonts w:ascii="仿宋_GB2312" w:hAnsi="仿宋_GB2312" w:eastAsia="仿宋_GB2312"/>
          <w:b w:val="0"/>
          <w:sz w:val="32"/>
        </w:rPr>
        <w:t>年初预算数395.85万元，决算数391.51万元，预决算差异率-1.10%，主要原因是：严格落实中央八项规定精神，厉行节约，减少不必要的开支。</w:t>
      </w:r>
    </w:p>
    <w:p w14:paraId="5EA2556F">
      <w:pPr>
        <w:spacing w:line="640" w:lineRule="exact"/>
        <w:ind w:firstLine="640"/>
        <w:jc w:val="both"/>
        <w:outlineLvl w:val="3"/>
      </w:pPr>
      <w:r>
        <w:rPr>
          <w:rFonts w:ascii="楷体_GB2312" w:hAnsi="楷体_GB2312" w:eastAsia="楷体_GB2312"/>
          <w:b/>
          <w:sz w:val="32"/>
        </w:rPr>
        <w:t>（二）一般公共预算财政拨款支出决算结构情况</w:t>
      </w:r>
    </w:p>
    <w:p w14:paraId="701B77CF">
      <w:pPr>
        <w:spacing w:line="580" w:lineRule="exact"/>
        <w:ind w:firstLine="640"/>
        <w:jc w:val="both"/>
      </w:pPr>
      <w:r>
        <w:rPr>
          <w:rFonts w:ascii="仿宋_GB2312" w:hAnsi="仿宋_GB2312" w:eastAsia="仿宋_GB2312"/>
          <w:b w:val="0"/>
          <w:sz w:val="32"/>
        </w:rPr>
        <w:t>1.一般公共服务支出(类)315.34万元,占80.54%。</w:t>
      </w:r>
    </w:p>
    <w:p w14:paraId="01169B46">
      <w:pPr>
        <w:spacing w:line="580" w:lineRule="exact"/>
        <w:ind w:firstLine="640"/>
        <w:jc w:val="both"/>
      </w:pPr>
      <w:r>
        <w:rPr>
          <w:rFonts w:ascii="仿宋_GB2312" w:hAnsi="仿宋_GB2312" w:eastAsia="仿宋_GB2312"/>
          <w:b w:val="0"/>
          <w:sz w:val="32"/>
        </w:rPr>
        <w:t>2.社会保障和就业支出(类)33.99万元,占8.68%。</w:t>
      </w:r>
    </w:p>
    <w:p w14:paraId="0B1A5632">
      <w:pPr>
        <w:spacing w:line="580" w:lineRule="exact"/>
        <w:ind w:firstLine="640"/>
        <w:jc w:val="both"/>
      </w:pPr>
      <w:r>
        <w:rPr>
          <w:rFonts w:ascii="仿宋_GB2312" w:hAnsi="仿宋_GB2312" w:eastAsia="仿宋_GB2312"/>
          <w:b w:val="0"/>
          <w:sz w:val="32"/>
        </w:rPr>
        <w:t>3.卫生健康支出(类)14.10万元,占3.60%。</w:t>
      </w:r>
    </w:p>
    <w:p w14:paraId="6C843CA7">
      <w:pPr>
        <w:spacing w:line="580" w:lineRule="exact"/>
        <w:ind w:firstLine="640"/>
        <w:jc w:val="both"/>
      </w:pPr>
      <w:r>
        <w:rPr>
          <w:rFonts w:ascii="仿宋_GB2312" w:hAnsi="仿宋_GB2312" w:eastAsia="仿宋_GB2312"/>
          <w:b w:val="0"/>
          <w:sz w:val="32"/>
        </w:rPr>
        <w:t>4.住房保障支出(类)28.08万元,占7.17%。</w:t>
      </w:r>
    </w:p>
    <w:p w14:paraId="3BC47252">
      <w:pPr>
        <w:spacing w:line="640" w:lineRule="exact"/>
        <w:ind w:firstLine="640"/>
        <w:jc w:val="both"/>
        <w:outlineLvl w:val="3"/>
      </w:pPr>
      <w:r>
        <w:rPr>
          <w:rFonts w:ascii="楷体_GB2312" w:hAnsi="楷体_GB2312" w:eastAsia="楷体_GB2312"/>
          <w:b/>
          <w:sz w:val="32"/>
        </w:rPr>
        <w:t>（三）一般公共预算财政拨款支出决算具体情况</w:t>
      </w:r>
    </w:p>
    <w:p w14:paraId="1DD808A9">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281.85万元，比上年决算减少2.13万元，下降0.75%,主要原因是：本年在职人员调入调出，人员职级不同，工资基数不同，导致人员经费较上年减少。</w:t>
      </w:r>
    </w:p>
    <w:p w14:paraId="642A512C">
      <w:pPr>
        <w:spacing w:line="580" w:lineRule="exact"/>
        <w:ind w:firstLine="640"/>
        <w:jc w:val="both"/>
      </w:pPr>
      <w:r>
        <w:rPr>
          <w:rFonts w:ascii="仿宋_GB2312" w:hAnsi="仿宋_GB2312" w:eastAsia="仿宋_GB2312"/>
          <w:b w:val="0"/>
          <w:sz w:val="32"/>
        </w:rPr>
        <w:t>2.一般公共服务支出(类)党委办公厅（室）及相关机构事务(款)一般行政管理事务(项):支出决算数为30.91万元，比上年决算增加6.30万元，增长25.60%,主要原因是：增加了单位搬迁和新办公场所维修维护费，导致经费增加。</w:t>
      </w:r>
    </w:p>
    <w:p w14:paraId="21357626">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支出决算数为0.39万元，比上年决算增加0.39万元，增长100.00%,主要原因是：本年功能科目调整，专项项目经费上年度在其他支出(类)其他支出(款)其他支出(项)科目列支，本年调整至一般公共服务支出(类)党委办公厅（室）及相关机构事务(款)其他党委办公厅（室）及相关机构事务支出(项)列支，导致经费较上年增加。</w:t>
      </w:r>
    </w:p>
    <w:p w14:paraId="5AF0AFFA">
      <w:pPr>
        <w:spacing w:line="580" w:lineRule="exact"/>
        <w:ind w:firstLine="640"/>
        <w:jc w:val="both"/>
      </w:pPr>
      <w:r>
        <w:rPr>
          <w:rFonts w:ascii="仿宋_GB2312" w:hAnsi="仿宋_GB2312" w:eastAsia="仿宋_GB2312"/>
          <w:b w:val="0"/>
          <w:sz w:val="32"/>
        </w:rPr>
        <w:t>4.一般公共服务支出(类)统战事务(款)宗教事务(项):支出决算数为2.20万元，比上年决算增加1.71万元，增长348.98%,主要原因是：本年度为民办实事工作时间较上年增加，导致经费增加。</w:t>
      </w:r>
    </w:p>
    <w:p w14:paraId="467C385E">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5.社会保障和就业支出(类)行政事业单位养老支出(款)行政单位离退休(项):支出决算数为1.51万元，比上年决算增加0.88万元，增长139.68%,主要原因是：本年增加退休人员基础绩效奖，退休费支出增加。</w:t>
      </w:r>
    </w:p>
    <w:p w14:paraId="251A80C2">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32.47万元，比上年决算增加1.07万元，增长3.41%,主要原因是：本年在职人员工资基数调增，养老缴费基数上涨，相应支出增加。</w:t>
      </w:r>
    </w:p>
    <w:p w14:paraId="29CA244F">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7.社会保障和就业支出(类)行政事业单位养老支出(款)机关事业单位职业年金缴费支出(项):支出决算数为0.00万元，比上年决算减少9.08万元，下降100.00%,主要原因是：本年</w:t>
      </w:r>
      <w:r>
        <w:rPr>
          <w:rFonts w:hint="eastAsia" w:ascii="仿宋_GB2312" w:hAnsi="仿宋_GB2312" w:eastAsia="仿宋_GB2312"/>
          <w:b w:val="0"/>
          <w:sz w:val="32"/>
          <w:lang w:val="en-US" w:eastAsia="zh-CN"/>
        </w:rPr>
        <w:t>无新增退休人员，职业年金支出减少。</w:t>
      </w:r>
    </w:p>
    <w:p w14:paraId="3262A7A8">
      <w:pPr>
        <w:spacing w:line="580" w:lineRule="exact"/>
        <w:ind w:firstLine="640"/>
        <w:jc w:val="both"/>
      </w:pPr>
      <w:r>
        <w:rPr>
          <w:rFonts w:ascii="仿宋_GB2312" w:hAnsi="仿宋_GB2312" w:eastAsia="仿宋_GB2312"/>
          <w:b w:val="0"/>
          <w:sz w:val="32"/>
        </w:rPr>
        <w:t>8.卫生健康支出(类)行政事业单位医疗(款)行政单位医疗(项):支出决算数为13.80万元，比上年决算增加0.13万元，增长0.95%,主要原因是：本年在职人员工资基数调增，医疗缴费基数上涨，相应支出增加。</w:t>
      </w:r>
    </w:p>
    <w:p w14:paraId="20899AFE">
      <w:pPr>
        <w:spacing w:line="580" w:lineRule="exact"/>
        <w:ind w:firstLine="640"/>
        <w:jc w:val="both"/>
      </w:pPr>
      <w:r>
        <w:rPr>
          <w:rFonts w:ascii="仿宋_GB2312" w:hAnsi="仿宋_GB2312" w:eastAsia="仿宋_GB2312"/>
          <w:b w:val="0"/>
          <w:sz w:val="32"/>
        </w:rPr>
        <w:t>9.卫生健康支出(类)行政事业单位医疗(款)公务员医疗补助(项):支出决算数为0.30万元，比上年决算减少0.34万元，下降53.12%,主要原因是：因退休人员医疗保险制度改革，退休人员基本医疗不再由单位缴纳，导致经费较上年减少。</w:t>
      </w:r>
    </w:p>
    <w:p w14:paraId="7F2967AE">
      <w:pPr>
        <w:spacing w:line="580" w:lineRule="exact"/>
        <w:ind w:firstLine="640"/>
        <w:jc w:val="both"/>
      </w:pPr>
      <w:r>
        <w:rPr>
          <w:rFonts w:ascii="仿宋_GB2312" w:hAnsi="仿宋_GB2312" w:eastAsia="仿宋_GB2312"/>
          <w:b w:val="0"/>
          <w:sz w:val="32"/>
        </w:rPr>
        <w:t>10.住房保障支出(类)住房改革支出(款)住房公积金(项):支出决算数为28.08万元，比上年决算增加1.60万元，增长6.04%,主要原因是：本年在职人员工资基数调增，公积金缴费基数上涨，相应支出增加。</w:t>
      </w:r>
    </w:p>
    <w:p w14:paraId="28F62F60">
      <w:pPr>
        <w:spacing w:line="580" w:lineRule="exact"/>
        <w:ind w:firstLine="640"/>
        <w:jc w:val="both"/>
      </w:pPr>
      <w:r>
        <w:rPr>
          <w:rFonts w:ascii="仿宋_GB2312" w:hAnsi="仿宋_GB2312" w:eastAsia="仿宋_GB2312"/>
          <w:b w:val="0"/>
          <w:sz w:val="32"/>
        </w:rPr>
        <w:t>11.其他支出(类)其他支出(款)其他支出(项):支出决算数为0.00万元，比上年决算减少1.58万元，下降100.00%,主要原因是：本年功能科目调整，专项项目经费上年度在其他支出(类)其他支出(款)其他支出(项)科目列支，本年调整至一般公共服务支出(类)党委办公厅（室）及相关机构事务(款)其他党委办公厅（室）及相关机构事务支出(项)列支，导致经费较上年减少。</w:t>
      </w:r>
    </w:p>
    <w:p w14:paraId="545D10B2">
      <w:pPr>
        <w:spacing w:line="640" w:lineRule="exact"/>
        <w:ind w:firstLine="640"/>
        <w:jc w:val="both"/>
        <w:outlineLvl w:val="2"/>
      </w:pPr>
      <w:r>
        <w:rPr>
          <w:rFonts w:ascii="黑体" w:hAnsi="黑体" w:eastAsia="黑体"/>
          <w:sz w:val="32"/>
        </w:rPr>
        <w:t>六、一般公共预算财政拨款基本支出决算情况说明</w:t>
      </w:r>
    </w:p>
    <w:p w14:paraId="0E1EF6E7">
      <w:pPr>
        <w:spacing w:line="580" w:lineRule="exact"/>
        <w:ind w:firstLine="640"/>
        <w:jc w:val="both"/>
      </w:pPr>
      <w:r>
        <w:rPr>
          <w:rFonts w:ascii="仿宋_GB2312" w:hAnsi="仿宋_GB2312" w:eastAsia="仿宋_GB2312"/>
          <w:b w:val="0"/>
          <w:sz w:val="32"/>
        </w:rPr>
        <w:t>2024年度一般公共预算财政拨款基本支出360.22万元，其中：</w:t>
      </w:r>
      <w:r>
        <w:rPr>
          <w:rFonts w:ascii="仿宋_GB2312" w:hAnsi="仿宋_GB2312" w:eastAsia="仿宋_GB2312"/>
          <w:b/>
          <w:sz w:val="32"/>
        </w:rPr>
        <w:t>人员经费329.31万元，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奖励金。</w:t>
      </w:r>
    </w:p>
    <w:p w14:paraId="75D7CF72">
      <w:pPr>
        <w:spacing w:line="580" w:lineRule="exact"/>
        <w:ind w:firstLine="640"/>
        <w:jc w:val="both"/>
      </w:pPr>
      <w:r>
        <w:rPr>
          <w:rFonts w:ascii="仿宋_GB2312" w:hAnsi="仿宋_GB2312" w:eastAsia="仿宋_GB2312"/>
          <w:b/>
          <w:sz w:val="32"/>
        </w:rPr>
        <w:t>公用经费30.90万元，</w:t>
      </w:r>
      <w:r>
        <w:rPr>
          <w:rFonts w:ascii="仿宋_GB2312" w:hAnsi="仿宋_GB2312" w:eastAsia="仿宋_GB2312"/>
          <w:b w:val="0"/>
          <w:sz w:val="32"/>
        </w:rPr>
        <w:t>包括：办公费、水费、邮电费、取暖费、维修（护）费、劳务费、工会经费、公务用车运行维护费、其他商品和服务支出。</w:t>
      </w:r>
    </w:p>
    <w:p w14:paraId="2E421119">
      <w:pPr>
        <w:spacing w:line="640" w:lineRule="exact"/>
        <w:ind w:firstLine="640"/>
        <w:jc w:val="both"/>
        <w:outlineLvl w:val="2"/>
      </w:pPr>
      <w:r>
        <w:rPr>
          <w:rFonts w:ascii="黑体" w:hAnsi="黑体" w:eastAsia="黑体"/>
          <w:sz w:val="32"/>
        </w:rPr>
        <w:t>七、政府性基金预算财政拨款收入支出决算情况说明</w:t>
      </w:r>
    </w:p>
    <w:p w14:paraId="16728EC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B00A235">
      <w:pPr>
        <w:spacing w:line="640" w:lineRule="exact"/>
        <w:ind w:firstLine="640"/>
        <w:jc w:val="both"/>
        <w:outlineLvl w:val="2"/>
      </w:pPr>
      <w:r>
        <w:rPr>
          <w:rFonts w:ascii="黑体" w:hAnsi="黑体" w:eastAsia="黑体"/>
          <w:sz w:val="32"/>
        </w:rPr>
        <w:t>八、国有资本经营预算财政拨款收入支出决算情况说明</w:t>
      </w:r>
    </w:p>
    <w:p w14:paraId="57E5735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0F4BE52">
      <w:pPr>
        <w:spacing w:line="640" w:lineRule="exact"/>
        <w:ind w:firstLine="640"/>
        <w:jc w:val="both"/>
        <w:outlineLvl w:val="2"/>
      </w:pPr>
      <w:r>
        <w:rPr>
          <w:rFonts w:ascii="黑体" w:hAnsi="黑体" w:eastAsia="黑体"/>
          <w:sz w:val="32"/>
        </w:rPr>
        <w:t>九、财政拨款“三公”经费支出决算情况说明</w:t>
      </w:r>
    </w:p>
    <w:p w14:paraId="3F7C7260">
      <w:pPr>
        <w:spacing w:line="580" w:lineRule="exact"/>
        <w:ind w:firstLine="640"/>
        <w:jc w:val="both"/>
      </w:pPr>
      <w:r>
        <w:rPr>
          <w:rFonts w:ascii="仿宋_GB2312" w:hAnsi="仿宋_GB2312" w:eastAsia="仿宋_GB2312"/>
          <w:b/>
          <w:sz w:val="32"/>
        </w:rPr>
        <w:t>2024年度财政拨款“三公”经费支出2.16万元，</w:t>
      </w:r>
      <w:r>
        <w:rPr>
          <w:rFonts w:ascii="仿宋_GB2312" w:hAnsi="仿宋_GB2312" w:eastAsia="仿宋_GB2312"/>
          <w:b w:val="0"/>
          <w:sz w:val="32"/>
        </w:rPr>
        <w:t>比上年减少3.41万元，下降61.22%，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2.16万元，占100.00%，比上年减少3.41万元，下降61.22%，主要原因是：严格落实中央八项规定精神，厉行节约，减少经费支出。公务接待费支出0.00万元，占0.00%，比上年增加0.00万元，增长0.00%，主要原因是：2023年与2024年均未安排公务接待费支出。</w:t>
      </w:r>
    </w:p>
    <w:p w14:paraId="4DEB8E5F">
      <w:pPr>
        <w:spacing w:line="580" w:lineRule="exact"/>
        <w:ind w:firstLine="640"/>
        <w:jc w:val="both"/>
      </w:pPr>
      <w:r>
        <w:rPr>
          <w:rFonts w:ascii="仿宋_GB2312" w:hAnsi="仿宋_GB2312" w:eastAsia="仿宋_GB2312"/>
          <w:b/>
          <w:sz w:val="32"/>
        </w:rPr>
        <w:t>具体情况如下：</w:t>
      </w:r>
    </w:p>
    <w:p w14:paraId="661D838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C1A2AB5">
      <w:pPr>
        <w:spacing w:line="580" w:lineRule="exact"/>
        <w:ind w:firstLine="640"/>
        <w:jc w:val="both"/>
      </w:pPr>
      <w:r>
        <w:rPr>
          <w:rFonts w:ascii="仿宋_GB2312" w:hAnsi="仿宋_GB2312" w:eastAsia="仿宋_GB2312"/>
          <w:b w:val="0"/>
          <w:sz w:val="32"/>
        </w:rPr>
        <w:t>公务用车购置及运行维护费2.16万元，其中：公务用车购置费0.00万元，公务用车运行维护费2.16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3EF1E84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110F7A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6.30万元，决算数2.16万元，预决算差异率-65.71%，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6.30万元，决算数2.16万元，预决算差异率-65.71%，主要原因是：严格落实中央八项规定精神，厉行节约，减少经费支出。公务接待费全年预算数0.00万元，决算数0.00万元，预决算差异率0.00%，主要原因是：本单位无公务接待费。</w:t>
      </w:r>
    </w:p>
    <w:p w14:paraId="59DF1788">
      <w:pPr>
        <w:spacing w:line="640" w:lineRule="exact"/>
        <w:ind w:firstLine="640"/>
        <w:jc w:val="both"/>
        <w:outlineLvl w:val="2"/>
      </w:pPr>
      <w:r>
        <w:rPr>
          <w:rFonts w:ascii="黑体" w:hAnsi="黑体" w:eastAsia="黑体"/>
          <w:sz w:val="32"/>
        </w:rPr>
        <w:t>十、其他重要事项的情况说明</w:t>
      </w:r>
    </w:p>
    <w:p w14:paraId="3300C9BE">
      <w:pPr>
        <w:spacing w:line="640" w:lineRule="exact"/>
        <w:ind w:firstLine="640"/>
        <w:jc w:val="both"/>
        <w:outlineLvl w:val="3"/>
      </w:pPr>
      <w:r>
        <w:rPr>
          <w:rFonts w:ascii="楷体_GB2312" w:hAnsi="楷体_GB2312" w:eastAsia="楷体_GB2312"/>
          <w:b/>
          <w:sz w:val="32"/>
        </w:rPr>
        <w:t>（一）机关运行经费及公用经费支出情况</w:t>
      </w:r>
    </w:p>
    <w:p w14:paraId="1492F91D">
      <w:pPr>
        <w:spacing w:line="580" w:lineRule="exact"/>
        <w:ind w:firstLine="640"/>
        <w:jc w:val="both"/>
      </w:pPr>
      <w:r>
        <w:rPr>
          <w:rFonts w:ascii="仿宋_GB2312" w:hAnsi="仿宋_GB2312" w:eastAsia="仿宋_GB2312"/>
          <w:b w:val="0"/>
          <w:sz w:val="32"/>
        </w:rPr>
        <w:t>2024年度喀什地区就业培训局（事业单位）公用经费支出30.90万元，比上年减少2.40万元，下降7.21%，主要原因是：严格控制公用经费，合理节约办公用品，减少不必要开支。</w:t>
      </w:r>
    </w:p>
    <w:p w14:paraId="672117C0">
      <w:pPr>
        <w:spacing w:line="640" w:lineRule="exact"/>
        <w:ind w:firstLine="640"/>
        <w:jc w:val="both"/>
        <w:outlineLvl w:val="3"/>
      </w:pPr>
      <w:r>
        <w:rPr>
          <w:rFonts w:ascii="楷体_GB2312" w:hAnsi="楷体_GB2312" w:eastAsia="楷体_GB2312"/>
          <w:b/>
          <w:sz w:val="32"/>
        </w:rPr>
        <w:t>（二）政府采购情况</w:t>
      </w:r>
    </w:p>
    <w:p w14:paraId="3C6F6199">
      <w:pPr>
        <w:spacing w:line="580" w:lineRule="exact"/>
        <w:ind w:firstLine="640"/>
        <w:jc w:val="both"/>
      </w:pPr>
      <w:r>
        <w:rPr>
          <w:rFonts w:ascii="仿宋_GB2312" w:hAnsi="仿宋_GB2312" w:eastAsia="仿宋_GB2312"/>
          <w:b w:val="0"/>
          <w:sz w:val="32"/>
        </w:rPr>
        <w:t>2024年度政府采购支出总额29.21万元，其中：政府采购货物支出7.12万元、政府采购工程支出0.00万元、政府采购服务支出22.09万元。</w:t>
      </w:r>
    </w:p>
    <w:p w14:paraId="165D2B28">
      <w:pPr>
        <w:spacing w:line="580" w:lineRule="exact"/>
        <w:ind w:firstLine="640"/>
        <w:jc w:val="both"/>
      </w:pPr>
      <w:r>
        <w:rPr>
          <w:rFonts w:ascii="仿宋_GB2312" w:hAnsi="仿宋_GB2312" w:eastAsia="仿宋_GB2312"/>
          <w:b w:val="0"/>
          <w:sz w:val="32"/>
        </w:rPr>
        <w:t>授予中小企业合同金额22.09万元，占政府采购支出总额的75.62%，其中：授予小微企业合同金额21.49万元，占政府采购支出总额的73.57%。</w:t>
      </w:r>
    </w:p>
    <w:p w14:paraId="489C0FFC">
      <w:pPr>
        <w:spacing w:line="640" w:lineRule="exact"/>
        <w:ind w:firstLine="640"/>
        <w:jc w:val="both"/>
        <w:outlineLvl w:val="3"/>
      </w:pPr>
      <w:r>
        <w:rPr>
          <w:rFonts w:ascii="楷体_GB2312" w:hAnsi="楷体_GB2312" w:eastAsia="楷体_GB2312"/>
          <w:b/>
          <w:sz w:val="32"/>
        </w:rPr>
        <w:t>（三）国有资产占用情况说明</w:t>
      </w:r>
    </w:p>
    <w:p w14:paraId="39C530B0">
      <w:pPr>
        <w:spacing w:line="580" w:lineRule="exact"/>
        <w:ind w:firstLine="640"/>
        <w:jc w:val="both"/>
      </w:pPr>
      <w:r>
        <w:rPr>
          <w:rFonts w:ascii="仿宋_GB2312" w:hAnsi="仿宋_GB2312" w:eastAsia="仿宋_GB2312"/>
          <w:b w:val="0"/>
          <w:sz w:val="32"/>
        </w:rPr>
        <w:t>截至2024年12月31日，房屋0.00平方米，价值0.00万元。车辆1辆，价值14.58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979A0AC">
      <w:pPr>
        <w:spacing w:line="640" w:lineRule="exact"/>
        <w:ind w:firstLine="640"/>
        <w:jc w:val="both"/>
        <w:outlineLvl w:val="2"/>
      </w:pPr>
      <w:r>
        <w:rPr>
          <w:rFonts w:ascii="黑体" w:hAnsi="黑体" w:eastAsia="黑体"/>
          <w:sz w:val="32"/>
        </w:rPr>
        <w:t>十一、预算绩效的情况说明</w:t>
      </w:r>
    </w:p>
    <w:p w14:paraId="048F497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根据预算绩效管理要求，本单位2024年度预算绩效管理形成整体支出绩效自评表1个，全年预算总额393.59万元，实际执行总额391.51万元；预算绩效评价项目</w:t>
      </w:r>
      <w:r>
        <w:rPr>
          <w:rFonts w:hint="eastAsia" w:ascii="仿宋_GB2312" w:hAnsi="仿宋_GB2312" w:eastAsia="仿宋_GB2312"/>
          <w:b w:val="0"/>
          <w:sz w:val="32"/>
          <w:lang w:val="en-US" w:eastAsia="zh-CN"/>
        </w:rPr>
        <w:t>1</w:t>
      </w:r>
      <w:r>
        <w:rPr>
          <w:rFonts w:ascii="仿宋_GB2312" w:hAnsi="仿宋_GB2312" w:eastAsia="仿宋_GB2312"/>
          <w:b w:val="0"/>
          <w:sz w:val="32"/>
        </w:rPr>
        <w:t>个，全年预算数32.99万元，全年执行数30.9万元。预算绩效管理取得的成效：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项目绩效</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不予公开。发现的问题及原因：项目绩效</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不予公开。下一步改进措施：项目绩效</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w:t>
      </w:r>
    </w:p>
    <w:p w14:paraId="357168B7">
      <w:r>
        <w:br w:type="page"/>
      </w:r>
    </w:p>
    <w:p w14:paraId="2E644E26">
      <w:pPr>
        <w:spacing w:line="640" w:lineRule="exact"/>
        <w:ind w:firstLine="640"/>
        <w:jc w:val="both"/>
        <w:outlineLvl w:val="2"/>
      </w:pPr>
      <w:r>
        <w:rPr>
          <w:rFonts w:ascii="黑体" w:hAnsi="黑体" w:eastAsia="黑体"/>
          <w:sz w:val="32"/>
        </w:rPr>
        <w:t>十二、其他需说明的事项</w:t>
      </w:r>
    </w:p>
    <w:p w14:paraId="37283806">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本年度本单位整体绩效自评表不予公开。</w:t>
      </w:r>
    </w:p>
    <w:p w14:paraId="7DD13AC5">
      <w:pPr>
        <w:spacing w:line="580" w:lineRule="exact"/>
        <w:ind w:firstLine="640"/>
        <w:jc w:val="both"/>
      </w:pPr>
      <w:r>
        <w:rPr>
          <w:rFonts w:ascii="仿宋_GB2312" w:hAnsi="仿宋_GB2312" w:eastAsia="仿宋_GB2312"/>
          <w:b w:val="0"/>
          <w:sz w:val="32"/>
        </w:rPr>
        <w:t>本年</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项目1个，全年预算数32.99万元，全年执行数30.9万元。</w:t>
      </w:r>
      <w:bookmarkStart w:id="0" w:name="_GoBack"/>
      <w:bookmarkEnd w:id="0"/>
    </w:p>
    <w:p w14:paraId="3A5FA9B5">
      <w:r>
        <w:br w:type="page"/>
      </w:r>
    </w:p>
    <w:p w14:paraId="4A5C84F4">
      <w:pPr>
        <w:spacing w:line="240" w:lineRule="auto"/>
        <w:jc w:val="center"/>
        <w:outlineLvl w:val="1"/>
      </w:pPr>
      <w:r>
        <w:rPr>
          <w:rFonts w:ascii="黑体" w:hAnsi="黑体" w:eastAsia="黑体"/>
          <w:sz w:val="32"/>
        </w:rPr>
        <w:t>第三部分 专业名词解释</w:t>
      </w:r>
    </w:p>
    <w:p w14:paraId="003D54F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93371D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03B46C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0ACA51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E8007E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21845D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8DFFA6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3EDE5A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16FF1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EBB224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E63E56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E6A498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3558BA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235FFA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DA4A74F">
      <w:r>
        <w:br w:type="page"/>
      </w:r>
    </w:p>
    <w:p w14:paraId="3EEB5E20">
      <w:pPr>
        <w:spacing w:line="240" w:lineRule="auto"/>
        <w:jc w:val="center"/>
        <w:outlineLvl w:val="1"/>
      </w:pPr>
      <w:r>
        <w:rPr>
          <w:rFonts w:ascii="黑体" w:hAnsi="黑体" w:eastAsia="黑体"/>
          <w:sz w:val="32"/>
        </w:rPr>
        <w:t>第四部分 部门决算报表（见附表）</w:t>
      </w:r>
    </w:p>
    <w:p w14:paraId="2AB98EA7">
      <w:pPr>
        <w:spacing w:line="240" w:lineRule="auto"/>
        <w:ind w:firstLine="640"/>
        <w:jc w:val="both"/>
      </w:pPr>
      <w:r>
        <w:rPr>
          <w:rFonts w:ascii="仿宋_GB2312" w:hAnsi="仿宋_GB2312" w:eastAsia="仿宋_GB2312"/>
          <w:b w:val="0"/>
          <w:sz w:val="32"/>
        </w:rPr>
        <w:t>一、《收入支出决算总表》</w:t>
      </w:r>
    </w:p>
    <w:p w14:paraId="15F0209B">
      <w:pPr>
        <w:spacing w:line="240" w:lineRule="auto"/>
        <w:ind w:firstLine="640"/>
        <w:jc w:val="both"/>
      </w:pPr>
      <w:r>
        <w:rPr>
          <w:rFonts w:ascii="仿宋_GB2312" w:hAnsi="仿宋_GB2312" w:eastAsia="仿宋_GB2312"/>
          <w:b w:val="0"/>
          <w:sz w:val="32"/>
        </w:rPr>
        <w:t>二、《收入决算表》</w:t>
      </w:r>
    </w:p>
    <w:p w14:paraId="7FB2E9EF">
      <w:pPr>
        <w:spacing w:line="240" w:lineRule="auto"/>
        <w:ind w:firstLine="640"/>
        <w:jc w:val="both"/>
      </w:pPr>
      <w:r>
        <w:rPr>
          <w:rFonts w:ascii="仿宋_GB2312" w:hAnsi="仿宋_GB2312" w:eastAsia="仿宋_GB2312"/>
          <w:b w:val="0"/>
          <w:sz w:val="32"/>
        </w:rPr>
        <w:t>三、《支出决算表》</w:t>
      </w:r>
    </w:p>
    <w:p w14:paraId="2EEABD97">
      <w:pPr>
        <w:spacing w:line="240" w:lineRule="auto"/>
        <w:ind w:firstLine="640"/>
        <w:jc w:val="both"/>
      </w:pPr>
      <w:r>
        <w:rPr>
          <w:rFonts w:ascii="仿宋_GB2312" w:hAnsi="仿宋_GB2312" w:eastAsia="仿宋_GB2312"/>
          <w:b w:val="0"/>
          <w:sz w:val="32"/>
        </w:rPr>
        <w:t>四、《财政拨款收入支出决算总表》</w:t>
      </w:r>
    </w:p>
    <w:p w14:paraId="2134F07B">
      <w:pPr>
        <w:spacing w:line="240" w:lineRule="auto"/>
        <w:ind w:firstLine="640"/>
        <w:jc w:val="both"/>
      </w:pPr>
      <w:r>
        <w:rPr>
          <w:rFonts w:ascii="仿宋_GB2312" w:hAnsi="仿宋_GB2312" w:eastAsia="仿宋_GB2312"/>
          <w:b w:val="0"/>
          <w:sz w:val="32"/>
        </w:rPr>
        <w:t>五、《一般公共预算财政拨款支出决算表》</w:t>
      </w:r>
    </w:p>
    <w:p w14:paraId="58BF98BB">
      <w:pPr>
        <w:spacing w:line="240" w:lineRule="auto"/>
        <w:ind w:firstLine="640"/>
        <w:jc w:val="both"/>
      </w:pPr>
      <w:r>
        <w:rPr>
          <w:rFonts w:ascii="仿宋_GB2312" w:hAnsi="仿宋_GB2312" w:eastAsia="仿宋_GB2312"/>
          <w:b w:val="0"/>
          <w:sz w:val="32"/>
        </w:rPr>
        <w:t>六、《一般公共预算财政拨款基本支出决算表》</w:t>
      </w:r>
    </w:p>
    <w:p w14:paraId="6851A1FE">
      <w:pPr>
        <w:spacing w:line="240" w:lineRule="auto"/>
        <w:ind w:firstLine="640"/>
        <w:jc w:val="both"/>
      </w:pPr>
      <w:r>
        <w:rPr>
          <w:rFonts w:ascii="仿宋_GB2312" w:hAnsi="仿宋_GB2312" w:eastAsia="仿宋_GB2312"/>
          <w:b w:val="0"/>
          <w:sz w:val="32"/>
        </w:rPr>
        <w:t>七、《政府性基金预算财政拨款收入支出决算表》</w:t>
      </w:r>
    </w:p>
    <w:p w14:paraId="671E794C">
      <w:pPr>
        <w:spacing w:line="240" w:lineRule="auto"/>
        <w:ind w:firstLine="640"/>
        <w:jc w:val="both"/>
      </w:pPr>
      <w:r>
        <w:rPr>
          <w:rFonts w:ascii="仿宋_GB2312" w:hAnsi="仿宋_GB2312" w:eastAsia="仿宋_GB2312"/>
          <w:b w:val="0"/>
          <w:sz w:val="32"/>
        </w:rPr>
        <w:t>八、《国有资本经营预算财政拨款收入支出决算表》</w:t>
      </w:r>
    </w:p>
    <w:p w14:paraId="1E1C8610">
      <w:pPr>
        <w:spacing w:line="240" w:lineRule="auto"/>
        <w:ind w:firstLine="640"/>
        <w:jc w:val="both"/>
      </w:pPr>
      <w:r>
        <w:rPr>
          <w:rFonts w:ascii="仿宋_GB2312" w:hAnsi="仿宋_GB2312" w:eastAsia="仿宋_GB2312"/>
          <w:b w:val="0"/>
          <w:sz w:val="32"/>
        </w:rPr>
        <w:t>九、《财政拨款“三公”经费支出决算表》</w:t>
      </w:r>
    </w:p>
    <w:p w14:paraId="304B6C26">
      <w:pPr>
        <w:spacing w:line="240" w:lineRule="auto"/>
        <w:ind w:firstLine="640"/>
        <w:jc w:val="both"/>
      </w:pPr>
    </w:p>
    <w:p w14:paraId="0E8BA62F">
      <w:pPr>
        <w:spacing w:line="240" w:lineRule="auto"/>
        <w:ind w:firstLine="640"/>
        <w:jc w:val="both"/>
      </w:pPr>
    </w:p>
    <w:p w14:paraId="2EE4BCDC">
      <w:pPr>
        <w:spacing w:line="240" w:lineRule="auto"/>
        <w:ind w:firstLine="640"/>
        <w:jc w:val="both"/>
      </w:pPr>
    </w:p>
    <w:p w14:paraId="1A530AAC">
      <w:pPr>
        <w:spacing w:line="240" w:lineRule="auto"/>
        <w:ind w:firstLine="640"/>
        <w:jc w:val="both"/>
      </w:pPr>
    </w:p>
    <w:p w14:paraId="47F4CB0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E42DB1-F7B5-4623-9DB8-2E31AB95A4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07B3414-D716-48C0-863B-5E77F1CE2504}"/>
  </w:font>
  <w:font w:name="方正小标宋_GBK">
    <w:panose1 w:val="02000000000000000000"/>
    <w:charset w:val="86"/>
    <w:family w:val="script"/>
    <w:pitch w:val="default"/>
    <w:sig w:usb0="A00002BF" w:usb1="38CF7CFA" w:usb2="00082016" w:usb3="00000000" w:csb0="00040001" w:csb1="00000000"/>
    <w:embedRegular r:id="rId3" w:fontKey="{FE3AA262-AE94-43AB-A381-3A8A352359F8}"/>
  </w:font>
  <w:font w:name="楷体_GB2312">
    <w:altName w:val="楷体"/>
    <w:panose1 w:val="00000000000000000000"/>
    <w:charset w:val="00"/>
    <w:family w:val="auto"/>
    <w:pitch w:val="default"/>
    <w:sig w:usb0="00000000" w:usb1="00000000" w:usb2="00000000" w:usb3="00000000" w:csb0="00000000" w:csb1="00000000"/>
    <w:embedRegular r:id="rId4" w:fontKey="{B0D6EE44-6237-4AD2-8893-65A132250A5B}"/>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2207A8"/>
    <w:rsid w:val="423A32B2"/>
    <w:rsid w:val="423C0CB4"/>
    <w:rsid w:val="427B5743"/>
    <w:rsid w:val="42E64542"/>
    <w:rsid w:val="464B7E04"/>
    <w:rsid w:val="464F7E64"/>
    <w:rsid w:val="46901EEE"/>
    <w:rsid w:val="469C74D2"/>
    <w:rsid w:val="472D5198"/>
    <w:rsid w:val="47445515"/>
    <w:rsid w:val="4B4C0111"/>
    <w:rsid w:val="4BB23021"/>
    <w:rsid w:val="4F3F074E"/>
    <w:rsid w:val="50DB5F45"/>
    <w:rsid w:val="52F92565"/>
    <w:rsid w:val="543D17CB"/>
    <w:rsid w:val="55DA564E"/>
    <w:rsid w:val="56E07045"/>
    <w:rsid w:val="583059FA"/>
    <w:rsid w:val="587E6212"/>
    <w:rsid w:val="5AFC6609"/>
    <w:rsid w:val="5C3C39CC"/>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1BE6D57"/>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5611</Words>
  <Characters>6305</Characters>
  <Lines>0</Lines>
  <Paragraphs>0</Paragraphs>
  <TotalTime>0</TotalTime>
  <ScaleCrop>false</ScaleCrop>
  <LinksUpToDate>false</LinksUpToDate>
  <CharactersWithSpaces>6315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2025-09-29T03:11:24Z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