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15935F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喀什地区特种设备检验检测所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E0E4B2">
      <w:r>
        <w:br w:type="page"/>
      </w:r>
    </w:p>
    <w:p w14:paraId="3FD93324">
      <w:pPr>
        <w:spacing w:line="640" w:lineRule="exact"/>
        <w:jc w:val="center"/>
        <w:outlineLvl w:val="1"/>
      </w:pPr>
      <w:r>
        <w:rPr>
          <w:rFonts w:ascii="黑体" w:hAnsi="黑体" w:eastAsia="黑体"/>
          <w:sz w:val="32"/>
        </w:rPr>
        <w:t>第一部分 部门概况</w:t>
      </w:r>
    </w:p>
    <w:p w14:paraId="59899B95">
      <w:pPr>
        <w:spacing w:line="640" w:lineRule="exact"/>
        <w:ind w:firstLine="640"/>
        <w:jc w:val="both"/>
        <w:outlineLvl w:val="2"/>
      </w:pPr>
      <w:r>
        <w:rPr>
          <w:rFonts w:ascii="黑体" w:hAnsi="黑体" w:eastAsia="黑体"/>
          <w:sz w:val="32"/>
        </w:rPr>
        <w:t>一、主要职能</w:t>
      </w:r>
    </w:p>
    <w:p w14:paraId="019383FD">
      <w:pPr>
        <w:spacing w:line="580" w:lineRule="exact"/>
        <w:ind w:firstLine="640"/>
        <w:jc w:val="both"/>
      </w:pPr>
      <w:r>
        <w:rPr>
          <w:rFonts w:ascii="仿宋_GB2312" w:hAnsi="仿宋_GB2312" w:eastAsia="仿宋_GB2312"/>
          <w:sz w:val="32"/>
        </w:rPr>
        <w:t>喀什地区特种设备检验检测所主要承担锅炉、压力容器、压力管道、电梯、起重机械安装监督检验；承担压力管道安装监督检验；承担锅炉、压力容器、压力管道、电梯、起重机械和场（厂）内机动车辆的定期检验；承担锅炉介质的定期检验；承担安全阀定期校验；各类气瓶检验。</w:t>
      </w:r>
    </w:p>
    <w:p w14:paraId="10A4620C">
      <w:pPr>
        <w:spacing w:line="640" w:lineRule="exact"/>
        <w:ind w:firstLine="640"/>
        <w:jc w:val="both"/>
        <w:outlineLvl w:val="2"/>
      </w:pPr>
      <w:r>
        <w:rPr>
          <w:rFonts w:ascii="黑体" w:hAnsi="黑体" w:eastAsia="黑体"/>
          <w:sz w:val="32"/>
        </w:rPr>
        <w:t>二、机构设置及人员情况</w:t>
      </w:r>
    </w:p>
    <w:p w14:paraId="10FD0139">
      <w:pPr>
        <w:spacing w:line="580" w:lineRule="exact"/>
        <w:ind w:firstLine="640"/>
        <w:jc w:val="both"/>
      </w:pPr>
      <w:r>
        <w:rPr>
          <w:rFonts w:ascii="仿宋_GB2312" w:hAnsi="仿宋_GB2312" w:eastAsia="仿宋_GB2312"/>
          <w:sz w:val="32"/>
        </w:rPr>
        <w:t>喀什地区特种设备检验检测所2024年度，实有人数35人，其中：在职人员21人，减少4人；离休人员0人，增加0人；退休人员14人,增加4人。</w:t>
      </w:r>
    </w:p>
    <w:p w14:paraId="41566FB9">
      <w:pPr>
        <w:spacing w:line="580" w:lineRule="exact"/>
        <w:ind w:firstLine="640"/>
        <w:jc w:val="both"/>
      </w:pPr>
      <w:r>
        <w:rPr>
          <w:rFonts w:ascii="仿宋_GB2312" w:hAnsi="仿宋_GB2312" w:eastAsia="仿宋_GB2312"/>
          <w:sz w:val="32"/>
        </w:rPr>
        <w:t>喀什地区特种设备检验检测所无下属预算单位，下设5个科室，分别是：办公室、业务室、容器室、机电室、瓶检站。</w:t>
      </w:r>
    </w:p>
    <w:p w14:paraId="60D09563">
      <w:r>
        <w:br w:type="page"/>
      </w:r>
    </w:p>
    <w:p w14:paraId="0E6F2A57">
      <w:pPr>
        <w:spacing w:line="240" w:lineRule="auto"/>
        <w:jc w:val="center"/>
        <w:outlineLvl w:val="1"/>
      </w:pPr>
      <w:r>
        <w:rPr>
          <w:rFonts w:ascii="黑体" w:hAnsi="黑体" w:eastAsia="黑体"/>
          <w:sz w:val="32"/>
        </w:rPr>
        <w:t>第二部分 部门决算情况说明</w:t>
      </w:r>
    </w:p>
    <w:p w14:paraId="67E48743">
      <w:pPr>
        <w:spacing w:line="640" w:lineRule="exact"/>
        <w:ind w:firstLine="640"/>
        <w:jc w:val="both"/>
        <w:outlineLvl w:val="2"/>
      </w:pPr>
      <w:r>
        <w:rPr>
          <w:rFonts w:ascii="黑体" w:hAnsi="黑体" w:eastAsia="黑体"/>
          <w:sz w:val="32"/>
        </w:rPr>
        <w:t>一、收入支出决算总体情况说明</w:t>
      </w:r>
    </w:p>
    <w:p w14:paraId="515E377A">
      <w:pPr>
        <w:spacing w:line="580" w:lineRule="exact"/>
        <w:ind w:firstLine="640"/>
        <w:jc w:val="both"/>
      </w:pPr>
      <w:r>
        <w:rPr>
          <w:rFonts w:ascii="仿宋_GB2312" w:hAnsi="仿宋_GB2312" w:eastAsia="仿宋_GB2312"/>
          <w:b/>
          <w:sz w:val="32"/>
        </w:rPr>
        <w:t>2024年度收入总计859.82万元，</w:t>
      </w:r>
      <w:r>
        <w:rPr>
          <w:rFonts w:ascii="仿宋_GB2312" w:hAnsi="仿宋_GB2312" w:eastAsia="仿宋_GB2312"/>
          <w:b w:val="0"/>
          <w:sz w:val="32"/>
        </w:rPr>
        <w:t>其中：本年收入合计859.82万元，使用非财政拨款结余（含专用结余）0.00万元，年初结转和结余0.00万元。</w:t>
      </w:r>
    </w:p>
    <w:p w14:paraId="6B93E34C">
      <w:pPr>
        <w:spacing w:line="580" w:lineRule="exact"/>
        <w:ind w:firstLine="640"/>
        <w:jc w:val="both"/>
      </w:pPr>
      <w:r>
        <w:rPr>
          <w:rFonts w:ascii="仿宋_GB2312" w:hAnsi="仿宋_GB2312" w:eastAsia="仿宋_GB2312"/>
          <w:b/>
          <w:sz w:val="32"/>
        </w:rPr>
        <w:t>2024年度支出总计859.82万元，</w:t>
      </w:r>
      <w:r>
        <w:rPr>
          <w:rFonts w:ascii="仿宋_GB2312" w:hAnsi="仿宋_GB2312" w:eastAsia="仿宋_GB2312"/>
          <w:b w:val="0"/>
          <w:sz w:val="32"/>
        </w:rPr>
        <w:t>其中：本年支出合计859.82万元，结余分配0.00万元，年末结转和结余0.00万元。</w:t>
      </w:r>
    </w:p>
    <w:p w14:paraId="121CB7DE">
      <w:pPr>
        <w:spacing w:line="580" w:lineRule="exact"/>
        <w:ind w:firstLine="640"/>
        <w:jc w:val="both"/>
      </w:pPr>
      <w:r>
        <w:rPr>
          <w:rFonts w:ascii="仿宋_GB2312" w:hAnsi="仿宋_GB2312" w:eastAsia="仿宋_GB2312"/>
          <w:b w:val="0"/>
          <w:sz w:val="32"/>
        </w:rPr>
        <w:t>收入支出总体与上年相比，减少2.27万元，下降0.26%，主要原因是：本年减少用于购置专用设备经费的援疆资金，导致相关经费减少。</w:t>
      </w:r>
    </w:p>
    <w:p w14:paraId="54464B48">
      <w:pPr>
        <w:spacing w:line="640" w:lineRule="exact"/>
        <w:ind w:firstLine="640"/>
        <w:jc w:val="both"/>
        <w:outlineLvl w:val="2"/>
      </w:pPr>
      <w:r>
        <w:rPr>
          <w:rFonts w:ascii="黑体" w:hAnsi="黑体" w:eastAsia="黑体"/>
          <w:sz w:val="32"/>
        </w:rPr>
        <w:t>二、收入决算情况说明</w:t>
      </w:r>
    </w:p>
    <w:p w14:paraId="32229851">
      <w:pPr>
        <w:spacing w:line="580" w:lineRule="exact"/>
        <w:ind w:firstLine="640"/>
        <w:jc w:val="both"/>
      </w:pPr>
      <w:r>
        <w:rPr>
          <w:rFonts w:ascii="仿宋_GB2312" w:hAnsi="仿宋_GB2312" w:eastAsia="仿宋_GB2312"/>
          <w:b/>
          <w:sz w:val="32"/>
        </w:rPr>
        <w:t>本年收入859.82万元，</w:t>
      </w:r>
      <w:r>
        <w:rPr>
          <w:rFonts w:ascii="仿宋_GB2312" w:hAnsi="仿宋_GB2312" w:eastAsia="仿宋_GB2312"/>
          <w:b w:val="0"/>
          <w:sz w:val="32"/>
        </w:rPr>
        <w:t>其中：财政拨款收入859.82万元，占100.00%；上级补助收入0.00万元，占0.00%；事业收入0.00万元，占0.00%；经营收入0.00万元，占0.00%；附属单位上缴收入0.00万元，占0.00%；其他收入0.00万元，占0.00%。</w:t>
      </w:r>
    </w:p>
    <w:p w14:paraId="228DD2E1">
      <w:pPr>
        <w:spacing w:line="640" w:lineRule="exact"/>
        <w:ind w:firstLine="640"/>
        <w:jc w:val="both"/>
        <w:outlineLvl w:val="2"/>
      </w:pPr>
      <w:r>
        <w:rPr>
          <w:rFonts w:ascii="黑体" w:hAnsi="黑体" w:eastAsia="黑体"/>
          <w:sz w:val="32"/>
        </w:rPr>
        <w:t>三、支出决算情况说明</w:t>
      </w:r>
    </w:p>
    <w:p w14:paraId="40BC06DC">
      <w:pPr>
        <w:spacing w:line="580" w:lineRule="exact"/>
        <w:ind w:firstLine="640"/>
        <w:jc w:val="both"/>
      </w:pPr>
      <w:r>
        <w:rPr>
          <w:rFonts w:ascii="仿宋_GB2312" w:hAnsi="仿宋_GB2312" w:eastAsia="仿宋_GB2312"/>
          <w:b/>
          <w:sz w:val="32"/>
        </w:rPr>
        <w:t>本年支出859.82万元，</w:t>
      </w:r>
      <w:r>
        <w:rPr>
          <w:rFonts w:ascii="仿宋_GB2312" w:hAnsi="仿宋_GB2312" w:eastAsia="仿宋_GB2312"/>
          <w:b w:val="0"/>
          <w:sz w:val="32"/>
        </w:rPr>
        <w:t>其中：基本支出655.49万元，占76.24%；项目支出204.33万元，占23.76%；上缴上级支出0.00万元，占0.00%；经营支出0.00万元，占0.00%；对附属单位补助支出0.00万元，占0.00%。</w:t>
      </w:r>
    </w:p>
    <w:p w14:paraId="33439C94">
      <w:pPr>
        <w:spacing w:line="640" w:lineRule="exact"/>
        <w:ind w:firstLine="640"/>
        <w:jc w:val="both"/>
        <w:outlineLvl w:val="2"/>
      </w:pPr>
      <w:r>
        <w:rPr>
          <w:rFonts w:ascii="黑体" w:hAnsi="黑体" w:eastAsia="黑体"/>
          <w:sz w:val="32"/>
        </w:rPr>
        <w:t>四、财政拨款收入支出决算总体情况说明</w:t>
      </w:r>
    </w:p>
    <w:p w14:paraId="79C7A54F">
      <w:pPr>
        <w:spacing w:line="580" w:lineRule="exact"/>
        <w:ind w:firstLine="640"/>
        <w:jc w:val="both"/>
      </w:pPr>
      <w:r>
        <w:rPr>
          <w:rFonts w:ascii="仿宋_GB2312" w:hAnsi="仿宋_GB2312" w:eastAsia="仿宋_GB2312"/>
          <w:b/>
          <w:sz w:val="32"/>
        </w:rPr>
        <w:t>2024年度财政拨款收入总计859.82万元，</w:t>
      </w:r>
      <w:r>
        <w:rPr>
          <w:rFonts w:ascii="仿宋_GB2312" w:hAnsi="仿宋_GB2312" w:eastAsia="仿宋_GB2312"/>
          <w:b w:val="0"/>
          <w:sz w:val="32"/>
        </w:rPr>
        <w:t>其中：年初财政拨款结转和结余0.00万元，本年财政拨款收入859.82万元。</w:t>
      </w:r>
      <w:r>
        <w:rPr>
          <w:rFonts w:ascii="仿宋_GB2312" w:hAnsi="仿宋_GB2312" w:eastAsia="仿宋_GB2312"/>
          <w:b/>
          <w:sz w:val="32"/>
        </w:rPr>
        <w:t>财政拨款支出总计859.82万元，</w:t>
      </w:r>
      <w:r>
        <w:rPr>
          <w:rFonts w:ascii="仿宋_GB2312" w:hAnsi="仿宋_GB2312" w:eastAsia="仿宋_GB2312"/>
          <w:b w:val="0"/>
          <w:sz w:val="32"/>
        </w:rPr>
        <w:t>其中：年末财政拨款结转和结余0.00万元，本年财政拨款支出859.82万元。</w:t>
      </w:r>
    </w:p>
    <w:p w14:paraId="4F9AEBE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增加45.73万元，增长5.62%，主要原因是：本年新增退休人员，职业年金缴费支出增加。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年初预算数893.81万元，决算数859.82万元，预决算差异率-3.80%，主要原因是：本年在职人员减少，年中调减人员经费，导致预决算存在差异。</w:t>
      </w:r>
    </w:p>
    <w:p w14:paraId="15C65C1F">
      <w:pPr>
        <w:spacing w:line="640" w:lineRule="exact"/>
        <w:ind w:firstLine="640"/>
        <w:jc w:val="both"/>
        <w:outlineLvl w:val="2"/>
      </w:pPr>
      <w:r>
        <w:rPr>
          <w:rFonts w:ascii="黑体" w:hAnsi="黑体" w:eastAsia="黑体"/>
          <w:sz w:val="32"/>
        </w:rPr>
        <w:t>五、一般公共预算财政拨款支出决算情况说明</w:t>
      </w:r>
    </w:p>
    <w:p w14:paraId="253ACAC6">
      <w:pPr>
        <w:spacing w:line="640" w:lineRule="exact"/>
        <w:ind w:firstLine="640"/>
        <w:jc w:val="both"/>
        <w:outlineLvl w:val="3"/>
      </w:pPr>
      <w:r>
        <w:rPr>
          <w:rFonts w:ascii="楷体_GB2312" w:hAnsi="楷体_GB2312" w:eastAsia="楷体_GB2312"/>
          <w:b/>
          <w:sz w:val="32"/>
        </w:rPr>
        <w:t>（一）一般公共预算财政拨款支出决算总体情况</w:t>
      </w:r>
    </w:p>
    <w:p w14:paraId="7116254B">
      <w:pPr>
        <w:spacing w:line="580" w:lineRule="exact"/>
        <w:ind w:firstLine="640"/>
        <w:jc w:val="both"/>
      </w:pPr>
      <w:r>
        <w:rPr>
          <w:rFonts w:ascii="仿宋_GB2312" w:hAnsi="仿宋_GB2312" w:eastAsia="仿宋_GB2312"/>
          <w:b/>
          <w:sz w:val="32"/>
        </w:rPr>
        <w:t>2024年度一般公共预算财政拨款支出859.82万元，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增加45.73万元，增长5.62%，主要原因是：本年新增退休人员，职业年金缴费支出增加。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年初预算数893.81万元，决算数859.82万元，预决算差异率-3.80%，主要原因是：本年在职人员减少，年中调减人员经费，导致预决算存在差异。</w:t>
      </w:r>
    </w:p>
    <w:p w14:paraId="1804D349">
      <w:pPr>
        <w:spacing w:line="640" w:lineRule="exact"/>
        <w:ind w:firstLine="640"/>
        <w:jc w:val="both"/>
        <w:outlineLvl w:val="3"/>
      </w:pPr>
      <w:r>
        <w:rPr>
          <w:rFonts w:ascii="楷体_GB2312" w:hAnsi="楷体_GB2312" w:eastAsia="楷体_GB2312"/>
          <w:b/>
          <w:sz w:val="32"/>
        </w:rPr>
        <w:t>（二）一般公共预算财政拨款支出决算结构情况</w:t>
      </w:r>
    </w:p>
    <w:p w14:paraId="0FFFC5A3">
      <w:pPr>
        <w:spacing w:line="580" w:lineRule="exact"/>
        <w:ind w:firstLine="640"/>
        <w:jc w:val="both"/>
      </w:pPr>
      <w:r>
        <w:rPr>
          <w:rFonts w:ascii="仿宋_GB2312" w:hAnsi="仿宋_GB2312" w:eastAsia="仿宋_GB2312"/>
          <w:b w:val="0"/>
          <w:sz w:val="32"/>
        </w:rPr>
        <w:t>1.一般公共服务支出(类)698.96万元,占81.29%。</w:t>
      </w:r>
    </w:p>
    <w:p w14:paraId="06EE1438">
      <w:pPr>
        <w:spacing w:line="580" w:lineRule="exact"/>
        <w:ind w:firstLine="640"/>
        <w:jc w:val="both"/>
      </w:pPr>
      <w:r>
        <w:rPr>
          <w:rFonts w:ascii="仿宋_GB2312" w:hAnsi="仿宋_GB2312" w:eastAsia="仿宋_GB2312"/>
          <w:b w:val="0"/>
          <w:sz w:val="32"/>
        </w:rPr>
        <w:t>2.社会保障和就业支出(类)104.68万元,占12.17%。</w:t>
      </w:r>
    </w:p>
    <w:p w14:paraId="73D36148">
      <w:pPr>
        <w:spacing w:line="580" w:lineRule="exact"/>
        <w:ind w:firstLine="640"/>
        <w:jc w:val="both"/>
      </w:pPr>
      <w:r>
        <w:rPr>
          <w:rFonts w:ascii="仿宋_GB2312" w:hAnsi="仿宋_GB2312" w:eastAsia="仿宋_GB2312"/>
          <w:b w:val="0"/>
          <w:sz w:val="32"/>
        </w:rPr>
        <w:t>3.卫生健康支出(类)18.64万元,占2.17%。</w:t>
      </w:r>
    </w:p>
    <w:p w14:paraId="5DFD054E">
      <w:pPr>
        <w:spacing w:line="580" w:lineRule="exact"/>
        <w:ind w:firstLine="640"/>
        <w:jc w:val="both"/>
      </w:pPr>
      <w:r>
        <w:rPr>
          <w:rFonts w:ascii="仿宋_GB2312" w:hAnsi="仿宋_GB2312" w:eastAsia="仿宋_GB2312"/>
          <w:b w:val="0"/>
          <w:sz w:val="32"/>
        </w:rPr>
        <w:t>4.住房保障支出(类)37.53万元,占4.36%。</w:t>
      </w:r>
    </w:p>
    <w:p w14:paraId="10A2071F">
      <w:pPr>
        <w:spacing w:line="640" w:lineRule="exact"/>
        <w:ind w:firstLine="640"/>
        <w:jc w:val="both"/>
        <w:outlineLvl w:val="3"/>
      </w:pPr>
      <w:r>
        <w:rPr>
          <w:rFonts w:ascii="楷体_GB2312" w:hAnsi="楷体_GB2312" w:eastAsia="楷体_GB2312"/>
          <w:b/>
          <w:sz w:val="32"/>
        </w:rPr>
        <w:t>（三）一般公共预算财政拨款支出决算具体情况</w:t>
      </w:r>
    </w:p>
    <w:p w14:paraId="39FE4B68">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1.一般公共服务支出(类)统战事务(款)宗教事务(项):支出决算数为2.20万元，比上年决算增加2.20万元，增长100.00%,主要原因是：本年度</w:t>
      </w:r>
      <w:r>
        <w:rPr>
          <w:rFonts w:hint="eastAsia" w:ascii="仿宋_GB2312" w:hAnsi="仿宋_GB2312" w:eastAsia="仿宋_GB2312"/>
          <w:b w:val="0"/>
          <w:sz w:val="32"/>
          <w:lang w:val="en-US" w:eastAsia="zh-CN"/>
        </w:rPr>
        <w:t>业务</w:t>
      </w:r>
      <w:r>
        <w:rPr>
          <w:rFonts w:ascii="仿宋_GB2312" w:hAnsi="仿宋_GB2312" w:eastAsia="仿宋_GB2312"/>
          <w:b w:val="0"/>
          <w:sz w:val="32"/>
        </w:rPr>
        <w:t>经费支出较上年增加。</w:t>
      </w:r>
    </w:p>
    <w:p w14:paraId="159C4B1C">
      <w:pPr>
        <w:spacing w:line="580" w:lineRule="exact"/>
        <w:ind w:firstLine="640"/>
        <w:jc w:val="both"/>
      </w:pPr>
      <w:r>
        <w:rPr>
          <w:rFonts w:ascii="仿宋_GB2312" w:hAnsi="仿宋_GB2312" w:eastAsia="仿宋_GB2312"/>
          <w:b w:val="0"/>
          <w:sz w:val="32"/>
        </w:rPr>
        <w:t>2.一般公共服务支出(</w:t>
      </w:r>
      <w:bookmarkStart w:id="0" w:name="_GoBack"/>
      <w:bookmarkEnd w:id="0"/>
      <w:r>
        <w:rPr>
          <w:rFonts w:ascii="仿宋_GB2312" w:hAnsi="仿宋_GB2312" w:eastAsia="仿宋_GB2312"/>
          <w:b w:val="0"/>
          <w:sz w:val="32"/>
        </w:rPr>
        <w:t>类)市场监督管理事务(款)市场主体管理(项):支出决算数为204.33万元，比上年决算增加1.05万元，增长0.52%,主要原因是：本年度增加专用设备购置项目资金，导致经费较上年增加。</w:t>
      </w:r>
    </w:p>
    <w:p w14:paraId="223CC4A0">
      <w:pPr>
        <w:spacing w:line="580" w:lineRule="exact"/>
        <w:ind w:firstLine="640"/>
        <w:jc w:val="both"/>
      </w:pPr>
      <w:r>
        <w:rPr>
          <w:rFonts w:ascii="仿宋_GB2312" w:hAnsi="仿宋_GB2312" w:eastAsia="仿宋_GB2312"/>
          <w:b w:val="0"/>
          <w:sz w:val="32"/>
        </w:rPr>
        <w:t>3.一般公共服务支出(类)市场监督管理事务(款)事业运行(项):支出决算数为492.44万元，比上年决算减少4.76万元，下降0.96%,主要原因是：本年在职人员减少，相应人员经费较上年减少。</w:t>
      </w:r>
    </w:p>
    <w:p w14:paraId="660D6115">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4.社会保障和就业支出(类)行政事业单位养老支出(款)事业单位离退休(项):支出决算数为17.08万元，比上年决算增加3.74万元，增长28.04%,主要原因是：本年退休人员增加，退休费支出增加。</w:t>
      </w:r>
    </w:p>
    <w:p w14:paraId="20A7B1A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43.87万元，比上年决算减少0.62万元，下降1.39%,主要原因是：本年在职人员减少，单位基本养老保险缴费较上年减少。</w:t>
      </w:r>
    </w:p>
    <w:p w14:paraId="6D68A878">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6.社会保障和就业支出(类)行政事业单位养老支出(款)机关事业单位职业年金缴费支出(项):支出决算数为43.74万元，比上年决算增加43.74万元，增长100.00%,主要原因是：本年新增退休人员，职业年金缴费支出增加。</w:t>
      </w:r>
    </w:p>
    <w:p w14:paraId="2A07006A">
      <w:pPr>
        <w:spacing w:line="580" w:lineRule="exact"/>
        <w:ind w:firstLine="640"/>
        <w:jc w:val="both"/>
      </w:pPr>
      <w:r>
        <w:rPr>
          <w:rFonts w:ascii="仿宋_GB2312" w:hAnsi="仿宋_GB2312" w:eastAsia="仿宋_GB2312"/>
          <w:b w:val="0"/>
          <w:sz w:val="32"/>
        </w:rPr>
        <w:t>7.卫生健康支出(类)行政事业单位医疗(款)事业单位医疗(项):支出决算数为18.64万元，比上年决算减少0.27万元，下降1.43%,主要原因是：本年在职人员减少，事业单位医疗支出较上年减少。</w:t>
      </w:r>
    </w:p>
    <w:p w14:paraId="435C16BC">
      <w:pPr>
        <w:spacing w:line="580" w:lineRule="exact"/>
        <w:ind w:firstLine="640"/>
        <w:jc w:val="both"/>
      </w:pPr>
      <w:r>
        <w:rPr>
          <w:rFonts w:ascii="仿宋_GB2312" w:hAnsi="仿宋_GB2312" w:eastAsia="仿宋_GB2312"/>
          <w:b w:val="0"/>
          <w:sz w:val="32"/>
        </w:rPr>
        <w:t>8.住房保障支出(类)住房改革支出(款)住房公积金(项):支出决算数为37.53万元，比上年决算增加0.66万元，增长1.79%,主要原因是：本年在职人员工资基数调增，公积金缴费基数上涨，相应支出增加。</w:t>
      </w:r>
    </w:p>
    <w:p w14:paraId="113E152D">
      <w:pPr>
        <w:spacing w:line="640" w:lineRule="exact"/>
        <w:ind w:firstLine="640"/>
        <w:jc w:val="both"/>
        <w:outlineLvl w:val="2"/>
      </w:pPr>
      <w:r>
        <w:rPr>
          <w:rFonts w:ascii="黑体" w:hAnsi="黑体" w:eastAsia="黑体"/>
          <w:sz w:val="32"/>
        </w:rPr>
        <w:t>六、一般公共预算财政拨款基本支出决算情况说明</w:t>
      </w:r>
    </w:p>
    <w:p w14:paraId="2BEC5F71">
      <w:pPr>
        <w:spacing w:line="580" w:lineRule="exact"/>
        <w:ind w:firstLine="640"/>
        <w:jc w:val="both"/>
      </w:pPr>
      <w:r>
        <w:rPr>
          <w:rFonts w:ascii="仿宋_GB2312" w:hAnsi="仿宋_GB2312" w:eastAsia="仿宋_GB2312"/>
          <w:b w:val="0"/>
          <w:sz w:val="32"/>
        </w:rPr>
        <w:t>2024年度一般公共预算财政拨款基本支出655.49万元，其中：</w:t>
      </w:r>
      <w:r>
        <w:rPr>
          <w:rFonts w:ascii="仿宋_GB2312" w:hAnsi="仿宋_GB2312" w:eastAsia="仿宋_GB2312"/>
          <w:b/>
          <w:sz w:val="32"/>
        </w:rPr>
        <w:t>人员经费610.96万元，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奖励金、其他对个人和家庭的补助。</w:t>
      </w:r>
    </w:p>
    <w:p w14:paraId="6FAE6675">
      <w:pPr>
        <w:spacing w:line="580" w:lineRule="exact"/>
        <w:ind w:firstLine="640"/>
        <w:jc w:val="both"/>
      </w:pPr>
      <w:r>
        <w:rPr>
          <w:rFonts w:ascii="仿宋_GB2312" w:hAnsi="仿宋_GB2312" w:eastAsia="仿宋_GB2312"/>
          <w:b/>
          <w:sz w:val="32"/>
        </w:rPr>
        <w:t>公用经费44.53万元，</w:t>
      </w:r>
      <w:r>
        <w:rPr>
          <w:rFonts w:ascii="仿宋_GB2312" w:hAnsi="仿宋_GB2312" w:eastAsia="仿宋_GB2312"/>
          <w:b w:val="0"/>
          <w:sz w:val="32"/>
        </w:rPr>
        <w:t>包括：办公费、邮电费、取暖费、差旅费、专用材料费、工会经费、公务用车运行维护费、其他交通费用、其他商品和服务支出。</w:t>
      </w:r>
    </w:p>
    <w:p w14:paraId="620BE258">
      <w:pPr>
        <w:spacing w:line="640" w:lineRule="exact"/>
        <w:ind w:firstLine="640"/>
        <w:jc w:val="both"/>
        <w:outlineLvl w:val="2"/>
      </w:pPr>
      <w:r>
        <w:rPr>
          <w:rFonts w:ascii="黑体" w:hAnsi="黑体" w:eastAsia="黑体"/>
          <w:sz w:val="32"/>
        </w:rPr>
        <w:t>七、政府性基金预算财政拨款收入支出决算情况说明</w:t>
      </w:r>
    </w:p>
    <w:p w14:paraId="362F0612">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195CE08">
      <w:pPr>
        <w:spacing w:line="640" w:lineRule="exact"/>
        <w:ind w:firstLine="640"/>
        <w:jc w:val="both"/>
        <w:outlineLvl w:val="2"/>
      </w:pPr>
      <w:r>
        <w:rPr>
          <w:rFonts w:ascii="黑体" w:hAnsi="黑体" w:eastAsia="黑体"/>
          <w:sz w:val="32"/>
        </w:rPr>
        <w:t>八、国有资本经营预算财政拨款收入支出决算情况说明</w:t>
      </w:r>
    </w:p>
    <w:p w14:paraId="6BFBD4B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A679F5E">
      <w:pPr>
        <w:spacing w:line="640" w:lineRule="exact"/>
        <w:ind w:firstLine="640"/>
        <w:jc w:val="both"/>
        <w:outlineLvl w:val="2"/>
      </w:pPr>
      <w:r>
        <w:rPr>
          <w:rFonts w:ascii="黑体" w:hAnsi="黑体" w:eastAsia="黑体"/>
          <w:sz w:val="32"/>
        </w:rPr>
        <w:t>九、财政拨款“三公”经费支出决算情况说明</w:t>
      </w:r>
    </w:p>
    <w:p w14:paraId="7C18C38B">
      <w:pPr>
        <w:spacing w:line="580" w:lineRule="exact"/>
        <w:ind w:firstLine="640"/>
        <w:jc w:val="both"/>
      </w:pPr>
      <w:r>
        <w:rPr>
          <w:rFonts w:ascii="仿宋_GB2312" w:hAnsi="仿宋_GB2312" w:eastAsia="仿宋_GB2312"/>
          <w:b/>
          <w:sz w:val="32"/>
        </w:rPr>
        <w:t>2024年度财政拨款“三公”经费支出2.60万元，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2.60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597A1AF3">
      <w:pPr>
        <w:spacing w:line="580" w:lineRule="exact"/>
        <w:ind w:firstLine="640"/>
        <w:jc w:val="both"/>
      </w:pPr>
      <w:r>
        <w:rPr>
          <w:rFonts w:ascii="仿宋_GB2312" w:hAnsi="仿宋_GB2312" w:eastAsia="仿宋_GB2312"/>
          <w:b/>
          <w:sz w:val="32"/>
        </w:rPr>
        <w:t>具体情况如下：</w:t>
      </w:r>
    </w:p>
    <w:p w14:paraId="00AC1867">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A56E0FE">
      <w:pPr>
        <w:spacing w:line="580" w:lineRule="exact"/>
        <w:ind w:firstLine="640"/>
        <w:jc w:val="both"/>
      </w:pPr>
      <w:r>
        <w:rPr>
          <w:rFonts w:ascii="仿宋_GB2312" w:hAnsi="仿宋_GB2312" w:eastAsia="仿宋_GB2312"/>
          <w:b w:val="0"/>
          <w:sz w:val="32"/>
        </w:rPr>
        <w:t>公务用车购置及运行维护费2.60万元，其中：公务用车购置费0.00万元，公务用车运行维护费2.60万元。公务用车运行维护费开支内容包括车辆燃油费、保险费、维修维护费、过路费等。公务用车购置数0辆，公务用车保有量2辆。国有资产占用情况中固定资产车辆2辆，与公务用车保有量差异原因是：本部门固定资产车辆与公务用车保有量一致无差异。</w:t>
      </w:r>
    </w:p>
    <w:p w14:paraId="29E92D2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222014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2.60万元，决算数2.60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2.60万元，决算数2.60万元，预决算差异率0.00%，主要原因是：严格按照预算执行，预决算无差异。公务接待费全年预算数0.00万元，决算数0.00万元，预决算差异率0.00%，主要原因是：本部门无公务接待费。</w:t>
      </w:r>
    </w:p>
    <w:p w14:paraId="1AB914E0">
      <w:pPr>
        <w:spacing w:line="640" w:lineRule="exact"/>
        <w:ind w:firstLine="640"/>
        <w:jc w:val="both"/>
        <w:outlineLvl w:val="2"/>
      </w:pPr>
      <w:r>
        <w:rPr>
          <w:rFonts w:ascii="黑体" w:hAnsi="黑体" w:eastAsia="黑体"/>
          <w:sz w:val="32"/>
        </w:rPr>
        <w:t>十、其他重要事项的情况说明</w:t>
      </w:r>
    </w:p>
    <w:p w14:paraId="7F6D10AF">
      <w:pPr>
        <w:spacing w:line="640" w:lineRule="exact"/>
        <w:ind w:firstLine="640"/>
        <w:jc w:val="both"/>
        <w:outlineLvl w:val="3"/>
      </w:pPr>
      <w:r>
        <w:rPr>
          <w:rFonts w:ascii="楷体_GB2312" w:hAnsi="楷体_GB2312" w:eastAsia="楷体_GB2312"/>
          <w:b/>
          <w:sz w:val="32"/>
        </w:rPr>
        <w:t>（一）机关运行经费及公用经费支出情况</w:t>
      </w:r>
    </w:p>
    <w:p w14:paraId="20E00650">
      <w:pPr>
        <w:spacing w:line="580" w:lineRule="exact"/>
        <w:ind w:firstLine="640"/>
        <w:jc w:val="both"/>
      </w:pPr>
      <w:r>
        <w:rPr>
          <w:rFonts w:ascii="仿宋_GB2312" w:hAnsi="仿宋_GB2312" w:eastAsia="仿宋_GB2312"/>
          <w:b w:val="0"/>
          <w:sz w:val="32"/>
        </w:rPr>
        <w:t>2024年度喀什地区特种设备检验检测所（事业单位）公用经费支出44.53万元，比上年增加14.25万元，增长47.06%，主要原因是：本年增加专用材料费等经费，导致公用经费增加。</w:t>
      </w:r>
    </w:p>
    <w:p w14:paraId="1232D7CE">
      <w:pPr>
        <w:spacing w:line="640" w:lineRule="exact"/>
        <w:ind w:firstLine="640"/>
        <w:jc w:val="both"/>
        <w:outlineLvl w:val="3"/>
      </w:pPr>
      <w:r>
        <w:rPr>
          <w:rFonts w:ascii="楷体_GB2312" w:hAnsi="楷体_GB2312" w:eastAsia="楷体_GB2312"/>
          <w:b/>
          <w:sz w:val="32"/>
        </w:rPr>
        <w:t>（二）政府采购情况</w:t>
      </w:r>
    </w:p>
    <w:p w14:paraId="1C71A78C">
      <w:pPr>
        <w:spacing w:line="580" w:lineRule="exact"/>
        <w:ind w:firstLine="640"/>
        <w:jc w:val="both"/>
      </w:pPr>
      <w:r>
        <w:rPr>
          <w:rFonts w:ascii="仿宋_GB2312" w:hAnsi="仿宋_GB2312" w:eastAsia="仿宋_GB2312"/>
          <w:b w:val="0"/>
          <w:sz w:val="32"/>
        </w:rPr>
        <w:t>2024年度政府采购支出总额155.59万元，其中：政府采购货物支出116.53万元、政府采购工程支出0.00万元、政府采购服务支出39.06万元。</w:t>
      </w:r>
    </w:p>
    <w:p w14:paraId="6112AC74">
      <w:pPr>
        <w:spacing w:line="580" w:lineRule="exact"/>
        <w:ind w:firstLine="640"/>
        <w:jc w:val="both"/>
      </w:pPr>
      <w:r>
        <w:rPr>
          <w:rFonts w:ascii="仿宋_GB2312" w:hAnsi="仿宋_GB2312" w:eastAsia="仿宋_GB2312"/>
          <w:b w:val="0"/>
          <w:sz w:val="32"/>
        </w:rPr>
        <w:t>授予中小企业合同金额133.83万元，占政府采购支出总额的86.01%，其中：授予小微企业合同金额114.57万元，占政府采购支出总额的73.64%。</w:t>
      </w:r>
    </w:p>
    <w:p w14:paraId="4F8882F4">
      <w:pPr>
        <w:spacing w:line="640" w:lineRule="exact"/>
        <w:ind w:firstLine="640"/>
        <w:jc w:val="both"/>
        <w:outlineLvl w:val="3"/>
      </w:pPr>
      <w:r>
        <w:rPr>
          <w:rFonts w:ascii="楷体_GB2312" w:hAnsi="楷体_GB2312" w:eastAsia="楷体_GB2312"/>
          <w:b/>
          <w:sz w:val="32"/>
        </w:rPr>
        <w:t>（三）国有资产占用情况说明</w:t>
      </w:r>
    </w:p>
    <w:p w14:paraId="48E961D2">
      <w:pPr>
        <w:spacing w:line="580" w:lineRule="exact"/>
        <w:ind w:firstLine="640"/>
        <w:jc w:val="both"/>
      </w:pPr>
      <w:r>
        <w:rPr>
          <w:rFonts w:ascii="仿宋_GB2312" w:hAnsi="仿宋_GB2312" w:eastAsia="仿宋_GB2312"/>
          <w:b w:val="0"/>
          <w:sz w:val="32"/>
        </w:rPr>
        <w:t>截至2024年12月31日，房屋8,420.88平方米，价值1,845.47万元。车辆2辆，价值43.83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4315E45E">
      <w:pPr>
        <w:spacing w:line="640" w:lineRule="exact"/>
        <w:ind w:firstLine="640"/>
        <w:jc w:val="both"/>
        <w:outlineLvl w:val="2"/>
      </w:pPr>
      <w:r>
        <w:rPr>
          <w:rFonts w:ascii="黑体" w:hAnsi="黑体" w:eastAsia="黑体"/>
          <w:sz w:val="32"/>
        </w:rPr>
        <w:t>十一、预算绩效的情况说明</w:t>
      </w:r>
    </w:p>
    <w:p w14:paraId="50E1148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871.84万元，实际执行总额859.82万元；预算绩效评价项目2个，全年预算数216.35万元，全年执行数204.33万元。预算绩效管理取得的成效：一是各项费用支出均在预算资金内完成；二是保障单位特种设备检验业务的顺利开展；三是预期制定的绩效指标，在预期内达到相应的经济效益和社会效益。发现的问题及原因：一是绩效管理没有制定合理的支出计划，制定的年度绩效计划有部分偏差；二是对绩效管理中的资料收集整理不规范。下一步改进措施：一是明确岗位职责分工，组织专人进行绩效管理培训，制定合理的支出计划执行表，定期复盘回顾；二是对绩效管理过程中的重要资料进行整理存档。具体附部门整体支出绩效自评表，项目支出绩效自评表和部门评价报告。</w:t>
      </w:r>
    </w:p>
    <w:p w14:paraId="35238F8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176"/>
        <w:gridCol w:w="983"/>
        <w:gridCol w:w="983"/>
        <w:gridCol w:w="983"/>
        <w:gridCol w:w="983"/>
      </w:tblGrid>
      <w:tr w14:paraId="06C3B937">
        <w:tblPrEx>
          <w:tblCellMar>
            <w:top w:w="0" w:type="dxa"/>
            <w:left w:w="108" w:type="dxa"/>
            <w:bottom w:w="0" w:type="dxa"/>
            <w:right w:w="108" w:type="dxa"/>
          </w:tblCellMar>
        </w:tblPrEx>
        <w:tc>
          <w:tcPr>
            <w:tcW w:w="8847" w:type="dxa"/>
            <w:gridSpan w:val="9"/>
            <w:vAlign w:val="center"/>
          </w:tcPr>
          <w:p w14:paraId="1FC849A3">
            <w:pPr>
              <w:jc w:val="center"/>
            </w:pPr>
            <w:r>
              <w:rPr>
                <w:rFonts w:ascii="宋体" w:hAnsi="宋体" w:eastAsia="宋体"/>
                <w:sz w:val="24"/>
              </w:rPr>
              <w:t>部门整体支出绩效自评表</w:t>
            </w:r>
          </w:p>
        </w:tc>
      </w:tr>
      <w:tr w14:paraId="486CEFF2">
        <w:tblPrEx>
          <w:tblCellMar>
            <w:top w:w="0" w:type="dxa"/>
            <w:left w:w="108" w:type="dxa"/>
            <w:bottom w:w="0" w:type="dxa"/>
            <w:right w:w="108" w:type="dxa"/>
          </w:tblCellMar>
        </w:tblPrEx>
        <w:tc>
          <w:tcPr>
            <w:tcW w:w="8847" w:type="dxa"/>
            <w:gridSpan w:val="9"/>
            <w:vAlign w:val="center"/>
          </w:tcPr>
          <w:p w14:paraId="5B6DE014">
            <w:pPr>
              <w:jc w:val="center"/>
            </w:pPr>
            <w:r>
              <w:rPr>
                <w:rFonts w:ascii="宋体" w:hAnsi="宋体" w:eastAsia="宋体"/>
                <w:sz w:val="24"/>
              </w:rPr>
              <w:t>（2024年度）</w:t>
            </w:r>
          </w:p>
        </w:tc>
      </w:tr>
      <w:tr w14:paraId="01FE4C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1663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C80D05">
            <w:pPr>
              <w:jc w:val="center"/>
            </w:pPr>
            <w:r>
              <w:rPr>
                <w:rFonts w:ascii="宋体" w:hAnsi="宋体" w:eastAsia="宋体"/>
                <w:sz w:val="16"/>
              </w:rPr>
              <w:t>喀什地区特种设备检验检测所</w:t>
            </w:r>
          </w:p>
        </w:tc>
      </w:tr>
      <w:tr w14:paraId="42A6D1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10FB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0911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08E6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C571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5A9D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2D0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E554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09FCE">
            <w:pPr>
              <w:jc w:val="center"/>
            </w:pPr>
            <w:r>
              <w:rPr>
                <w:rFonts w:ascii="宋体" w:hAnsi="宋体" w:eastAsia="宋体"/>
                <w:sz w:val="16"/>
              </w:rPr>
              <w:t>得分</w:t>
            </w:r>
          </w:p>
        </w:tc>
      </w:tr>
      <w:tr w14:paraId="5449D4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3BA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0DB9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B8525">
            <w:pPr>
              <w:jc w:val="center"/>
            </w:pPr>
            <w:r>
              <w:rPr>
                <w:rFonts w:ascii="宋体" w:hAnsi="宋体" w:eastAsia="宋体"/>
                <w:sz w:val="16"/>
              </w:rPr>
              <w:t>893.81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384B4">
            <w:pPr>
              <w:jc w:val="center"/>
            </w:pPr>
            <w:r>
              <w:rPr>
                <w:rFonts w:ascii="宋体" w:hAnsi="宋体" w:eastAsia="宋体"/>
                <w:sz w:val="16"/>
              </w:rPr>
              <w:t>871.84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24EBF">
            <w:pPr>
              <w:jc w:val="center"/>
            </w:pPr>
            <w:r>
              <w:rPr>
                <w:rFonts w:ascii="宋体" w:hAnsi="宋体" w:eastAsia="宋体"/>
                <w:sz w:val="16"/>
              </w:rPr>
              <w:t>859.82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85B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5E6E2">
            <w:pPr>
              <w:jc w:val="center"/>
            </w:pPr>
            <w:r>
              <w:rPr>
                <w:rFonts w:ascii="宋体" w:hAnsi="宋体" w:eastAsia="宋体"/>
                <w:sz w:val="16"/>
              </w:rPr>
              <w:t>98.62%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29F1A">
            <w:pPr>
              <w:jc w:val="center"/>
            </w:pPr>
            <w:r>
              <w:rPr>
                <w:rFonts w:ascii="宋体" w:hAnsi="宋体" w:eastAsia="宋体"/>
                <w:sz w:val="16"/>
              </w:rPr>
              <w:t>9.86</w:t>
            </w:r>
          </w:p>
        </w:tc>
      </w:tr>
      <w:tr w14:paraId="0338CD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ABA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C187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A182E">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91128">
            <w:pPr>
              <w:jc w:val="center"/>
            </w:pPr>
            <w:r>
              <w:rPr>
                <w:rFonts w:ascii="宋体" w:hAnsi="宋体" w:eastAsia="宋体"/>
                <w:sz w:val="16"/>
              </w:rPr>
              <w:t>9.25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54FAC">
            <w:pPr>
              <w:jc w:val="center"/>
            </w:pPr>
            <w:r>
              <w:rPr>
                <w:rFonts w:ascii="宋体" w:hAnsi="宋体" w:eastAsia="宋体"/>
                <w:sz w:val="16"/>
              </w:rPr>
              <w:t>9.25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796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31A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D8EEF">
            <w:pPr>
              <w:jc w:val="center"/>
            </w:pPr>
            <w:r>
              <w:rPr>
                <w:rFonts w:ascii="宋体" w:hAnsi="宋体" w:eastAsia="宋体"/>
                <w:sz w:val="16"/>
              </w:rPr>
              <w:t>—</w:t>
            </w:r>
          </w:p>
        </w:tc>
      </w:tr>
      <w:tr w14:paraId="6C2473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1987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ED9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80252">
            <w:pPr>
              <w:jc w:val="center"/>
            </w:pPr>
            <w:r>
              <w:rPr>
                <w:rFonts w:ascii="宋体" w:hAnsi="宋体" w:eastAsia="宋体"/>
                <w:sz w:val="16"/>
              </w:rPr>
              <w:t>891.61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84769">
            <w:pPr>
              <w:jc w:val="center"/>
            </w:pPr>
            <w:r>
              <w:rPr>
                <w:rFonts w:ascii="宋体" w:hAnsi="宋体" w:eastAsia="宋体"/>
                <w:sz w:val="16"/>
              </w:rPr>
              <w:t>862.59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F69BA">
            <w:pPr>
              <w:jc w:val="center"/>
            </w:pPr>
            <w:r>
              <w:rPr>
                <w:rFonts w:ascii="宋体" w:hAnsi="宋体" w:eastAsia="宋体"/>
                <w:sz w:val="16"/>
              </w:rPr>
              <w:t>850.57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F72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63B5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8503A">
            <w:pPr>
              <w:jc w:val="center"/>
            </w:pPr>
            <w:r>
              <w:rPr>
                <w:rFonts w:ascii="宋体" w:hAnsi="宋体" w:eastAsia="宋体"/>
                <w:sz w:val="16"/>
              </w:rPr>
              <w:t>—</w:t>
            </w:r>
          </w:p>
        </w:tc>
      </w:tr>
      <w:tr w14:paraId="0FBFB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A34F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DF49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305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92D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E95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FCA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D034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B94D1">
            <w:pPr>
              <w:jc w:val="center"/>
            </w:pPr>
            <w:r>
              <w:rPr>
                <w:rFonts w:ascii="宋体" w:hAnsi="宋体" w:eastAsia="宋体"/>
                <w:sz w:val="16"/>
              </w:rPr>
              <w:t>—</w:t>
            </w:r>
          </w:p>
        </w:tc>
      </w:tr>
      <w:tr w14:paraId="2FBDD5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45CF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6CD3C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D21350">
            <w:pPr>
              <w:jc w:val="center"/>
            </w:pPr>
            <w:r>
              <w:rPr>
                <w:rFonts w:ascii="宋体" w:hAnsi="宋体" w:eastAsia="宋体"/>
                <w:sz w:val="16"/>
              </w:rPr>
              <w:t>实际完成情况</w:t>
            </w:r>
          </w:p>
        </w:tc>
      </w:tr>
      <w:tr w14:paraId="429C92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4D03B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F476A2">
            <w:pPr>
              <w:jc w:val="both"/>
            </w:pPr>
            <w:r>
              <w:rPr>
                <w:rFonts w:ascii="宋体" w:hAnsi="宋体" w:eastAsia="宋体"/>
                <w:sz w:val="16"/>
              </w:rPr>
              <w:t>喀什地区特种设备检验检测所，为喀什地区市场监督管理局直属事业单位，现有在职人员24名，退休人员11名，是经国家质量监督检验总局资质认可并正式批准的甲类特种设备综合检验机构。主要承担锅炉、压力容器、压力管道、电梯、起重机械安装监督检验。承担六大类特种设备30项检验检测工作，全年检验承压类特种设备数量不少于12300台 ，检验机电类特种设备数量不少于7000台,特种设备定检率大于90%，避免喀什地区企业特种设备事故的发生，杜绝10吨以下燃煤锅炉的投用。提升特种设备检验技术水平，提高技术机构公共服务功能，创造更大的经济效益和社会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9F8B88">
            <w:pPr>
              <w:jc w:val="both"/>
            </w:pPr>
            <w:r>
              <w:rPr>
                <w:rFonts w:ascii="宋体" w:hAnsi="宋体" w:eastAsia="宋体"/>
                <w:sz w:val="16"/>
              </w:rPr>
              <w:t>喀什地区特种设备检验检测所检验承压类特种设备12300台，检验机电类特种设备7000台，喀什地区企业特种设备检验检测率为99.69%，喀什地区企业特种设备事故率为0%，特种设备检验检测公共服务水平有效提升，新购置18台专用设备，促进了检验业务的顺利开展，提升了检验检测的工作效率和公共服务水平，有效</w:t>
            </w:r>
            <w:r>
              <w:rPr>
                <w:rFonts w:hint="eastAsia" w:ascii="宋体" w:hAnsi="宋体"/>
                <w:sz w:val="16"/>
                <w:lang w:eastAsia="zh-CN"/>
              </w:rPr>
              <w:t>地</w:t>
            </w:r>
            <w:r>
              <w:rPr>
                <w:rFonts w:ascii="宋体" w:hAnsi="宋体" w:eastAsia="宋体"/>
                <w:sz w:val="16"/>
              </w:rPr>
              <w:t>保障了人民群众的财产安全。</w:t>
            </w:r>
          </w:p>
        </w:tc>
      </w:tr>
      <w:tr w14:paraId="33D869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67E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DD47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1796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6315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3F9C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A4F6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307B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C656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6E863">
            <w:pPr>
              <w:jc w:val="center"/>
            </w:pPr>
            <w:r>
              <w:rPr>
                <w:rFonts w:ascii="宋体" w:hAnsi="宋体" w:eastAsia="宋体"/>
                <w:sz w:val="16"/>
              </w:rPr>
              <w:t>得分</w:t>
            </w:r>
          </w:p>
        </w:tc>
      </w:tr>
      <w:tr w14:paraId="67A7B1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EEDF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EB8D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E8F30">
            <w:pPr>
              <w:jc w:val="center"/>
            </w:pPr>
            <w:r>
              <w:rPr>
                <w:rFonts w:ascii="宋体" w:hAnsi="宋体" w:eastAsia="宋体"/>
                <w:sz w:val="16"/>
              </w:rPr>
              <w:t>检验机电类特种设备数量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D18F1">
            <w:pPr>
              <w:jc w:val="center"/>
            </w:pPr>
            <w:r>
              <w:rPr>
                <w:rFonts w:ascii="宋体" w:hAnsi="宋体" w:eastAsia="宋体"/>
                <w:sz w:val="16"/>
              </w:rPr>
              <w:t>&gt;=7000台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6CA89">
            <w:pPr>
              <w:jc w:val="center"/>
            </w:pPr>
            <w:r>
              <w:rPr>
                <w:rFonts w:ascii="宋体" w:hAnsi="宋体" w:eastAsia="宋体"/>
                <w:sz w:val="16"/>
              </w:rPr>
              <w:t>《特检所机电室2024年工作计划》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679D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C8FE5">
            <w:pPr>
              <w:jc w:val="center"/>
            </w:pPr>
            <w:r>
              <w:rPr>
                <w:rFonts w:ascii="宋体" w:hAnsi="宋体" w:eastAsia="宋体"/>
                <w:sz w:val="16"/>
              </w:rPr>
              <w:t>7000台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D38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00596">
            <w:pPr>
              <w:jc w:val="center"/>
            </w:pPr>
            <w:r>
              <w:rPr>
                <w:rFonts w:ascii="宋体" w:hAnsi="宋体" w:eastAsia="宋体"/>
                <w:sz w:val="16"/>
              </w:rPr>
              <w:t>20</w:t>
            </w:r>
          </w:p>
        </w:tc>
      </w:tr>
      <w:tr w14:paraId="676003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CB6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275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8D9C">
            <w:pPr>
              <w:jc w:val="center"/>
            </w:pPr>
            <w:r>
              <w:rPr>
                <w:rFonts w:ascii="宋体" w:hAnsi="宋体" w:eastAsia="宋体"/>
                <w:sz w:val="16"/>
              </w:rPr>
              <w:t>检验承压类特种设备数量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AF553">
            <w:pPr>
              <w:jc w:val="center"/>
            </w:pPr>
            <w:r>
              <w:rPr>
                <w:rFonts w:ascii="宋体" w:hAnsi="宋体" w:eastAsia="宋体"/>
                <w:sz w:val="16"/>
              </w:rPr>
              <w:t>&gt;=12300台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1F82B">
            <w:pPr>
              <w:jc w:val="center"/>
            </w:pPr>
            <w:r>
              <w:rPr>
                <w:rFonts w:ascii="宋体" w:hAnsi="宋体" w:eastAsia="宋体"/>
                <w:sz w:val="16"/>
              </w:rPr>
              <w:t>《特检所承压室2024年工作计划》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B66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67129">
            <w:pPr>
              <w:jc w:val="center"/>
            </w:pPr>
            <w:r>
              <w:rPr>
                <w:rFonts w:ascii="宋体" w:hAnsi="宋体" w:eastAsia="宋体"/>
                <w:sz w:val="16"/>
              </w:rPr>
              <w:t>12300台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F7B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1541B">
            <w:pPr>
              <w:jc w:val="center"/>
            </w:pPr>
            <w:r>
              <w:rPr>
                <w:rFonts w:ascii="宋体" w:hAnsi="宋体" w:eastAsia="宋体"/>
                <w:sz w:val="16"/>
              </w:rPr>
              <w:t>20</w:t>
            </w:r>
          </w:p>
        </w:tc>
      </w:tr>
      <w:tr w14:paraId="7A6586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72A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79C2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90B82">
            <w:pPr>
              <w:jc w:val="center"/>
            </w:pPr>
            <w:r>
              <w:rPr>
                <w:rFonts w:ascii="宋体" w:hAnsi="宋体" w:eastAsia="宋体"/>
                <w:sz w:val="16"/>
              </w:rPr>
              <w:t>出具检验报告时限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C8260">
            <w:pPr>
              <w:jc w:val="center"/>
            </w:pPr>
            <w:r>
              <w:rPr>
                <w:rFonts w:ascii="宋体" w:hAnsi="宋体" w:eastAsia="宋体"/>
                <w:sz w:val="16"/>
              </w:rPr>
              <w:t>&lt;=15天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5D45A">
            <w:pPr>
              <w:jc w:val="center"/>
            </w:pPr>
            <w:r>
              <w:rPr>
                <w:rFonts w:ascii="宋体" w:hAnsi="宋体" w:eastAsia="宋体"/>
                <w:sz w:val="16"/>
              </w:rPr>
              <w:t>《特种设备监督检验规则》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BA3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0FFD2">
            <w:pPr>
              <w:jc w:val="center"/>
            </w:pPr>
            <w:r>
              <w:rPr>
                <w:rFonts w:ascii="宋体" w:hAnsi="宋体" w:eastAsia="宋体"/>
                <w:sz w:val="16"/>
              </w:rPr>
              <w:t>15天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2C0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3C7C5">
            <w:pPr>
              <w:jc w:val="center"/>
            </w:pPr>
            <w:r>
              <w:rPr>
                <w:rFonts w:ascii="宋体" w:hAnsi="宋体" w:eastAsia="宋体"/>
                <w:sz w:val="16"/>
              </w:rPr>
              <w:t>10</w:t>
            </w:r>
          </w:p>
        </w:tc>
      </w:tr>
      <w:tr w14:paraId="54B72E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020A4">
            <w:pPr>
              <w:jc w:val="center"/>
            </w:pPr>
            <w:r>
              <w:rPr>
                <w:rFonts w:ascii="宋体" w:hAnsi="宋体" w:eastAsia="宋体"/>
                <w:sz w:val="16"/>
              </w:rPr>
              <w:t>社会效应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EA6A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0E97A">
            <w:pPr>
              <w:jc w:val="center"/>
            </w:pPr>
            <w:r>
              <w:rPr>
                <w:rFonts w:ascii="宋体" w:hAnsi="宋体" w:eastAsia="宋体"/>
                <w:sz w:val="16"/>
              </w:rPr>
              <w:t>喀什地区企业特种设备事故率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A697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CC37A">
            <w:pPr>
              <w:jc w:val="center"/>
            </w:pPr>
            <w:r>
              <w:rPr>
                <w:rFonts w:ascii="宋体" w:hAnsi="宋体" w:eastAsia="宋体"/>
                <w:sz w:val="16"/>
              </w:rPr>
              <w:t>《喀什地区特种设备检验检测所质量管理手册（第四版（第3次修订））》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CCCC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E79E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1DC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838B7">
            <w:pPr>
              <w:jc w:val="center"/>
            </w:pPr>
            <w:r>
              <w:rPr>
                <w:rFonts w:ascii="宋体" w:hAnsi="宋体" w:eastAsia="宋体"/>
                <w:sz w:val="16"/>
              </w:rPr>
              <w:t>20</w:t>
            </w:r>
          </w:p>
        </w:tc>
      </w:tr>
      <w:tr w14:paraId="62EBFE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7C1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E9A6F">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1A6C3">
            <w:pPr>
              <w:jc w:val="center"/>
            </w:pPr>
            <w:r>
              <w:rPr>
                <w:rFonts w:ascii="宋体" w:hAnsi="宋体" w:eastAsia="宋体"/>
                <w:sz w:val="16"/>
              </w:rPr>
              <w:t>杜绝10吨以下燃煤锅炉的投用率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8E4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A311F">
            <w:pPr>
              <w:jc w:val="center"/>
            </w:pPr>
            <w:r>
              <w:rPr>
                <w:rFonts w:ascii="宋体" w:hAnsi="宋体" w:eastAsia="宋体"/>
                <w:sz w:val="16"/>
              </w:rPr>
              <w:t>关于印发《自治区打赢蓝天保卫战三年行动计划（2018</w:t>
            </w:r>
            <w:r>
              <w:rPr>
                <w:rFonts w:hint="eastAsia" w:ascii="宋体" w:hAnsi="宋体"/>
                <w:sz w:val="16"/>
                <w:lang w:eastAsia="zh-CN"/>
              </w:rPr>
              <w:t>—</w:t>
            </w:r>
            <w:r>
              <w:rPr>
                <w:rFonts w:ascii="宋体" w:hAnsi="宋体" w:eastAsia="宋体"/>
                <w:sz w:val="16"/>
              </w:rPr>
              <w:t>2020年）》的通知（新政发</w:t>
            </w:r>
            <w:r>
              <w:rPr>
                <w:rFonts w:hint="eastAsia" w:ascii="宋体" w:hAnsi="宋体"/>
                <w:sz w:val="16"/>
                <w:lang w:eastAsia="zh-CN"/>
              </w:rPr>
              <w:t>〔2018〕66号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C910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697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2BA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01121">
            <w:pPr>
              <w:jc w:val="center"/>
            </w:pPr>
            <w:r>
              <w:rPr>
                <w:rFonts w:ascii="宋体" w:hAnsi="宋体" w:eastAsia="宋体"/>
                <w:sz w:val="16"/>
              </w:rPr>
              <w:t>20</w:t>
            </w:r>
          </w:p>
        </w:tc>
      </w:tr>
    </w:tbl>
    <w:p w14:paraId="57E4C2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DEB2DB9">
        <w:tblPrEx>
          <w:tblCellMar>
            <w:top w:w="0" w:type="dxa"/>
            <w:left w:w="108" w:type="dxa"/>
            <w:bottom w:w="0" w:type="dxa"/>
            <w:right w:w="108" w:type="dxa"/>
          </w:tblCellMar>
        </w:tblPrEx>
        <w:tc>
          <w:tcPr>
            <w:tcW w:w="8848" w:type="dxa"/>
            <w:gridSpan w:val="14"/>
            <w:vAlign w:val="center"/>
          </w:tcPr>
          <w:p w14:paraId="5AC139FC">
            <w:pPr>
              <w:jc w:val="center"/>
            </w:pPr>
            <w:r>
              <w:rPr>
                <w:rFonts w:ascii="宋体" w:hAnsi="宋体" w:eastAsia="宋体"/>
                <w:sz w:val="24"/>
              </w:rPr>
              <w:t>项目支出绩效自评表</w:t>
            </w:r>
          </w:p>
        </w:tc>
      </w:tr>
      <w:tr w14:paraId="284586C7">
        <w:tblPrEx>
          <w:tblCellMar>
            <w:top w:w="0" w:type="dxa"/>
            <w:left w:w="108" w:type="dxa"/>
            <w:bottom w:w="0" w:type="dxa"/>
            <w:right w:w="108" w:type="dxa"/>
          </w:tblCellMar>
        </w:tblPrEx>
        <w:tc>
          <w:tcPr>
            <w:tcW w:w="8848" w:type="dxa"/>
            <w:gridSpan w:val="14"/>
            <w:vAlign w:val="center"/>
          </w:tcPr>
          <w:p w14:paraId="7FB95558">
            <w:pPr>
              <w:jc w:val="center"/>
            </w:pPr>
            <w:r>
              <w:rPr>
                <w:rFonts w:ascii="宋体" w:hAnsi="宋体" w:eastAsia="宋体"/>
                <w:sz w:val="24"/>
              </w:rPr>
              <w:t>(2024年度)</w:t>
            </w:r>
          </w:p>
        </w:tc>
      </w:tr>
      <w:tr w14:paraId="5958A3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63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0AD263">
            <w:pPr>
              <w:jc w:val="center"/>
            </w:pPr>
            <w:r>
              <w:rPr>
                <w:rFonts w:ascii="宋体" w:hAnsi="宋体" w:eastAsia="宋体"/>
                <w:sz w:val="16"/>
              </w:rPr>
              <w:t>专用设备购置项目</w:t>
            </w:r>
          </w:p>
        </w:tc>
      </w:tr>
      <w:tr w14:paraId="5AC9CC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E3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D3FDD">
            <w:pPr>
              <w:jc w:val="center"/>
            </w:pPr>
            <w:r>
              <w:rPr>
                <w:rFonts w:ascii="宋体" w:hAnsi="宋体" w:eastAsia="宋体"/>
                <w:sz w:val="16"/>
              </w:rPr>
              <w:t>喀什地区特种设备检验检测所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94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1923DD">
            <w:pPr>
              <w:jc w:val="center"/>
            </w:pPr>
            <w:r>
              <w:rPr>
                <w:rFonts w:ascii="宋体" w:hAnsi="宋体" w:eastAsia="宋体"/>
                <w:sz w:val="16"/>
              </w:rPr>
              <w:t>喀什地区特种设备检验检测所</w:t>
            </w:r>
          </w:p>
        </w:tc>
      </w:tr>
      <w:tr w14:paraId="0F0303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B0A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432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26B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D8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936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92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12D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CE70">
            <w:pPr>
              <w:jc w:val="center"/>
            </w:pPr>
            <w:r>
              <w:rPr>
                <w:rFonts w:ascii="宋体" w:hAnsi="宋体" w:eastAsia="宋体"/>
                <w:sz w:val="16"/>
              </w:rPr>
              <w:t>得分</w:t>
            </w:r>
          </w:p>
        </w:tc>
      </w:tr>
      <w:tr w14:paraId="7FD55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CD5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C5D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BCE8C">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59211">
            <w:pPr>
              <w:jc w:val="center"/>
            </w:pPr>
            <w:r>
              <w:rPr>
                <w:rFonts w:ascii="宋体" w:hAnsi="宋体" w:eastAsia="宋体"/>
                <w:sz w:val="16"/>
              </w:rPr>
              <w:t>54.95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B862C">
            <w:pPr>
              <w:jc w:val="center"/>
            </w:pPr>
            <w:r>
              <w:rPr>
                <w:rFonts w:ascii="宋体" w:hAnsi="宋体" w:eastAsia="宋体"/>
                <w:sz w:val="16"/>
              </w:rPr>
              <w:t>54.95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3A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0D4B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A37F">
            <w:pPr>
              <w:jc w:val="center"/>
            </w:pPr>
            <w:r>
              <w:rPr>
                <w:rFonts w:ascii="宋体" w:hAnsi="宋体" w:eastAsia="宋体"/>
                <w:sz w:val="16"/>
              </w:rPr>
              <w:t>10.00分</w:t>
            </w:r>
          </w:p>
        </w:tc>
      </w:tr>
      <w:tr w14:paraId="35C06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96C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5F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0D0F5">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0DF83">
            <w:pPr>
              <w:jc w:val="center"/>
            </w:pPr>
            <w:r>
              <w:rPr>
                <w:rFonts w:ascii="宋体" w:hAnsi="宋体" w:eastAsia="宋体"/>
                <w:sz w:val="16"/>
              </w:rPr>
              <w:t>54.95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9F687">
            <w:pPr>
              <w:jc w:val="center"/>
            </w:pPr>
            <w:r>
              <w:rPr>
                <w:rFonts w:ascii="宋体" w:hAnsi="宋体" w:eastAsia="宋体"/>
                <w:sz w:val="16"/>
              </w:rPr>
              <w:t>54.95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FB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64C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E846">
            <w:pPr>
              <w:jc w:val="center"/>
            </w:pPr>
            <w:r>
              <w:rPr>
                <w:rFonts w:ascii="宋体" w:hAnsi="宋体" w:eastAsia="宋体"/>
                <w:sz w:val="16"/>
              </w:rPr>
              <w:t>—</w:t>
            </w:r>
          </w:p>
        </w:tc>
      </w:tr>
      <w:tr w14:paraId="434C9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2EA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DA1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E1D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659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B97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A9C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EFE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B916">
            <w:pPr>
              <w:jc w:val="center"/>
            </w:pPr>
            <w:r>
              <w:rPr>
                <w:rFonts w:ascii="宋体" w:hAnsi="宋体" w:eastAsia="宋体"/>
                <w:sz w:val="16"/>
              </w:rPr>
              <w:t>—</w:t>
            </w:r>
          </w:p>
        </w:tc>
      </w:tr>
      <w:tr w14:paraId="52EAA3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90E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805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3CD74E">
            <w:pPr>
              <w:jc w:val="center"/>
            </w:pPr>
            <w:r>
              <w:rPr>
                <w:rFonts w:ascii="宋体" w:hAnsi="宋体" w:eastAsia="宋体"/>
                <w:sz w:val="16"/>
              </w:rPr>
              <w:t>实际完成情况</w:t>
            </w:r>
          </w:p>
        </w:tc>
      </w:tr>
      <w:tr w14:paraId="6B80D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C02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506EFB">
            <w:pPr>
              <w:jc w:val="both"/>
            </w:pPr>
            <w:r>
              <w:rPr>
                <w:rFonts w:ascii="宋体" w:hAnsi="宋体" w:eastAsia="宋体"/>
                <w:sz w:val="16"/>
              </w:rPr>
              <w:t>根据《</w:t>
            </w:r>
            <w:r>
              <w:rPr>
                <w:rFonts w:hint="eastAsia" w:ascii="宋体" w:hAnsi="宋体"/>
                <w:sz w:val="16"/>
                <w:lang w:eastAsia="zh-CN"/>
              </w:rPr>
              <w:t>中华人民共和国特种设备安全法</w:t>
            </w:r>
            <w:r>
              <w:rPr>
                <w:rFonts w:ascii="宋体" w:hAnsi="宋体" w:eastAsia="宋体"/>
                <w:sz w:val="16"/>
              </w:rPr>
              <w:t>》我所依法履行相关特种设备检验职责确保全区，通过购买18台专用设备，确保特种设备安全运行，守住特种设备安全底线，提升检验检测能力。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32FFF6">
            <w:pPr>
              <w:jc w:val="both"/>
            </w:pPr>
            <w:r>
              <w:rPr>
                <w:rFonts w:ascii="宋体" w:hAnsi="宋体" w:eastAsia="宋体"/>
                <w:sz w:val="16"/>
              </w:rPr>
              <w:t>主要完成了18台检验检测专用设备购置，并投入使用。确保特种设备平稳运行，提升公共服务水平，筑牢安全生产的堡垒。</w:t>
            </w:r>
          </w:p>
        </w:tc>
      </w:tr>
      <w:tr w14:paraId="699A21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FE5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2F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F2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E3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1F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7D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41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DB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5D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94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44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98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53D30">
            <w:pPr>
              <w:jc w:val="center"/>
            </w:pPr>
            <w:r>
              <w:rPr>
                <w:rFonts w:ascii="宋体" w:hAnsi="宋体" w:eastAsia="宋体"/>
                <w:sz w:val="16"/>
              </w:rPr>
              <w:t>偏差原因分析及改进措施</w:t>
            </w:r>
          </w:p>
        </w:tc>
      </w:tr>
      <w:tr w14:paraId="29C1F1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7E1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8F3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AF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F8C7">
            <w:pPr>
              <w:jc w:val="center"/>
            </w:pPr>
            <w:r>
              <w:rPr>
                <w:rFonts w:ascii="宋体" w:hAnsi="宋体" w:eastAsia="宋体"/>
                <w:sz w:val="16"/>
              </w:rPr>
              <w:t>购置检验检测专用设备（台、套）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7576">
            <w:pPr>
              <w:jc w:val="center"/>
            </w:pPr>
            <w:r>
              <w:rPr>
                <w:rFonts w:ascii="宋体" w:hAnsi="宋体" w:eastAsia="宋体"/>
                <w:sz w:val="16"/>
              </w:rPr>
              <w:t>&gt;=18台、套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6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8468">
            <w:pPr>
              <w:jc w:val="center"/>
            </w:pPr>
            <w:r>
              <w:rPr>
                <w:rFonts w:ascii="宋体" w:hAnsi="宋体" w:eastAsia="宋体"/>
                <w:sz w:val="16"/>
              </w:rPr>
              <w:t>17台、套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07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7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6B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DAD8">
            <w:pPr>
              <w:jc w:val="center"/>
            </w:pPr>
            <w:r>
              <w:rPr>
                <w:rFonts w:ascii="宋体" w:hAnsi="宋体" w:eastAsia="宋体"/>
                <w:sz w:val="16"/>
              </w:rPr>
              <w:t>=18台、套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8F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48571">
            <w:pPr>
              <w:jc w:val="center"/>
            </w:pPr>
          </w:p>
        </w:tc>
      </w:tr>
      <w:tr w14:paraId="4C21E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45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7AB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50F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0957">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6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D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DF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0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84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12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4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A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3E52A">
            <w:pPr>
              <w:jc w:val="center"/>
            </w:pPr>
          </w:p>
        </w:tc>
      </w:tr>
      <w:tr w14:paraId="401F8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AA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02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C9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16FD">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5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F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7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85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88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89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1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48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EEE5D">
            <w:pPr>
              <w:jc w:val="center"/>
            </w:pPr>
          </w:p>
        </w:tc>
      </w:tr>
      <w:tr w14:paraId="5220E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55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BF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F0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BD62">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8C0E">
            <w:pPr>
              <w:jc w:val="center"/>
            </w:pPr>
            <w:r>
              <w:rPr>
                <w:rFonts w:ascii="宋体" w:hAnsi="宋体" w:eastAsia="宋体"/>
                <w:sz w:val="16"/>
              </w:rPr>
              <w:t>=2024年9月前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6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4E42">
            <w:pPr>
              <w:jc w:val="center"/>
            </w:pPr>
            <w:r>
              <w:rPr>
                <w:rFonts w:ascii="宋体" w:hAnsi="宋体" w:eastAsia="宋体"/>
                <w:sz w:val="16"/>
              </w:rPr>
              <w:t>2023年5月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42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E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AA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DA7B">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8C9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34A50">
            <w:pPr>
              <w:jc w:val="center"/>
            </w:pPr>
          </w:p>
        </w:tc>
      </w:tr>
      <w:tr w14:paraId="71D2E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DD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8B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75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4B56">
            <w:pPr>
              <w:jc w:val="center"/>
            </w:pPr>
            <w:r>
              <w:rPr>
                <w:rFonts w:ascii="宋体" w:hAnsi="宋体" w:eastAsia="宋体"/>
                <w:sz w:val="16"/>
              </w:rPr>
              <w:t>购置设备成本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89B7">
            <w:pPr>
              <w:jc w:val="center"/>
            </w:pPr>
            <w:r>
              <w:rPr>
                <w:rFonts w:ascii="宋体" w:hAnsi="宋体" w:eastAsia="宋体"/>
                <w:sz w:val="16"/>
              </w:rPr>
              <w:t>&lt;=3.05万元/台、套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B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88A0">
            <w:pPr>
              <w:jc w:val="center"/>
            </w:pPr>
            <w:r>
              <w:rPr>
                <w:rFonts w:ascii="宋体" w:hAnsi="宋体" w:eastAsia="宋体"/>
                <w:sz w:val="16"/>
              </w:rPr>
              <w:t>3.12万元/台、套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38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D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80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511F">
            <w:pPr>
              <w:jc w:val="center"/>
            </w:pPr>
            <w:r>
              <w:rPr>
                <w:rFonts w:ascii="宋体" w:hAnsi="宋体" w:eastAsia="宋体"/>
                <w:sz w:val="16"/>
              </w:rPr>
              <w:t>=3.05万元/台、套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5C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049EF">
            <w:pPr>
              <w:jc w:val="center"/>
            </w:pPr>
          </w:p>
        </w:tc>
      </w:tr>
      <w:tr w14:paraId="69C63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8D6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687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5D8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2315">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8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EB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DB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E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13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A9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5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46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32CEB">
            <w:pPr>
              <w:jc w:val="center"/>
            </w:pPr>
          </w:p>
        </w:tc>
      </w:tr>
      <w:tr w14:paraId="7DDED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3D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C0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D8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DEE3">
            <w:pPr>
              <w:jc w:val="center"/>
            </w:pPr>
            <w:r>
              <w:rPr>
                <w:rFonts w:ascii="宋体" w:hAnsi="宋体" w:eastAsia="宋体"/>
                <w:sz w:val="16"/>
              </w:rPr>
              <w:t>提升特种设备检验检测公共服务水平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F0F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2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AA7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2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C7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00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F63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85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79F31">
            <w:pPr>
              <w:jc w:val="center"/>
            </w:pPr>
          </w:p>
        </w:tc>
      </w:tr>
      <w:tr w14:paraId="78B80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D8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6A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4D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5829">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6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1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85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4A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31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5A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3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75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129DB">
            <w:pPr>
              <w:jc w:val="center"/>
            </w:pPr>
          </w:p>
        </w:tc>
      </w:tr>
      <w:tr w14:paraId="1B40F3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DB3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F8D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4BB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AC1D5C">
            <w:pPr>
              <w:jc w:val="center"/>
            </w:pPr>
            <w:r>
              <w:rPr>
                <w:rFonts w:ascii="宋体" w:hAnsi="宋体" w:eastAsia="宋体"/>
                <w:sz w:val="16"/>
              </w:rPr>
              <w:t>100分</w:t>
            </w:r>
          </w:p>
        </w:tc>
      </w:tr>
    </w:tbl>
    <w:p w14:paraId="6193FA70">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18"/>
        <w:gridCol w:w="776"/>
        <w:gridCol w:w="618"/>
        <w:gridCol w:w="696"/>
        <w:gridCol w:w="618"/>
        <w:gridCol w:w="618"/>
        <w:gridCol w:w="618"/>
        <w:gridCol w:w="776"/>
        <w:gridCol w:w="631"/>
        <w:gridCol w:w="600"/>
        <w:gridCol w:w="628"/>
      </w:tblGrid>
      <w:tr w14:paraId="456C4B90">
        <w:tblPrEx>
          <w:tblCellMar>
            <w:top w:w="0" w:type="dxa"/>
            <w:left w:w="108" w:type="dxa"/>
            <w:bottom w:w="0" w:type="dxa"/>
            <w:right w:w="108" w:type="dxa"/>
          </w:tblCellMar>
        </w:tblPrEx>
        <w:tc>
          <w:tcPr>
            <w:tcW w:w="8848" w:type="dxa"/>
            <w:gridSpan w:val="14"/>
            <w:vAlign w:val="center"/>
          </w:tcPr>
          <w:p w14:paraId="2AB69D98">
            <w:pPr>
              <w:jc w:val="center"/>
            </w:pPr>
            <w:r>
              <w:rPr>
                <w:rFonts w:ascii="宋体" w:hAnsi="宋体" w:eastAsia="宋体"/>
                <w:sz w:val="24"/>
              </w:rPr>
              <w:t>项目支出绩效自评表</w:t>
            </w:r>
          </w:p>
        </w:tc>
      </w:tr>
      <w:tr w14:paraId="05CD761E">
        <w:tblPrEx>
          <w:tblCellMar>
            <w:top w:w="0" w:type="dxa"/>
            <w:left w:w="108" w:type="dxa"/>
            <w:bottom w:w="0" w:type="dxa"/>
            <w:right w:w="108" w:type="dxa"/>
          </w:tblCellMar>
        </w:tblPrEx>
        <w:tc>
          <w:tcPr>
            <w:tcW w:w="8848" w:type="dxa"/>
            <w:gridSpan w:val="14"/>
            <w:vAlign w:val="center"/>
          </w:tcPr>
          <w:p w14:paraId="351E23B6">
            <w:pPr>
              <w:jc w:val="center"/>
            </w:pPr>
            <w:r>
              <w:rPr>
                <w:rFonts w:ascii="宋体" w:hAnsi="宋体" w:eastAsia="宋体"/>
                <w:sz w:val="24"/>
              </w:rPr>
              <w:t>(2024年度)</w:t>
            </w:r>
          </w:p>
        </w:tc>
      </w:tr>
      <w:tr w14:paraId="110D07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C9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5A04E7">
            <w:pPr>
              <w:jc w:val="center"/>
            </w:pPr>
            <w:r>
              <w:rPr>
                <w:rFonts w:ascii="宋体" w:hAnsi="宋体" w:eastAsia="宋体"/>
                <w:sz w:val="16"/>
              </w:rPr>
              <w:t>特种设备检验检测项目</w:t>
            </w:r>
          </w:p>
        </w:tc>
      </w:tr>
      <w:tr w14:paraId="51369B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70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DA1E74">
            <w:pPr>
              <w:jc w:val="center"/>
            </w:pPr>
            <w:r>
              <w:rPr>
                <w:rFonts w:ascii="宋体" w:hAnsi="宋体" w:eastAsia="宋体"/>
                <w:sz w:val="16"/>
              </w:rPr>
              <w:t>喀什地区特种设备检验检测所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4B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E77E86">
            <w:pPr>
              <w:jc w:val="center"/>
            </w:pPr>
            <w:r>
              <w:rPr>
                <w:rFonts w:ascii="宋体" w:hAnsi="宋体" w:eastAsia="宋体"/>
                <w:sz w:val="16"/>
              </w:rPr>
              <w:t>喀什地区特种设备检验检测所</w:t>
            </w:r>
          </w:p>
        </w:tc>
      </w:tr>
      <w:tr w14:paraId="527359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5BB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79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14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E23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3C5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776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95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2D15">
            <w:pPr>
              <w:jc w:val="center"/>
            </w:pPr>
            <w:r>
              <w:rPr>
                <w:rFonts w:ascii="宋体" w:hAnsi="宋体" w:eastAsia="宋体"/>
                <w:sz w:val="16"/>
              </w:rPr>
              <w:t>得分</w:t>
            </w:r>
          </w:p>
        </w:tc>
      </w:tr>
      <w:tr w14:paraId="50BE1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C73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27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A041">
            <w:pPr>
              <w:jc w:val="center"/>
            </w:pPr>
            <w:r>
              <w:rPr>
                <w:rFonts w:ascii="宋体" w:hAnsi="宋体" w:eastAsia="宋体"/>
                <w:sz w:val="16"/>
              </w:rPr>
              <w:t>161.40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2A5E1">
            <w:pPr>
              <w:jc w:val="center"/>
            </w:pPr>
            <w:r>
              <w:rPr>
                <w:rFonts w:ascii="宋体" w:hAnsi="宋体" w:eastAsia="宋体"/>
                <w:sz w:val="16"/>
              </w:rPr>
              <w:t>161.40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35D2B">
            <w:pPr>
              <w:jc w:val="center"/>
            </w:pPr>
            <w:r>
              <w:rPr>
                <w:rFonts w:ascii="宋体" w:hAnsi="宋体" w:eastAsia="宋体"/>
                <w:sz w:val="16"/>
              </w:rPr>
              <w:t>149.38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61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09776">
            <w:pPr>
              <w:jc w:val="center"/>
            </w:pPr>
            <w:r>
              <w:rPr>
                <w:rFonts w:ascii="宋体" w:hAnsi="宋体" w:eastAsia="宋体"/>
                <w:sz w:val="16"/>
              </w:rPr>
              <w:t>92.6%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D1A3">
            <w:pPr>
              <w:jc w:val="center"/>
            </w:pPr>
            <w:r>
              <w:rPr>
                <w:rFonts w:ascii="宋体" w:hAnsi="宋体" w:eastAsia="宋体"/>
                <w:sz w:val="16"/>
              </w:rPr>
              <w:t>8.14分</w:t>
            </w:r>
          </w:p>
        </w:tc>
      </w:tr>
      <w:tr w14:paraId="0FA51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1CE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886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A0F79">
            <w:pPr>
              <w:jc w:val="center"/>
            </w:pPr>
            <w:r>
              <w:rPr>
                <w:rFonts w:ascii="宋体" w:hAnsi="宋体" w:eastAsia="宋体"/>
                <w:sz w:val="16"/>
              </w:rPr>
              <w:t>161.40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66CD0">
            <w:pPr>
              <w:jc w:val="center"/>
            </w:pPr>
            <w:r>
              <w:rPr>
                <w:rFonts w:ascii="宋体" w:hAnsi="宋体" w:eastAsia="宋体"/>
                <w:sz w:val="16"/>
              </w:rPr>
              <w:t>161.40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7341C">
            <w:pPr>
              <w:jc w:val="center"/>
            </w:pPr>
            <w:r>
              <w:rPr>
                <w:rFonts w:ascii="宋体" w:hAnsi="宋体" w:eastAsia="宋体"/>
                <w:sz w:val="16"/>
              </w:rPr>
              <w:t>149.38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9A2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6E3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18C8">
            <w:pPr>
              <w:jc w:val="center"/>
            </w:pPr>
            <w:r>
              <w:rPr>
                <w:rFonts w:ascii="宋体" w:hAnsi="宋体" w:eastAsia="宋体"/>
                <w:sz w:val="16"/>
              </w:rPr>
              <w:t>—</w:t>
            </w:r>
          </w:p>
        </w:tc>
      </w:tr>
      <w:tr w14:paraId="1AAC1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380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A22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EC4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214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E2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8C6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48D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4A97">
            <w:pPr>
              <w:jc w:val="center"/>
            </w:pPr>
            <w:r>
              <w:rPr>
                <w:rFonts w:ascii="宋体" w:hAnsi="宋体" w:eastAsia="宋体"/>
                <w:sz w:val="16"/>
              </w:rPr>
              <w:t>—</w:t>
            </w:r>
          </w:p>
        </w:tc>
      </w:tr>
      <w:tr w14:paraId="3A0A74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545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6C3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439878">
            <w:pPr>
              <w:jc w:val="center"/>
            </w:pPr>
            <w:r>
              <w:rPr>
                <w:rFonts w:ascii="宋体" w:hAnsi="宋体" w:eastAsia="宋体"/>
                <w:sz w:val="16"/>
              </w:rPr>
              <w:t>实际完成情况</w:t>
            </w:r>
          </w:p>
        </w:tc>
      </w:tr>
      <w:tr w14:paraId="2FF5F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C9E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4D529">
            <w:pPr>
              <w:jc w:val="both"/>
            </w:pPr>
            <w:r>
              <w:rPr>
                <w:rFonts w:ascii="宋体" w:hAnsi="宋体" w:eastAsia="宋体"/>
                <w:sz w:val="16"/>
              </w:rPr>
              <w:t>承担六大类特种设备30项检验检测工作，检验承压类特种设备数量不少于12300台 ，检验机电类特种设备数量不少于7000台。主要承担锅炉、压力容器、压力管道、电梯、起重机械安装监督检验；承担压力管道安装监督检验；承担锅炉、压力容器、压力管道、电梯、起重机械和场（厂）内机动车辆的定期检验；承担锅炉介质的定期检验；承担安全阀定期校验；各类气瓶检验。根据《</w:t>
            </w:r>
            <w:r>
              <w:rPr>
                <w:rFonts w:hint="eastAsia" w:ascii="宋体" w:hAnsi="宋体"/>
                <w:sz w:val="16"/>
                <w:lang w:eastAsia="zh-CN"/>
              </w:rPr>
              <w:t>中华人民共和国特种设备安全法</w:t>
            </w:r>
            <w:r>
              <w:rPr>
                <w:rFonts w:ascii="宋体" w:hAnsi="宋体" w:eastAsia="宋体"/>
                <w:sz w:val="16"/>
              </w:rPr>
              <w:t>》我所依法履行相关特种设备检验职责确保全区特种设备安全运行。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75A7C0">
            <w:pPr>
              <w:jc w:val="both"/>
            </w:pPr>
            <w:r>
              <w:rPr>
                <w:rFonts w:ascii="宋体" w:hAnsi="宋体" w:eastAsia="宋体"/>
                <w:sz w:val="16"/>
              </w:rPr>
              <w:t>喀什地区特种设备检验检测所检验承压类特种设备12300台，检验机电类特种设备7000台，喀什地区企业特种设备检验检测率为99.69%，喀什地区企业特种设备事故率为0%，特种设备检验检测公共服务水平有效提升。</w:t>
            </w:r>
          </w:p>
        </w:tc>
      </w:tr>
      <w:tr w14:paraId="366FC3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BC1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0D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72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39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64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D4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8E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56E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7B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01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85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8C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C738C">
            <w:pPr>
              <w:jc w:val="center"/>
            </w:pPr>
            <w:r>
              <w:rPr>
                <w:rFonts w:ascii="宋体" w:hAnsi="宋体" w:eastAsia="宋体"/>
                <w:sz w:val="16"/>
              </w:rPr>
              <w:t>偏差原因分析及改进措施</w:t>
            </w:r>
          </w:p>
        </w:tc>
      </w:tr>
      <w:tr w14:paraId="648E6C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D48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5B7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CF0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CED6">
            <w:pPr>
              <w:jc w:val="center"/>
            </w:pPr>
            <w:r>
              <w:rPr>
                <w:rFonts w:ascii="宋体" w:hAnsi="宋体" w:eastAsia="宋体"/>
                <w:sz w:val="16"/>
              </w:rPr>
              <w:t>检验机电类特种设备数量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8628">
            <w:pPr>
              <w:jc w:val="center"/>
            </w:pPr>
            <w:r>
              <w:rPr>
                <w:rFonts w:ascii="宋体" w:hAnsi="宋体" w:eastAsia="宋体"/>
                <w:sz w:val="16"/>
              </w:rPr>
              <w:t>&gt;=7000台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29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5670">
            <w:pPr>
              <w:jc w:val="center"/>
            </w:pPr>
            <w:r>
              <w:rPr>
                <w:rFonts w:ascii="宋体" w:hAnsi="宋体" w:eastAsia="宋体"/>
                <w:sz w:val="16"/>
              </w:rPr>
              <w:t>18000台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7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96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60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2725">
            <w:pPr>
              <w:jc w:val="center"/>
            </w:pPr>
            <w:r>
              <w:rPr>
                <w:rFonts w:ascii="宋体" w:hAnsi="宋体" w:eastAsia="宋体"/>
                <w:sz w:val="16"/>
              </w:rPr>
              <w:t>=7000台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08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5200E">
            <w:pPr>
              <w:jc w:val="center"/>
            </w:pPr>
          </w:p>
        </w:tc>
      </w:tr>
      <w:tr w14:paraId="6C90B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71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49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886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0AF7">
            <w:pPr>
              <w:jc w:val="center"/>
            </w:pPr>
            <w:r>
              <w:rPr>
                <w:rFonts w:ascii="宋体" w:hAnsi="宋体" w:eastAsia="宋体"/>
                <w:sz w:val="16"/>
              </w:rPr>
              <w:t>检验承压类特种设备数量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D0BB">
            <w:pPr>
              <w:jc w:val="center"/>
            </w:pPr>
            <w:r>
              <w:rPr>
                <w:rFonts w:ascii="宋体" w:hAnsi="宋体" w:eastAsia="宋体"/>
                <w:sz w:val="16"/>
              </w:rPr>
              <w:t>&gt;=12300台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9D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4B2A">
            <w:pPr>
              <w:jc w:val="center"/>
            </w:pPr>
            <w:r>
              <w:rPr>
                <w:rFonts w:ascii="宋体" w:hAnsi="宋体" w:eastAsia="宋体"/>
                <w:sz w:val="16"/>
              </w:rPr>
              <w:t>12700台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7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43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FB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E882">
            <w:pPr>
              <w:jc w:val="center"/>
            </w:pPr>
            <w:r>
              <w:rPr>
                <w:rFonts w:ascii="宋体" w:hAnsi="宋体" w:eastAsia="宋体"/>
                <w:sz w:val="16"/>
              </w:rPr>
              <w:t>=12300台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30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87D7E">
            <w:pPr>
              <w:jc w:val="center"/>
            </w:pPr>
          </w:p>
        </w:tc>
      </w:tr>
      <w:tr w14:paraId="0B30F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EB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499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95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3E27">
            <w:pPr>
              <w:jc w:val="center"/>
            </w:pPr>
            <w:r>
              <w:rPr>
                <w:rFonts w:ascii="宋体" w:hAnsi="宋体" w:eastAsia="宋体"/>
                <w:sz w:val="16"/>
              </w:rPr>
              <w:t>喀什地区企业特种设备检验检测率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9E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0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8EE2">
            <w:pPr>
              <w:jc w:val="center"/>
            </w:pPr>
            <w:r>
              <w:rPr>
                <w:rFonts w:ascii="宋体" w:hAnsi="宋体" w:eastAsia="宋体"/>
                <w:sz w:val="16"/>
              </w:rPr>
              <w:t>99.35%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7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14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82C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AC56">
            <w:pPr>
              <w:jc w:val="center"/>
            </w:pPr>
            <w:r>
              <w:rPr>
                <w:rFonts w:ascii="宋体" w:hAnsi="宋体" w:eastAsia="宋体"/>
                <w:sz w:val="16"/>
              </w:rPr>
              <w:t>=99.69%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9AEE">
            <w:pPr>
              <w:jc w:val="center"/>
            </w:pPr>
            <w:r>
              <w:rPr>
                <w:rFonts w:ascii="宋体" w:hAnsi="宋体" w:eastAsia="宋体"/>
                <w:sz w:val="16"/>
              </w:rPr>
              <w:t>9.51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46DDB">
            <w:pPr>
              <w:jc w:val="center"/>
            </w:pPr>
            <w:r>
              <w:rPr>
                <w:rFonts w:ascii="宋体" w:hAnsi="宋体" w:eastAsia="宋体"/>
                <w:sz w:val="16"/>
              </w:rPr>
              <w:t>合理制定了检验设备工作计划，提高了工作效率</w:t>
            </w:r>
          </w:p>
        </w:tc>
      </w:tr>
      <w:tr w14:paraId="62FAF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5E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88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9D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C2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9A28">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7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38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B4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1D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8A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29B2">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55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06316">
            <w:pPr>
              <w:jc w:val="center"/>
            </w:pPr>
          </w:p>
        </w:tc>
      </w:tr>
      <w:tr w14:paraId="4C585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0C2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B70F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9BD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5E48">
            <w:pPr>
              <w:jc w:val="center"/>
            </w:pPr>
            <w:r>
              <w:rPr>
                <w:rFonts w:ascii="宋体" w:hAnsi="宋体" w:eastAsia="宋体"/>
                <w:sz w:val="16"/>
              </w:rPr>
              <w:t>检验机电类特种设备成本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CA8C">
            <w:pPr>
              <w:jc w:val="center"/>
            </w:pPr>
            <w:r>
              <w:rPr>
                <w:rFonts w:ascii="宋体" w:hAnsi="宋体" w:eastAsia="宋体"/>
                <w:sz w:val="16"/>
              </w:rPr>
              <w:t>&lt;=83元/台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2E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0346">
            <w:pPr>
              <w:jc w:val="center"/>
            </w:pPr>
            <w:r>
              <w:rPr>
                <w:rFonts w:ascii="宋体" w:hAnsi="宋体" w:eastAsia="宋体"/>
                <w:sz w:val="16"/>
              </w:rPr>
              <w:t>50.68元/台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56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B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06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A66A">
            <w:pPr>
              <w:jc w:val="center"/>
            </w:pPr>
            <w:r>
              <w:rPr>
                <w:rFonts w:ascii="宋体" w:hAnsi="宋体" w:eastAsia="宋体"/>
                <w:sz w:val="16"/>
              </w:rPr>
              <w:t>=76.83元/台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BA2F">
            <w:pPr>
              <w:jc w:val="center"/>
            </w:pPr>
            <w:r>
              <w:rPr>
                <w:rFonts w:ascii="宋体" w:hAnsi="宋体" w:eastAsia="宋体"/>
                <w:sz w:val="16"/>
              </w:rPr>
              <w:t>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45C20">
            <w:pPr>
              <w:jc w:val="center"/>
            </w:pPr>
            <w:r>
              <w:rPr>
                <w:rFonts w:ascii="宋体" w:hAnsi="宋体" w:eastAsia="宋体"/>
                <w:sz w:val="16"/>
              </w:rPr>
              <w:t>偏差原因：本年度机电设备检验计划合理安排；下一步措施：合理安排检验进度</w:t>
            </w:r>
          </w:p>
        </w:tc>
      </w:tr>
      <w:tr w14:paraId="22200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1B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D8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42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79CB">
            <w:pPr>
              <w:jc w:val="center"/>
            </w:pPr>
            <w:r>
              <w:rPr>
                <w:rFonts w:ascii="宋体" w:hAnsi="宋体" w:eastAsia="宋体"/>
                <w:sz w:val="16"/>
              </w:rPr>
              <w:t>检验承压类特种设备成本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A085">
            <w:pPr>
              <w:jc w:val="center"/>
            </w:pPr>
            <w:r>
              <w:rPr>
                <w:rFonts w:ascii="宋体" w:hAnsi="宋体" w:eastAsia="宋体"/>
                <w:sz w:val="16"/>
              </w:rPr>
              <w:t>&lt;=83.98元/台、件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D2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6803">
            <w:pPr>
              <w:jc w:val="center"/>
            </w:pPr>
            <w:r>
              <w:rPr>
                <w:rFonts w:ascii="宋体" w:hAnsi="宋体" w:eastAsia="宋体"/>
                <w:sz w:val="16"/>
              </w:rPr>
              <w:t>43.51元/台、件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B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EE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5E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57A5">
            <w:pPr>
              <w:jc w:val="center"/>
            </w:pPr>
            <w:r>
              <w:rPr>
                <w:rFonts w:ascii="宋体" w:hAnsi="宋体" w:eastAsia="宋体"/>
                <w:sz w:val="16"/>
              </w:rPr>
              <w:t>=77.72元/台、件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0C1E">
            <w:pPr>
              <w:jc w:val="center"/>
            </w:pPr>
            <w:r>
              <w:rPr>
                <w:rFonts w:ascii="宋体" w:hAnsi="宋体" w:eastAsia="宋体"/>
                <w:sz w:val="16"/>
              </w:rPr>
              <w:t>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568D">
            <w:pPr>
              <w:jc w:val="center"/>
            </w:pPr>
            <w:r>
              <w:rPr>
                <w:rFonts w:ascii="宋体" w:hAnsi="宋体" w:eastAsia="宋体"/>
                <w:sz w:val="16"/>
              </w:rPr>
              <w:t>偏差原因：本年度部分国家考试取消，且会议保障多与考试时间冲突，导致出差取证减少。下一步措施：合理规划下一年度该项资金</w:t>
            </w:r>
          </w:p>
        </w:tc>
      </w:tr>
      <w:tr w14:paraId="3C741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1DB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87B1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A5E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4B3F">
            <w:pPr>
              <w:jc w:val="center"/>
            </w:pPr>
            <w:r>
              <w:rPr>
                <w:rFonts w:ascii="宋体" w:hAnsi="宋体" w:eastAsia="宋体"/>
                <w:sz w:val="16"/>
              </w:rPr>
              <w:t>喀什地区企业特种设备事故率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C8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4C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1B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3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99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87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48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39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5BC81">
            <w:pPr>
              <w:jc w:val="center"/>
            </w:pPr>
          </w:p>
        </w:tc>
      </w:tr>
      <w:tr w14:paraId="2832C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298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0D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48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6309">
            <w:pPr>
              <w:jc w:val="center"/>
            </w:pPr>
            <w:r>
              <w:rPr>
                <w:rFonts w:ascii="宋体" w:hAnsi="宋体" w:eastAsia="宋体"/>
                <w:sz w:val="16"/>
              </w:rPr>
              <w:t>提升特种设备检验检测公共服务水平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1DC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E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D8D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EF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71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89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BBE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C7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7D7F8">
            <w:pPr>
              <w:jc w:val="center"/>
            </w:pPr>
          </w:p>
        </w:tc>
      </w:tr>
      <w:tr w14:paraId="3ECF9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B0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82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F0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58CA">
            <w:pPr>
              <w:jc w:val="center"/>
            </w:pPr>
            <w:r>
              <w:rPr>
                <w:rFonts w:ascii="宋体" w:hAnsi="宋体" w:eastAsia="宋体"/>
                <w:sz w:val="16"/>
              </w:rPr>
              <w:t>使用单位满意率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9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B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F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7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E5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0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3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F7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DFC2D">
            <w:pPr>
              <w:jc w:val="center"/>
            </w:pPr>
          </w:p>
        </w:tc>
      </w:tr>
      <w:tr w14:paraId="7B2AF3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D29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295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CB5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E6D9AA">
            <w:pPr>
              <w:jc w:val="center"/>
            </w:pPr>
            <w:r>
              <w:rPr>
                <w:rFonts w:ascii="宋体" w:hAnsi="宋体" w:eastAsia="宋体"/>
                <w:sz w:val="16"/>
              </w:rPr>
              <w:t>93.93分</w:t>
            </w:r>
          </w:p>
        </w:tc>
      </w:tr>
    </w:tbl>
    <w:p w14:paraId="3F21F7E0">
      <w:r>
        <w:br w:type="page"/>
      </w:r>
    </w:p>
    <w:p w14:paraId="089E8635">
      <w:pPr>
        <w:spacing w:line="640" w:lineRule="exact"/>
        <w:ind w:firstLine="640"/>
        <w:jc w:val="both"/>
        <w:outlineLvl w:val="2"/>
      </w:pPr>
      <w:r>
        <w:rPr>
          <w:rFonts w:ascii="黑体" w:hAnsi="黑体" w:eastAsia="黑体"/>
          <w:sz w:val="32"/>
        </w:rPr>
        <w:t>十二、其他需说明的事项</w:t>
      </w:r>
    </w:p>
    <w:p w14:paraId="78E865B9">
      <w:pPr>
        <w:spacing w:line="580" w:lineRule="exact"/>
        <w:ind w:firstLine="640"/>
        <w:jc w:val="both"/>
      </w:pPr>
      <w:r>
        <w:rPr>
          <w:rFonts w:ascii="仿宋_GB2312" w:hAnsi="仿宋_GB2312" w:eastAsia="仿宋_GB2312"/>
          <w:b w:val="0"/>
          <w:sz w:val="32"/>
        </w:rPr>
        <w:t>本部门无其他需说明的事项。</w:t>
      </w:r>
    </w:p>
    <w:p w14:paraId="317A5A42">
      <w:r>
        <w:br w:type="page"/>
      </w:r>
    </w:p>
    <w:p w14:paraId="6508A121">
      <w:pPr>
        <w:spacing w:line="240" w:lineRule="auto"/>
        <w:jc w:val="center"/>
        <w:outlineLvl w:val="1"/>
      </w:pPr>
      <w:r>
        <w:rPr>
          <w:rFonts w:ascii="黑体" w:hAnsi="黑体" w:eastAsia="黑体"/>
          <w:sz w:val="32"/>
        </w:rPr>
        <w:t>第三部分 专业名词解释</w:t>
      </w:r>
    </w:p>
    <w:p w14:paraId="39A387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650780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874BE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9EBF1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702B3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C7BA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83991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903A51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A063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509B5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073D2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7D98A8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43E4A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33771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54423B">
      <w:r>
        <w:br w:type="page"/>
      </w:r>
    </w:p>
    <w:p w14:paraId="6AE97CDD">
      <w:pPr>
        <w:spacing w:line="240" w:lineRule="auto"/>
        <w:jc w:val="center"/>
        <w:outlineLvl w:val="1"/>
      </w:pPr>
      <w:r>
        <w:rPr>
          <w:rFonts w:ascii="黑体" w:hAnsi="黑体" w:eastAsia="黑体"/>
          <w:sz w:val="32"/>
        </w:rPr>
        <w:t>第四部分 部门决算报表（见附表）</w:t>
      </w:r>
    </w:p>
    <w:p w14:paraId="6E35C3C0">
      <w:pPr>
        <w:spacing w:line="240" w:lineRule="auto"/>
        <w:ind w:firstLine="640"/>
        <w:jc w:val="both"/>
      </w:pPr>
      <w:r>
        <w:rPr>
          <w:rFonts w:ascii="仿宋_GB2312" w:hAnsi="仿宋_GB2312" w:eastAsia="仿宋_GB2312"/>
          <w:b w:val="0"/>
          <w:sz w:val="32"/>
        </w:rPr>
        <w:t>一、《收入支出决算总表》</w:t>
      </w:r>
    </w:p>
    <w:p w14:paraId="6CF17F80">
      <w:pPr>
        <w:spacing w:line="240" w:lineRule="auto"/>
        <w:ind w:firstLine="640"/>
        <w:jc w:val="both"/>
      </w:pPr>
      <w:r>
        <w:rPr>
          <w:rFonts w:ascii="仿宋_GB2312" w:hAnsi="仿宋_GB2312" w:eastAsia="仿宋_GB2312"/>
          <w:b w:val="0"/>
          <w:sz w:val="32"/>
        </w:rPr>
        <w:t>二、《收入决算表》</w:t>
      </w:r>
    </w:p>
    <w:p w14:paraId="5164392D">
      <w:pPr>
        <w:spacing w:line="240" w:lineRule="auto"/>
        <w:ind w:firstLine="640"/>
        <w:jc w:val="both"/>
      </w:pPr>
      <w:r>
        <w:rPr>
          <w:rFonts w:ascii="仿宋_GB2312" w:hAnsi="仿宋_GB2312" w:eastAsia="仿宋_GB2312"/>
          <w:b w:val="0"/>
          <w:sz w:val="32"/>
        </w:rPr>
        <w:t>三、《支出决算表》</w:t>
      </w:r>
    </w:p>
    <w:p w14:paraId="5BB6DD67">
      <w:pPr>
        <w:spacing w:line="240" w:lineRule="auto"/>
        <w:ind w:firstLine="640"/>
        <w:jc w:val="both"/>
      </w:pPr>
      <w:r>
        <w:rPr>
          <w:rFonts w:ascii="仿宋_GB2312" w:hAnsi="仿宋_GB2312" w:eastAsia="仿宋_GB2312"/>
          <w:b w:val="0"/>
          <w:sz w:val="32"/>
        </w:rPr>
        <w:t>四、《财政拨款收入支出决算总表》</w:t>
      </w:r>
    </w:p>
    <w:p w14:paraId="125C5D53">
      <w:pPr>
        <w:spacing w:line="240" w:lineRule="auto"/>
        <w:ind w:firstLine="640"/>
        <w:jc w:val="both"/>
      </w:pPr>
      <w:r>
        <w:rPr>
          <w:rFonts w:ascii="仿宋_GB2312" w:hAnsi="仿宋_GB2312" w:eastAsia="仿宋_GB2312"/>
          <w:b w:val="0"/>
          <w:sz w:val="32"/>
        </w:rPr>
        <w:t>五、《一般公共预算财政拨款支出决算表》</w:t>
      </w:r>
    </w:p>
    <w:p w14:paraId="316101C5">
      <w:pPr>
        <w:spacing w:line="240" w:lineRule="auto"/>
        <w:ind w:firstLine="640"/>
        <w:jc w:val="both"/>
      </w:pPr>
      <w:r>
        <w:rPr>
          <w:rFonts w:ascii="仿宋_GB2312" w:hAnsi="仿宋_GB2312" w:eastAsia="仿宋_GB2312"/>
          <w:b w:val="0"/>
          <w:sz w:val="32"/>
        </w:rPr>
        <w:t>六、《一般公共预算财政拨款基本支出决算表》</w:t>
      </w:r>
    </w:p>
    <w:p w14:paraId="3A057846">
      <w:pPr>
        <w:spacing w:line="240" w:lineRule="auto"/>
        <w:ind w:firstLine="640"/>
        <w:jc w:val="both"/>
      </w:pPr>
      <w:r>
        <w:rPr>
          <w:rFonts w:ascii="仿宋_GB2312" w:hAnsi="仿宋_GB2312" w:eastAsia="仿宋_GB2312"/>
          <w:b w:val="0"/>
          <w:sz w:val="32"/>
        </w:rPr>
        <w:t>七、《政府性基金预算财政拨款收入支出决算表》</w:t>
      </w:r>
    </w:p>
    <w:p w14:paraId="1828362C">
      <w:pPr>
        <w:spacing w:line="240" w:lineRule="auto"/>
        <w:ind w:firstLine="640"/>
        <w:jc w:val="both"/>
      </w:pPr>
      <w:r>
        <w:rPr>
          <w:rFonts w:ascii="仿宋_GB2312" w:hAnsi="仿宋_GB2312" w:eastAsia="仿宋_GB2312"/>
          <w:b w:val="0"/>
          <w:sz w:val="32"/>
        </w:rPr>
        <w:t>八、《国有资本经营预算财政拨款收入支出决算表》</w:t>
      </w:r>
    </w:p>
    <w:p w14:paraId="46DB832E">
      <w:pPr>
        <w:spacing w:line="240" w:lineRule="auto"/>
        <w:ind w:firstLine="640"/>
        <w:jc w:val="both"/>
      </w:pPr>
      <w:r>
        <w:rPr>
          <w:rFonts w:ascii="仿宋_GB2312" w:hAnsi="仿宋_GB2312" w:eastAsia="仿宋_GB2312"/>
          <w:b w:val="0"/>
          <w:sz w:val="32"/>
        </w:rPr>
        <w:t>九、《财政拨款“三公”经费支出决算表》</w:t>
      </w:r>
    </w:p>
    <w:p w14:paraId="1484506B">
      <w:pPr>
        <w:spacing w:line="240" w:lineRule="auto"/>
        <w:ind w:firstLine="640"/>
        <w:jc w:val="both"/>
      </w:pPr>
    </w:p>
    <w:p w14:paraId="7D2A5C49">
      <w:pPr>
        <w:spacing w:line="240" w:lineRule="auto"/>
        <w:ind w:firstLine="640"/>
        <w:jc w:val="both"/>
      </w:pPr>
    </w:p>
    <w:p w14:paraId="354FAE0A">
      <w:pPr>
        <w:spacing w:line="240" w:lineRule="auto"/>
        <w:ind w:firstLine="640"/>
        <w:jc w:val="both"/>
      </w:pPr>
    </w:p>
    <w:p w14:paraId="42B56780">
      <w:pPr>
        <w:spacing w:line="240" w:lineRule="auto"/>
        <w:ind w:firstLine="640"/>
        <w:jc w:val="both"/>
      </w:pPr>
    </w:p>
    <w:p w14:paraId="642CBE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41315F-6ABB-4205-9919-D764869314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1CD4248-DA97-461E-B9FF-54C90B98DBBA}"/>
  </w:font>
  <w:font w:name="方正小标宋_GBK">
    <w:panose1 w:val="02000000000000000000"/>
    <w:charset w:val="86"/>
    <w:family w:val="script"/>
    <w:pitch w:val="default"/>
    <w:sig w:usb0="A00002BF" w:usb1="38CF7CFA" w:usb2="00082016" w:usb3="00000000" w:csb0="00040001" w:csb1="00000000"/>
    <w:embedRegular r:id="rId3" w:fontKey="{1AEE30DD-D2A6-4959-AB92-93407C0C794C}"/>
  </w:font>
  <w:font w:name="楷体_GB2312">
    <w:panose1 w:val="02010609030101010101"/>
    <w:charset w:val="86"/>
    <w:family w:val="auto"/>
    <w:pitch w:val="default"/>
    <w:sig w:usb0="00000001" w:usb1="080E0000" w:usb2="00000000" w:usb3="00000000" w:csb0="00040000" w:csb1="00000000"/>
    <w:embedRegular r:id="rId4" w:fontKey="{D8404C7B-34CE-4363-A594-8561325299A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2F750CD"/>
    <w:rsid w:val="034D4FEF"/>
    <w:rsid w:val="043E5B56"/>
    <w:rsid w:val="06792773"/>
    <w:rsid w:val="09A729D8"/>
    <w:rsid w:val="0A3C58E8"/>
    <w:rsid w:val="0A7B4867"/>
    <w:rsid w:val="0ACE1A4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505DA4"/>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C53B86"/>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3567CF"/>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5066</Words>
  <Characters>5885</Characters>
  <Lines>0</Lines>
  <Paragraphs>0</Paragraphs>
  <TotalTime>4</TotalTime>
  <ScaleCrop>false</ScaleCrop>
  <LinksUpToDate>false</LinksUpToDate>
  <CharactersWithSpaces>5894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