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喀什地区社会主义学院2024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F7E5D7">
      <w:r>
        <w:br w:type="page"/>
      </w:r>
    </w:p>
    <w:p w14:paraId="4705E8F9">
      <w:pPr>
        <w:spacing w:line="640" w:lineRule="exact"/>
        <w:jc w:val="center"/>
        <w:outlineLvl w:val="1"/>
      </w:pPr>
      <w:r>
        <w:rPr>
          <w:rFonts w:ascii="黑体" w:hAnsi="黑体" w:eastAsia="黑体"/>
          <w:sz w:val="32"/>
        </w:rPr>
        <w:t>第一部分 部门概况</w:t>
      </w:r>
    </w:p>
    <w:p w14:paraId="55DBEA42">
      <w:pPr>
        <w:spacing w:line="640" w:lineRule="exact"/>
        <w:ind w:firstLine="640"/>
        <w:jc w:val="both"/>
        <w:outlineLvl w:val="2"/>
      </w:pPr>
      <w:r>
        <w:rPr>
          <w:rFonts w:ascii="黑体" w:hAnsi="黑体" w:eastAsia="黑体"/>
          <w:sz w:val="32"/>
        </w:rPr>
        <w:t>一、主要职能</w:t>
      </w:r>
    </w:p>
    <w:p w14:paraId="605ED5B1">
      <w:pPr>
        <w:spacing w:line="580" w:lineRule="exact"/>
        <w:ind w:firstLine="640"/>
        <w:jc w:val="both"/>
      </w:pPr>
      <w:r>
        <w:rPr>
          <w:rFonts w:ascii="仿宋_GB2312" w:hAnsi="仿宋_GB2312" w:eastAsia="仿宋_GB2312"/>
          <w:sz w:val="32"/>
        </w:rPr>
        <w:t>喀什地区社会主义学院是地委领导的统一战线性质的政治学院，是民主党派和无党派人士的联合党校，是统一战线人才教育培养的主阵地，是开展党的统一战线工作的重要部门，是党和国家干部教育培训体系的重要组成部分，为地委直属正县级事业单位，归口地委统战部管理。</w:t>
      </w:r>
      <w:r>
        <w:rPr>
          <w:rFonts w:hint="eastAsia" w:ascii="仿宋_GB2312" w:hAnsi="仿宋_GB2312" w:eastAsia="仿宋_GB2312"/>
          <w:sz w:val="32"/>
          <w:lang w:eastAsia="zh-CN"/>
        </w:rPr>
        <w:t>其主要</w:t>
      </w:r>
      <w:r>
        <w:rPr>
          <w:rFonts w:ascii="仿宋_GB2312" w:hAnsi="仿宋_GB2312" w:eastAsia="仿宋_GB2312"/>
          <w:sz w:val="32"/>
        </w:rPr>
        <w:t>职能</w:t>
      </w:r>
      <w:r>
        <w:rPr>
          <w:rFonts w:hint="eastAsia" w:ascii="仿宋_GB2312" w:hAnsi="仿宋_GB2312" w:eastAsia="仿宋_GB2312"/>
          <w:sz w:val="32"/>
          <w:lang w:eastAsia="zh-CN"/>
        </w:rPr>
        <w:t>如下：</w:t>
      </w:r>
    </w:p>
    <w:p w14:paraId="10B9857F">
      <w:pPr>
        <w:spacing w:line="580" w:lineRule="exact"/>
        <w:ind w:firstLine="640"/>
        <w:jc w:val="both"/>
      </w:pPr>
      <w:r>
        <w:rPr>
          <w:rFonts w:ascii="仿宋_GB2312" w:hAnsi="仿宋_GB2312" w:eastAsia="仿宋_GB2312"/>
          <w:sz w:val="32"/>
        </w:rPr>
        <w:t>（一）培训民主党派和无党派人士、统一战线其他领域代表人士，培训统战干部，培养统一战线理论研究人才，承办地委和行署举办的有关专题研讨班。</w:t>
      </w:r>
    </w:p>
    <w:p w14:paraId="2A9CD1EF">
      <w:pPr>
        <w:spacing w:line="580" w:lineRule="exact"/>
        <w:ind w:firstLine="640"/>
        <w:jc w:val="both"/>
      </w:pPr>
      <w:r>
        <w:rPr>
          <w:rFonts w:ascii="仿宋_GB2312" w:hAnsi="仿宋_GB2312" w:eastAsia="仿宋_GB2312"/>
          <w:sz w:val="32"/>
        </w:rPr>
        <w:t>（二）组织开展马克思列宁主义、毛泽东思想、邓小平理论、“三个代表”重要思想、科学发展观、习近平新时代中国特色社会主义思想，以及党的统一战线理论和方针政策的研究和宣传，推进理论创新。</w:t>
      </w:r>
    </w:p>
    <w:p w14:paraId="558DD9F1">
      <w:pPr>
        <w:spacing w:line="580" w:lineRule="exact"/>
        <w:ind w:firstLine="640"/>
        <w:jc w:val="both"/>
      </w:pPr>
      <w:r>
        <w:rPr>
          <w:rFonts w:ascii="仿宋_GB2312" w:hAnsi="仿宋_GB2312" w:eastAsia="仿宋_GB2312"/>
          <w:sz w:val="32"/>
        </w:rPr>
        <w:t>（三）组织开展决策咨询工作，为地委和行署决策服务。</w:t>
      </w:r>
    </w:p>
    <w:p w14:paraId="0B9072F8">
      <w:pPr>
        <w:spacing w:line="580" w:lineRule="exact"/>
        <w:ind w:firstLine="640"/>
        <w:jc w:val="both"/>
      </w:pPr>
      <w:r>
        <w:rPr>
          <w:rFonts w:ascii="仿宋_GB2312" w:hAnsi="仿宋_GB2312" w:eastAsia="仿宋_GB2312"/>
          <w:sz w:val="32"/>
        </w:rPr>
        <w:t>（四）组织开展中华文化的教育、研究和对外交流。</w:t>
      </w:r>
    </w:p>
    <w:p w14:paraId="0D597002">
      <w:pPr>
        <w:spacing w:line="580" w:lineRule="exact"/>
        <w:ind w:firstLine="640"/>
        <w:jc w:val="both"/>
      </w:pPr>
      <w:r>
        <w:rPr>
          <w:rFonts w:ascii="仿宋_GB2312" w:hAnsi="仿宋_GB2312" w:eastAsia="仿宋_GB2312"/>
          <w:sz w:val="32"/>
        </w:rPr>
        <w:t>（五）开展联谊交友。</w:t>
      </w:r>
    </w:p>
    <w:p w14:paraId="43C21308">
      <w:pPr>
        <w:spacing w:line="580" w:lineRule="exact"/>
        <w:ind w:firstLine="640"/>
        <w:jc w:val="both"/>
      </w:pPr>
      <w:r>
        <w:rPr>
          <w:rFonts w:ascii="仿宋_GB2312" w:hAnsi="仿宋_GB2312" w:eastAsia="仿宋_GB2312"/>
          <w:sz w:val="32"/>
        </w:rPr>
        <w:t>（六）配合地委统战部对各类参训学员</w:t>
      </w:r>
      <w:r>
        <w:rPr>
          <w:rFonts w:hint="eastAsia" w:ascii="仿宋_GB2312" w:hAnsi="仿宋_GB2312" w:eastAsia="仿宋_GB2312"/>
          <w:sz w:val="32"/>
          <w:lang w:eastAsia="zh-CN"/>
        </w:rPr>
        <w:t>在培训</w:t>
      </w:r>
      <w:r>
        <w:rPr>
          <w:rFonts w:ascii="仿宋_GB2312" w:hAnsi="仿宋_GB2312" w:eastAsia="仿宋_GB2312"/>
          <w:sz w:val="32"/>
        </w:rPr>
        <w:t>期间</w:t>
      </w:r>
      <w:r>
        <w:rPr>
          <w:rFonts w:hint="eastAsia" w:ascii="仿宋_GB2312" w:hAnsi="仿宋_GB2312" w:eastAsia="仿宋_GB2312"/>
          <w:sz w:val="32"/>
          <w:lang w:eastAsia="zh-CN"/>
        </w:rPr>
        <w:t>的表现</w:t>
      </w:r>
      <w:r>
        <w:rPr>
          <w:rFonts w:ascii="仿宋_GB2312" w:hAnsi="仿宋_GB2312" w:eastAsia="仿宋_GB2312"/>
          <w:sz w:val="32"/>
        </w:rPr>
        <w:t>情况进行管理、</w:t>
      </w:r>
      <w:r>
        <w:rPr>
          <w:rFonts w:hint="eastAsia" w:ascii="仿宋_GB2312" w:hAnsi="仿宋_GB2312" w:eastAsia="仿宋_GB2312"/>
          <w:sz w:val="32"/>
          <w:lang w:eastAsia="zh-CN"/>
        </w:rPr>
        <w:t>考核</w:t>
      </w:r>
      <w:r>
        <w:rPr>
          <w:rFonts w:ascii="仿宋_GB2312" w:hAnsi="仿宋_GB2312" w:eastAsia="仿宋_GB2312"/>
          <w:sz w:val="32"/>
        </w:rPr>
        <w:t>。</w:t>
      </w:r>
    </w:p>
    <w:p w14:paraId="4720A6EC">
      <w:pPr>
        <w:spacing w:line="580" w:lineRule="exact"/>
        <w:ind w:firstLine="640"/>
        <w:jc w:val="both"/>
      </w:pPr>
      <w:r>
        <w:rPr>
          <w:rFonts w:ascii="仿宋_GB2312" w:hAnsi="仿宋_GB2312" w:eastAsia="仿宋_GB2312"/>
          <w:sz w:val="32"/>
        </w:rPr>
        <w:t>（七）完成地委统战部交办的其他任务。</w:t>
      </w:r>
    </w:p>
    <w:p w14:paraId="22E791C4">
      <w:pPr>
        <w:spacing w:line="640" w:lineRule="exact"/>
        <w:ind w:firstLine="640"/>
        <w:jc w:val="both"/>
        <w:outlineLvl w:val="2"/>
      </w:pPr>
      <w:r>
        <w:rPr>
          <w:rFonts w:ascii="黑体" w:hAnsi="黑体" w:eastAsia="黑体"/>
          <w:sz w:val="32"/>
        </w:rPr>
        <w:t>二、机构设置及人员情况</w:t>
      </w:r>
    </w:p>
    <w:p w14:paraId="179FEB46">
      <w:pPr>
        <w:spacing w:line="580" w:lineRule="exact"/>
        <w:ind w:firstLine="640"/>
        <w:jc w:val="both"/>
      </w:pPr>
      <w:r>
        <w:rPr>
          <w:rFonts w:ascii="仿宋_GB2312" w:hAnsi="仿宋_GB2312" w:eastAsia="仿宋_GB2312"/>
          <w:sz w:val="32"/>
        </w:rPr>
        <w:t>喀什地区社会主义学院2024年度，实有人数37人，其中：在职人员20人，增加1人；离休人员0人，增加0人；退休人员17人,增加0人。</w:t>
      </w:r>
    </w:p>
    <w:p w14:paraId="20222B0A">
      <w:pPr>
        <w:spacing w:line="580" w:lineRule="exact"/>
        <w:ind w:firstLine="640"/>
        <w:jc w:val="both"/>
      </w:pPr>
      <w:r>
        <w:rPr>
          <w:rFonts w:ascii="仿宋_GB2312" w:hAnsi="仿宋_GB2312" w:eastAsia="仿宋_GB2312"/>
          <w:sz w:val="32"/>
        </w:rPr>
        <w:t>喀什地区社会主义学院无下属预算单位，下设4个科室，分别是：办公室、总务科、教务科、教研室。</w:t>
      </w:r>
    </w:p>
    <w:p w14:paraId="2DDA6EF0">
      <w:r>
        <w:br w:type="page"/>
      </w:r>
    </w:p>
    <w:p w14:paraId="65B47C57">
      <w:pPr>
        <w:spacing w:line="240" w:lineRule="auto"/>
        <w:jc w:val="center"/>
        <w:outlineLvl w:val="1"/>
      </w:pPr>
      <w:r>
        <w:rPr>
          <w:rFonts w:ascii="黑体" w:hAnsi="黑体" w:eastAsia="黑体"/>
          <w:sz w:val="32"/>
        </w:rPr>
        <w:t>第二部分 部门决算情况说明</w:t>
      </w:r>
    </w:p>
    <w:p w14:paraId="6A7D40F5">
      <w:pPr>
        <w:spacing w:line="640" w:lineRule="exact"/>
        <w:ind w:firstLine="640"/>
        <w:jc w:val="both"/>
        <w:outlineLvl w:val="2"/>
      </w:pPr>
      <w:r>
        <w:rPr>
          <w:rFonts w:ascii="黑体" w:hAnsi="黑体" w:eastAsia="黑体"/>
          <w:sz w:val="32"/>
        </w:rPr>
        <w:t>一、收入支出决算总体情况说明</w:t>
      </w:r>
    </w:p>
    <w:p w14:paraId="5DA71556">
      <w:pPr>
        <w:spacing w:line="580" w:lineRule="exact"/>
        <w:ind w:firstLine="640"/>
        <w:jc w:val="both"/>
      </w:pPr>
      <w:r>
        <w:rPr>
          <w:rFonts w:ascii="仿宋_GB2312" w:hAnsi="仿宋_GB2312" w:eastAsia="仿宋_GB2312"/>
          <w:b/>
          <w:sz w:val="32"/>
        </w:rPr>
        <w:t>2024年度收入总计836.56万元，</w:t>
      </w:r>
      <w:r>
        <w:rPr>
          <w:rFonts w:ascii="仿宋_GB2312" w:hAnsi="仿宋_GB2312" w:eastAsia="仿宋_GB2312"/>
          <w:b w:val="0"/>
          <w:sz w:val="32"/>
        </w:rPr>
        <w:t>其中：本年收入合计836.56万元，使用非财政拨款结余（含专用结余）0.00万元，年初结转和结余0.00万元。</w:t>
      </w:r>
    </w:p>
    <w:p w14:paraId="270780D5">
      <w:pPr>
        <w:spacing w:line="580" w:lineRule="exact"/>
        <w:ind w:firstLine="640"/>
        <w:jc w:val="both"/>
      </w:pPr>
      <w:r>
        <w:rPr>
          <w:rFonts w:ascii="仿宋_GB2312" w:hAnsi="仿宋_GB2312" w:eastAsia="仿宋_GB2312"/>
          <w:b/>
          <w:sz w:val="32"/>
        </w:rPr>
        <w:t>2024年度支出总计836.56万元，</w:t>
      </w:r>
      <w:r>
        <w:rPr>
          <w:rFonts w:ascii="仿宋_GB2312" w:hAnsi="仿宋_GB2312" w:eastAsia="仿宋_GB2312"/>
          <w:b w:val="0"/>
          <w:sz w:val="32"/>
        </w:rPr>
        <w:t>其中：本年支出合计836.56万元，结余分配0.00万元，年末结转和结余0.00万元。</w:t>
      </w:r>
    </w:p>
    <w:p w14:paraId="7E2EF5A7">
      <w:pPr>
        <w:spacing w:line="580" w:lineRule="exact"/>
        <w:ind w:firstLine="640"/>
        <w:jc w:val="both"/>
      </w:pPr>
      <w:r>
        <w:rPr>
          <w:rFonts w:ascii="仿宋_GB2312" w:hAnsi="仿宋_GB2312" w:eastAsia="仿宋_GB2312"/>
          <w:b w:val="0"/>
          <w:sz w:val="32"/>
        </w:rPr>
        <w:t>收入支出总体与上年相比，减少204.47万元，下降19.64%，主要原因是：本年中央预算内投资预算综合教学楼项目已完成，导致此经费支出减少。</w:t>
      </w:r>
    </w:p>
    <w:p w14:paraId="50D8FE2A">
      <w:pPr>
        <w:spacing w:line="640" w:lineRule="exact"/>
        <w:ind w:firstLine="640"/>
        <w:jc w:val="both"/>
        <w:outlineLvl w:val="2"/>
      </w:pPr>
      <w:r>
        <w:rPr>
          <w:rFonts w:ascii="黑体" w:hAnsi="黑体" w:eastAsia="黑体"/>
          <w:sz w:val="32"/>
        </w:rPr>
        <w:t>二、收入决算情况说明</w:t>
      </w:r>
    </w:p>
    <w:p w14:paraId="02640592">
      <w:pPr>
        <w:spacing w:line="580" w:lineRule="exact"/>
        <w:ind w:firstLine="640"/>
        <w:jc w:val="both"/>
      </w:pPr>
      <w:r>
        <w:rPr>
          <w:rFonts w:ascii="仿宋_GB2312" w:hAnsi="仿宋_GB2312" w:eastAsia="仿宋_GB2312"/>
          <w:b/>
          <w:sz w:val="32"/>
        </w:rPr>
        <w:t>本年收入836.56万元，</w:t>
      </w:r>
      <w:r>
        <w:rPr>
          <w:rFonts w:ascii="仿宋_GB2312" w:hAnsi="仿宋_GB2312" w:eastAsia="仿宋_GB2312"/>
          <w:b w:val="0"/>
          <w:sz w:val="32"/>
        </w:rPr>
        <w:t>其中：财政拨款收入836.56万元，占100.00%；上级补助收入0.00万元，占0.00%；事业收入0.00万元，占0.00%；经营收入0.00万元，占0.00%；附属单位上缴收入0.00万元，占0.00%；其他收入0.00万元，占0.00%。</w:t>
      </w:r>
    </w:p>
    <w:p w14:paraId="1861045C">
      <w:pPr>
        <w:spacing w:line="640" w:lineRule="exact"/>
        <w:ind w:firstLine="640"/>
        <w:jc w:val="both"/>
        <w:outlineLvl w:val="2"/>
      </w:pPr>
      <w:r>
        <w:rPr>
          <w:rFonts w:ascii="黑体" w:hAnsi="黑体" w:eastAsia="黑体"/>
          <w:sz w:val="32"/>
        </w:rPr>
        <w:t>三、支出决算情况说明</w:t>
      </w:r>
    </w:p>
    <w:p w14:paraId="12439698">
      <w:pPr>
        <w:spacing w:line="580" w:lineRule="exact"/>
        <w:ind w:firstLine="640"/>
        <w:jc w:val="both"/>
      </w:pPr>
      <w:r>
        <w:rPr>
          <w:rFonts w:ascii="仿宋_GB2312" w:hAnsi="仿宋_GB2312" w:eastAsia="仿宋_GB2312"/>
          <w:b/>
          <w:sz w:val="32"/>
        </w:rPr>
        <w:t>本年支出836.56万元，</w:t>
      </w:r>
      <w:r>
        <w:rPr>
          <w:rFonts w:ascii="仿宋_GB2312" w:hAnsi="仿宋_GB2312" w:eastAsia="仿宋_GB2312"/>
          <w:b w:val="0"/>
          <w:sz w:val="32"/>
        </w:rPr>
        <w:t>其中：基本支出563.53万元，占67.36%；项目支出273.03万元，占32.64%；上缴上级支出0.00万元，占0.00%；经营支出0.00万元，占0.00%；对附属单位补助支出0.00万元，占0.00%。</w:t>
      </w:r>
    </w:p>
    <w:p w14:paraId="52139F87">
      <w:pPr>
        <w:spacing w:line="640" w:lineRule="exact"/>
        <w:ind w:firstLine="640"/>
        <w:jc w:val="both"/>
        <w:outlineLvl w:val="2"/>
      </w:pPr>
      <w:r>
        <w:rPr>
          <w:rFonts w:ascii="黑体" w:hAnsi="黑体" w:eastAsia="黑体"/>
          <w:sz w:val="32"/>
        </w:rPr>
        <w:t>四、财政拨款收入支出决算总体情况说明</w:t>
      </w:r>
    </w:p>
    <w:p w14:paraId="280CA669">
      <w:pPr>
        <w:spacing w:line="580" w:lineRule="exact"/>
        <w:ind w:firstLine="640"/>
        <w:jc w:val="both"/>
      </w:pPr>
      <w:r>
        <w:rPr>
          <w:rFonts w:ascii="仿宋_GB2312" w:hAnsi="仿宋_GB2312" w:eastAsia="仿宋_GB2312"/>
          <w:b/>
          <w:sz w:val="32"/>
        </w:rPr>
        <w:t>2024年度财政拨款收入总计836.56万元，</w:t>
      </w:r>
      <w:r>
        <w:rPr>
          <w:rFonts w:ascii="仿宋_GB2312" w:hAnsi="仿宋_GB2312" w:eastAsia="仿宋_GB2312"/>
          <w:b w:val="0"/>
          <w:sz w:val="32"/>
        </w:rPr>
        <w:t>其中：年初财政拨款结转和结余0.00万元，本年财政拨款收入836.56万元。</w:t>
      </w:r>
      <w:r>
        <w:rPr>
          <w:rFonts w:ascii="仿宋_GB2312" w:hAnsi="仿宋_GB2312" w:eastAsia="仿宋_GB2312"/>
          <w:b/>
          <w:sz w:val="32"/>
        </w:rPr>
        <w:t>财政拨款支出总计836.56万元，</w:t>
      </w:r>
      <w:r>
        <w:rPr>
          <w:rFonts w:ascii="仿宋_GB2312" w:hAnsi="仿宋_GB2312" w:eastAsia="仿宋_GB2312"/>
          <w:b w:val="0"/>
          <w:sz w:val="32"/>
        </w:rPr>
        <w:t>其中：年末财政拨款结转和结余0.00万元，本年财政拨款支出836.56万元。</w:t>
      </w:r>
    </w:p>
    <w:p w14:paraId="09E7BC0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增加102.89万元，增长14.02%，主要原因是：本年在职人员增加，在职人员工资调增、社保、公积金基数调增，人员经费增加</w:t>
      </w:r>
      <w:r>
        <w:rPr>
          <w:rFonts w:hint="eastAsia" w:ascii="仿宋_GB2312" w:hAnsi="仿宋_GB2312" w:eastAsia="仿宋_GB2312"/>
          <w:b w:val="0"/>
          <w:sz w:val="32"/>
          <w:lang w:eastAsia="zh-CN"/>
        </w:rPr>
        <w:t>；</w:t>
      </w:r>
      <w:r>
        <w:rPr>
          <w:rFonts w:ascii="仿宋_GB2312" w:hAnsi="仿宋_GB2312" w:eastAsia="仿宋_GB2312"/>
          <w:b w:val="0"/>
          <w:sz w:val="32"/>
        </w:rPr>
        <w:t>本年增加为民办实事项目经费。</w:t>
      </w:r>
      <w:r>
        <w:rPr>
          <w:rFonts w:ascii="仿宋_GB2312" w:hAnsi="仿宋_GB2312" w:eastAsia="仿宋_GB2312"/>
          <w:b/>
          <w:sz w:val="32"/>
        </w:rPr>
        <w:t>与年初预算相比，</w:t>
      </w:r>
      <w:r>
        <w:rPr>
          <w:rFonts w:ascii="仿宋_GB2312" w:hAnsi="仿宋_GB2312" w:eastAsia="仿宋_GB2312"/>
          <w:b w:val="0"/>
          <w:sz w:val="32"/>
        </w:rPr>
        <w:t>年初预算数798.24万元，决算数836.56万元，预决算差异率4.80%，主要原因是：本年在职人员增加，年中追加人员经费及人员工资、社保、公积金基数调增部分资金；年</w:t>
      </w:r>
      <w:r>
        <w:rPr>
          <w:rFonts w:hint="eastAsia" w:ascii="仿宋_GB2312" w:hAnsi="仿宋_GB2312" w:eastAsia="仿宋_GB2312"/>
          <w:b w:val="0"/>
          <w:sz w:val="32"/>
          <w:lang w:eastAsia="zh-CN"/>
        </w:rPr>
        <w:t>中</w:t>
      </w:r>
      <w:r>
        <w:rPr>
          <w:rFonts w:ascii="仿宋_GB2312" w:hAnsi="仿宋_GB2312" w:eastAsia="仿宋_GB2312"/>
          <w:b w:val="0"/>
          <w:sz w:val="32"/>
        </w:rPr>
        <w:t>追加</w:t>
      </w:r>
      <w:r>
        <w:rPr>
          <w:rFonts w:hint="eastAsia" w:ascii="仿宋_GB2312" w:hAnsi="仿宋_GB2312" w:eastAsia="仿宋_GB2312"/>
          <w:b w:val="0"/>
          <w:sz w:val="32"/>
          <w:lang w:eastAsia="zh-CN"/>
        </w:rPr>
        <w:t>为民办实事</w:t>
      </w:r>
      <w:r>
        <w:rPr>
          <w:rFonts w:ascii="仿宋_GB2312" w:hAnsi="仿宋_GB2312" w:eastAsia="仿宋_GB2312"/>
          <w:b w:val="0"/>
          <w:sz w:val="32"/>
        </w:rPr>
        <w:t>项目经费，导致预决算存在差异。</w:t>
      </w:r>
    </w:p>
    <w:p w14:paraId="02C46F75">
      <w:pPr>
        <w:spacing w:line="640" w:lineRule="exact"/>
        <w:ind w:firstLine="640"/>
        <w:jc w:val="both"/>
        <w:outlineLvl w:val="2"/>
      </w:pPr>
      <w:r>
        <w:rPr>
          <w:rFonts w:ascii="黑体" w:hAnsi="黑体" w:eastAsia="黑体"/>
          <w:sz w:val="32"/>
        </w:rPr>
        <w:t>五、一般公共预算财政拨款支出决算情况说明</w:t>
      </w:r>
    </w:p>
    <w:p w14:paraId="1D4201A5">
      <w:pPr>
        <w:spacing w:line="640" w:lineRule="exact"/>
        <w:ind w:firstLine="640"/>
        <w:jc w:val="both"/>
        <w:outlineLvl w:val="3"/>
      </w:pPr>
      <w:r>
        <w:rPr>
          <w:rFonts w:ascii="楷体_GB2312" w:hAnsi="楷体_GB2312" w:eastAsia="楷体_GB2312"/>
          <w:b/>
          <w:sz w:val="32"/>
        </w:rPr>
        <w:t>（一）一般公共预算财政拨款支出决算总体情况</w:t>
      </w:r>
    </w:p>
    <w:p w14:paraId="6BF7934D">
      <w:pPr>
        <w:spacing w:line="580" w:lineRule="exact"/>
        <w:ind w:firstLine="640"/>
        <w:jc w:val="both"/>
      </w:pPr>
      <w:r>
        <w:rPr>
          <w:rFonts w:ascii="仿宋_GB2312" w:hAnsi="仿宋_GB2312" w:eastAsia="仿宋_GB2312"/>
          <w:b/>
          <w:sz w:val="32"/>
        </w:rPr>
        <w:t>2024年度一般公共预算财政拨款支出836.56万元，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增加102.89万元，增长14.02%，主要原因是：本年在职人员增加，在职人员工资调增、社保、公积金基数调增，人员经费增加</w:t>
      </w:r>
      <w:r>
        <w:rPr>
          <w:rFonts w:hint="eastAsia" w:ascii="仿宋_GB2312" w:hAnsi="仿宋_GB2312" w:eastAsia="仿宋_GB2312"/>
          <w:b w:val="0"/>
          <w:sz w:val="32"/>
          <w:lang w:eastAsia="zh-CN"/>
        </w:rPr>
        <w:t>；</w:t>
      </w:r>
      <w:r>
        <w:rPr>
          <w:rFonts w:ascii="仿宋_GB2312" w:hAnsi="仿宋_GB2312" w:eastAsia="仿宋_GB2312"/>
          <w:b w:val="0"/>
          <w:sz w:val="32"/>
        </w:rPr>
        <w:t>本年增加为民办实事项目经费。</w:t>
      </w:r>
      <w:r>
        <w:rPr>
          <w:rFonts w:ascii="仿宋_GB2312" w:hAnsi="仿宋_GB2312" w:eastAsia="仿宋_GB2312"/>
          <w:b/>
          <w:sz w:val="32"/>
        </w:rPr>
        <w:t>与年初预算相比,</w:t>
      </w:r>
      <w:r>
        <w:rPr>
          <w:rFonts w:ascii="仿宋_GB2312" w:hAnsi="仿宋_GB2312" w:eastAsia="仿宋_GB2312"/>
          <w:b w:val="0"/>
          <w:sz w:val="32"/>
        </w:rPr>
        <w:t>年初预算数798.24万元，决算数836.56万元，预决算差异率4.80%，主要原因是：本年在职人员增加，年中追加人员经费及人员工资、社保、公积金基数调增部分资金；年</w:t>
      </w:r>
      <w:r>
        <w:rPr>
          <w:rFonts w:hint="eastAsia" w:ascii="仿宋_GB2312" w:hAnsi="仿宋_GB2312" w:eastAsia="仿宋_GB2312"/>
          <w:b w:val="0"/>
          <w:sz w:val="32"/>
          <w:lang w:eastAsia="zh-CN"/>
        </w:rPr>
        <w:t>中</w:t>
      </w:r>
      <w:r>
        <w:rPr>
          <w:rFonts w:ascii="仿宋_GB2312" w:hAnsi="仿宋_GB2312" w:eastAsia="仿宋_GB2312"/>
          <w:b w:val="0"/>
          <w:sz w:val="32"/>
        </w:rPr>
        <w:t>追加</w:t>
      </w:r>
      <w:r>
        <w:rPr>
          <w:rFonts w:hint="eastAsia" w:ascii="仿宋_GB2312" w:hAnsi="仿宋_GB2312" w:eastAsia="仿宋_GB2312"/>
          <w:b w:val="0"/>
          <w:sz w:val="32"/>
          <w:lang w:eastAsia="zh-CN"/>
        </w:rPr>
        <w:t>为民办实事</w:t>
      </w:r>
      <w:r>
        <w:rPr>
          <w:rFonts w:ascii="仿宋_GB2312" w:hAnsi="仿宋_GB2312" w:eastAsia="仿宋_GB2312"/>
          <w:b w:val="0"/>
          <w:sz w:val="32"/>
        </w:rPr>
        <w:t>项目经费，导致预决算存在差异。</w:t>
      </w:r>
    </w:p>
    <w:p w14:paraId="35E93BE4">
      <w:pPr>
        <w:spacing w:line="640" w:lineRule="exact"/>
        <w:ind w:firstLine="640"/>
        <w:jc w:val="both"/>
        <w:outlineLvl w:val="3"/>
      </w:pPr>
      <w:r>
        <w:rPr>
          <w:rFonts w:ascii="楷体_GB2312" w:hAnsi="楷体_GB2312" w:eastAsia="楷体_GB2312"/>
          <w:b/>
          <w:sz w:val="32"/>
        </w:rPr>
        <w:t>（二）一般公共预算财政拨款支出决算结构情况</w:t>
      </w:r>
    </w:p>
    <w:p w14:paraId="7B80081F">
      <w:pPr>
        <w:spacing w:line="580" w:lineRule="exact"/>
        <w:ind w:firstLine="640"/>
        <w:jc w:val="both"/>
      </w:pPr>
      <w:r>
        <w:rPr>
          <w:rFonts w:ascii="仿宋_GB2312" w:hAnsi="仿宋_GB2312" w:eastAsia="仿宋_GB2312"/>
          <w:b w:val="0"/>
          <w:sz w:val="32"/>
        </w:rPr>
        <w:t>1.教育支出(类)790.30万元,占94.47%。</w:t>
      </w:r>
    </w:p>
    <w:p w14:paraId="4AF9F730">
      <w:pPr>
        <w:spacing w:line="580" w:lineRule="exact"/>
        <w:ind w:firstLine="640"/>
        <w:jc w:val="both"/>
      </w:pPr>
      <w:r>
        <w:rPr>
          <w:rFonts w:ascii="仿宋_GB2312" w:hAnsi="仿宋_GB2312" w:eastAsia="仿宋_GB2312"/>
          <w:b w:val="0"/>
          <w:sz w:val="32"/>
        </w:rPr>
        <w:t>2.社会保障和就业支出(类)46.26万元,占5.53%。</w:t>
      </w:r>
    </w:p>
    <w:p w14:paraId="39722754">
      <w:pPr>
        <w:spacing w:line="640" w:lineRule="exact"/>
        <w:ind w:firstLine="640"/>
        <w:jc w:val="both"/>
        <w:outlineLvl w:val="3"/>
      </w:pPr>
      <w:r>
        <w:rPr>
          <w:rFonts w:ascii="楷体_GB2312" w:hAnsi="楷体_GB2312" w:eastAsia="楷体_GB2312"/>
          <w:b/>
          <w:sz w:val="32"/>
        </w:rPr>
        <w:t>（三）一般公共预算财政拨款支出决算具体情况</w:t>
      </w:r>
    </w:p>
    <w:p w14:paraId="67CE206E">
      <w:pPr>
        <w:spacing w:line="580" w:lineRule="exact"/>
        <w:ind w:firstLine="640"/>
        <w:jc w:val="both"/>
      </w:pPr>
      <w:r>
        <w:rPr>
          <w:rFonts w:ascii="仿宋_GB2312" w:hAnsi="仿宋_GB2312" w:eastAsia="仿宋_GB2312"/>
          <w:b w:val="0"/>
          <w:sz w:val="32"/>
        </w:rPr>
        <w:t>1.教育支出(类)进修及培训(款)干部教育(项):支出决算数为790.30万元，比上年决算增加92.68万元，增长13.29%,主要原因是：本年在职人员工资调增</w:t>
      </w:r>
      <w:r>
        <w:rPr>
          <w:rFonts w:hint="eastAsia" w:ascii="仿宋_GB2312" w:hAnsi="仿宋_GB2312" w:eastAsia="仿宋_GB2312"/>
          <w:b w:val="0"/>
          <w:sz w:val="32"/>
          <w:lang w:val="en-US" w:eastAsia="zh-CN"/>
        </w:rPr>
        <w:t>，</w:t>
      </w:r>
      <w:r>
        <w:rPr>
          <w:rFonts w:ascii="仿宋_GB2312" w:hAnsi="仿宋_GB2312" w:eastAsia="仿宋_GB2312"/>
          <w:b w:val="0"/>
          <w:sz w:val="32"/>
        </w:rPr>
        <w:t>导致相关人员经费较上年有所增加。</w:t>
      </w:r>
    </w:p>
    <w:p w14:paraId="5568926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39.89万元，比上年决算增加4.82万元，增长13.74%,主要原因是：本年在职人员增加，养老保险缴费较上年增加。</w:t>
      </w:r>
    </w:p>
    <w:p w14:paraId="3921275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3.社会保障和就业支出(类)行政事业单位养老支出(款)机关事业单位职业年金缴费支出(项):支出决算数为6.36万元，比上年决算增加6.36万元，增长100.00%,主要原因是：本年新增辞职1人，职业年金缴费支出增加。</w:t>
      </w:r>
    </w:p>
    <w:p w14:paraId="0B09B4E9">
      <w:pPr>
        <w:spacing w:line="580" w:lineRule="exact"/>
        <w:ind w:firstLine="640"/>
        <w:jc w:val="both"/>
      </w:pPr>
      <w:r>
        <w:rPr>
          <w:rFonts w:ascii="仿宋_GB2312" w:hAnsi="仿宋_GB2312" w:eastAsia="仿宋_GB2312"/>
          <w:b w:val="0"/>
          <w:sz w:val="32"/>
        </w:rPr>
        <w:t>4.其他支出(类)其他支出(款)其他支出(项):支出决算数为0.00万元，比上年决算减少0.98万元，下降100.00%,主要原因是：本年减少专项项目，导致此科目经费减少。</w:t>
      </w:r>
    </w:p>
    <w:p w14:paraId="6D724368">
      <w:pPr>
        <w:spacing w:line="640" w:lineRule="exact"/>
        <w:ind w:firstLine="640"/>
        <w:jc w:val="both"/>
        <w:outlineLvl w:val="2"/>
      </w:pPr>
      <w:r>
        <w:rPr>
          <w:rFonts w:ascii="黑体" w:hAnsi="黑体" w:eastAsia="黑体"/>
          <w:sz w:val="32"/>
        </w:rPr>
        <w:t>六、一般公共预算财政拨款基本支出决算情况说明</w:t>
      </w:r>
    </w:p>
    <w:p w14:paraId="72DB67AA">
      <w:pPr>
        <w:spacing w:line="580" w:lineRule="exact"/>
        <w:ind w:firstLine="640"/>
        <w:jc w:val="both"/>
      </w:pPr>
      <w:r>
        <w:rPr>
          <w:rFonts w:ascii="仿宋_GB2312" w:hAnsi="仿宋_GB2312" w:eastAsia="仿宋_GB2312"/>
          <w:b w:val="0"/>
          <w:sz w:val="32"/>
        </w:rPr>
        <w:t>2024年度一般公共预算财政拨款基本支出563.53万元，其中：</w:t>
      </w:r>
      <w:r>
        <w:rPr>
          <w:rFonts w:ascii="仿宋_GB2312" w:hAnsi="仿宋_GB2312" w:eastAsia="仿宋_GB2312"/>
          <w:b/>
          <w:sz w:val="32"/>
        </w:rPr>
        <w:t>人员经费517.30万元，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25665613">
      <w:pPr>
        <w:spacing w:line="580" w:lineRule="exact"/>
        <w:ind w:firstLine="640"/>
        <w:jc w:val="both"/>
      </w:pPr>
      <w:r>
        <w:rPr>
          <w:rFonts w:ascii="仿宋_GB2312" w:hAnsi="仿宋_GB2312" w:eastAsia="仿宋_GB2312"/>
          <w:b/>
          <w:sz w:val="32"/>
        </w:rPr>
        <w:t>公用经费46.23万元，</w:t>
      </w:r>
      <w:r>
        <w:rPr>
          <w:rFonts w:ascii="仿宋_GB2312" w:hAnsi="仿宋_GB2312" w:eastAsia="仿宋_GB2312"/>
          <w:b w:val="0"/>
          <w:sz w:val="32"/>
        </w:rPr>
        <w:t>包括：办公费、水费、电费、邮电费、取暖费、物业管理费、差旅费、专用材料费、工会经费、公务用车运行维护费、其他交通费用、其他商品和服务支出。</w:t>
      </w:r>
    </w:p>
    <w:p w14:paraId="41A0DCED">
      <w:pPr>
        <w:spacing w:line="640" w:lineRule="exact"/>
        <w:ind w:firstLine="640"/>
        <w:jc w:val="both"/>
        <w:outlineLvl w:val="2"/>
      </w:pPr>
      <w:r>
        <w:rPr>
          <w:rFonts w:ascii="黑体" w:hAnsi="黑体" w:eastAsia="黑体"/>
          <w:sz w:val="32"/>
        </w:rPr>
        <w:t>七、政府性基金预算财政拨款收入支出决算情况说明</w:t>
      </w:r>
    </w:p>
    <w:p w14:paraId="65CDE8A1">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2744CA7">
      <w:pPr>
        <w:spacing w:line="640" w:lineRule="exact"/>
        <w:ind w:firstLine="640"/>
        <w:jc w:val="both"/>
        <w:outlineLvl w:val="2"/>
      </w:pPr>
      <w:r>
        <w:rPr>
          <w:rFonts w:ascii="黑体" w:hAnsi="黑体" w:eastAsia="黑体"/>
          <w:sz w:val="32"/>
        </w:rPr>
        <w:t>八、国有资本经营预算财政拨款收入支出决算情况说明</w:t>
      </w:r>
    </w:p>
    <w:p w14:paraId="3431C75B">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00377DD">
      <w:pPr>
        <w:spacing w:line="640" w:lineRule="exact"/>
        <w:ind w:firstLine="640"/>
        <w:jc w:val="both"/>
        <w:outlineLvl w:val="2"/>
      </w:pPr>
      <w:r>
        <w:rPr>
          <w:rFonts w:ascii="黑体" w:hAnsi="黑体" w:eastAsia="黑体"/>
          <w:sz w:val="32"/>
        </w:rPr>
        <w:t>九、财政拨款“三公”经费支出决算情况说明</w:t>
      </w:r>
    </w:p>
    <w:p w14:paraId="7C6CC8F2">
      <w:pPr>
        <w:spacing w:line="580" w:lineRule="exact"/>
        <w:ind w:firstLine="640"/>
        <w:jc w:val="both"/>
      </w:pPr>
      <w:r>
        <w:rPr>
          <w:rFonts w:ascii="仿宋_GB2312" w:hAnsi="仿宋_GB2312" w:eastAsia="仿宋_GB2312"/>
          <w:b/>
          <w:sz w:val="32"/>
        </w:rPr>
        <w:t>2024年度财政拨款“三公”经费支出2.18万元，</w:t>
      </w:r>
      <w:r>
        <w:rPr>
          <w:rFonts w:ascii="仿宋_GB2312" w:hAnsi="仿宋_GB2312" w:eastAsia="仿宋_GB2312"/>
          <w:b w:val="0"/>
          <w:sz w:val="32"/>
        </w:rPr>
        <w:t>比上年减少0.42万元，下降16.15%，主要原因是：年中报废一辆公务用车，公务用车运行维护费减少。其中：因公出国（境）费支出0.00万元，占0.00%，比上年增加0.00万元，增长0.00%，主要原因是：2023年与2024年均未安排因公出国（境）费支出。公务用车购置及运行维护费支出2.18万元，占100.00%，比上年减少0.42万元，下降16.15%，主要原因是：年中报废一辆公务用车，公务用车运行维护费减少。公务接待费支出0.00万元，占0.00%，比上年增加0.00万元，增长0.00%，主要原因是：2023年与2024年均未安排公务接待费支出。</w:t>
      </w:r>
    </w:p>
    <w:p w14:paraId="44D2D4CC">
      <w:pPr>
        <w:spacing w:line="580" w:lineRule="exact"/>
        <w:ind w:firstLine="640"/>
        <w:jc w:val="both"/>
      </w:pPr>
      <w:r>
        <w:rPr>
          <w:rFonts w:ascii="仿宋_GB2312" w:hAnsi="仿宋_GB2312" w:eastAsia="仿宋_GB2312"/>
          <w:b/>
          <w:sz w:val="32"/>
        </w:rPr>
        <w:t>具体情况如下：</w:t>
      </w:r>
    </w:p>
    <w:p w14:paraId="2BC7371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68E25FA">
      <w:pPr>
        <w:spacing w:line="580" w:lineRule="exact"/>
        <w:ind w:firstLine="640"/>
        <w:jc w:val="both"/>
      </w:pPr>
      <w:r>
        <w:rPr>
          <w:rFonts w:ascii="仿宋_GB2312" w:hAnsi="仿宋_GB2312" w:eastAsia="仿宋_GB2312"/>
          <w:b w:val="0"/>
          <w:sz w:val="32"/>
        </w:rPr>
        <w:t>公务用车购置及运行维护费2.18万元，其中：公务用车购置费0.00万元，公务用车运行维护费2.18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7C8FCE2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4F3F0F8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2.18万元，决算数2.18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2.18万元，决算数2.18万元，预决算差异率0.00%，主要原因是：严格按照预算执行，预决算无差异。公务接待费全年预算数0.00万元，决算数0.00万元，预决算差异率0.00%，主要原因是：本部门无公务接待费。</w:t>
      </w:r>
    </w:p>
    <w:p w14:paraId="46D9D77C">
      <w:pPr>
        <w:spacing w:line="640" w:lineRule="exact"/>
        <w:ind w:firstLine="640"/>
        <w:jc w:val="both"/>
        <w:outlineLvl w:val="2"/>
      </w:pPr>
      <w:r>
        <w:rPr>
          <w:rFonts w:ascii="黑体" w:hAnsi="黑体" w:eastAsia="黑体"/>
          <w:sz w:val="32"/>
        </w:rPr>
        <w:t>十、其他重要事项的情况说明</w:t>
      </w:r>
    </w:p>
    <w:p w14:paraId="3236354E">
      <w:pPr>
        <w:spacing w:line="640" w:lineRule="exact"/>
        <w:ind w:firstLine="640"/>
        <w:jc w:val="both"/>
        <w:outlineLvl w:val="3"/>
      </w:pPr>
      <w:r>
        <w:rPr>
          <w:rFonts w:ascii="楷体_GB2312" w:hAnsi="楷体_GB2312" w:eastAsia="楷体_GB2312"/>
          <w:b/>
          <w:sz w:val="32"/>
        </w:rPr>
        <w:t>（一）机关运行经费及公用经费支出情况</w:t>
      </w:r>
    </w:p>
    <w:p w14:paraId="5249CCF0">
      <w:pPr>
        <w:spacing w:line="580" w:lineRule="exact"/>
        <w:ind w:firstLine="640"/>
        <w:jc w:val="both"/>
      </w:pPr>
      <w:r>
        <w:rPr>
          <w:rFonts w:ascii="仿宋_GB2312" w:hAnsi="仿宋_GB2312" w:eastAsia="仿宋_GB2312"/>
          <w:b w:val="0"/>
          <w:sz w:val="32"/>
        </w:rPr>
        <w:t>2024年度喀什地区社会主义学院（行政单位和参照公务员法管理事业单位）机关运行经费支出46.23万元，比上年增加6.32万元，增长15.84%，主要原因是：本年增加联谊活动费，导致机关运行经费增加。</w:t>
      </w:r>
    </w:p>
    <w:p w14:paraId="285F7A9E">
      <w:pPr>
        <w:spacing w:line="640" w:lineRule="exact"/>
        <w:ind w:firstLine="640"/>
        <w:jc w:val="both"/>
        <w:outlineLvl w:val="3"/>
      </w:pPr>
      <w:r>
        <w:rPr>
          <w:rFonts w:ascii="楷体_GB2312" w:hAnsi="楷体_GB2312" w:eastAsia="楷体_GB2312"/>
          <w:b/>
          <w:sz w:val="32"/>
        </w:rPr>
        <w:t>（二）政府采购情况</w:t>
      </w:r>
    </w:p>
    <w:p w14:paraId="34036C0E">
      <w:pPr>
        <w:spacing w:line="580" w:lineRule="exact"/>
        <w:ind w:firstLine="640"/>
        <w:jc w:val="both"/>
      </w:pPr>
      <w:r>
        <w:rPr>
          <w:rFonts w:ascii="仿宋_GB2312" w:hAnsi="仿宋_GB2312" w:eastAsia="仿宋_GB2312"/>
          <w:b w:val="0"/>
          <w:sz w:val="32"/>
        </w:rPr>
        <w:t>2024年度政府采购支出总额194.14万元，其中：政府采购货物支出139.76万元、政府采购工程支出0.00万元、政府采购服务支出54.38万元。</w:t>
      </w:r>
    </w:p>
    <w:p w14:paraId="42AE208E">
      <w:pPr>
        <w:spacing w:line="580" w:lineRule="exact"/>
        <w:ind w:firstLine="640"/>
        <w:jc w:val="both"/>
      </w:pPr>
      <w:r>
        <w:rPr>
          <w:rFonts w:ascii="仿宋_GB2312" w:hAnsi="仿宋_GB2312" w:eastAsia="仿宋_GB2312"/>
          <w:b w:val="0"/>
          <w:sz w:val="32"/>
        </w:rPr>
        <w:t>授予中小企业合同金额194.14万元，占政府采购支出总额的100.00%，其中：授予小微企业合同金额190.82万元，占政府采购支出总额的98.29%。</w:t>
      </w:r>
    </w:p>
    <w:p w14:paraId="2DECCFB1">
      <w:pPr>
        <w:spacing w:line="640" w:lineRule="exact"/>
        <w:ind w:firstLine="640"/>
        <w:jc w:val="both"/>
        <w:outlineLvl w:val="3"/>
      </w:pPr>
      <w:r>
        <w:rPr>
          <w:rFonts w:ascii="楷体_GB2312" w:hAnsi="楷体_GB2312" w:eastAsia="楷体_GB2312"/>
          <w:b/>
          <w:sz w:val="32"/>
        </w:rPr>
        <w:t>（三）国有资产占用情况说明</w:t>
      </w:r>
    </w:p>
    <w:p w14:paraId="755A0FED">
      <w:pPr>
        <w:spacing w:line="580" w:lineRule="exact"/>
        <w:ind w:firstLine="640"/>
        <w:jc w:val="both"/>
      </w:pPr>
      <w:r>
        <w:rPr>
          <w:rFonts w:ascii="仿宋_GB2312" w:hAnsi="仿宋_GB2312" w:eastAsia="仿宋_GB2312"/>
          <w:b w:val="0"/>
          <w:sz w:val="32"/>
        </w:rPr>
        <w:t>截至2024年12月31日，房屋11,137.63平方米，价值2,058.71万元。车辆1辆，价值19.00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A948E8B">
      <w:pPr>
        <w:spacing w:line="640" w:lineRule="exact"/>
        <w:ind w:firstLine="640"/>
        <w:jc w:val="both"/>
        <w:outlineLvl w:val="2"/>
      </w:pPr>
      <w:r>
        <w:rPr>
          <w:rFonts w:ascii="黑体" w:hAnsi="黑体" w:eastAsia="黑体"/>
          <w:sz w:val="32"/>
        </w:rPr>
        <w:t>十一、预算绩效的情况说明</w:t>
      </w:r>
    </w:p>
    <w:p w14:paraId="1BD143A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根据预算绩效管理要求，本部门2024年度预算绩效管理形成整体支出绩效自评表1个，全年预算总额840.82万元，实际执行总额836.56万元；预算绩效评价项目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个，全年预算数2</w:t>
      </w:r>
      <w:r>
        <w:rPr>
          <w:rFonts w:hint="eastAsia" w:ascii="仿宋_GB2312" w:hAnsi="仿宋_GB2312" w:eastAsia="仿宋_GB2312"/>
          <w:b w:val="0"/>
          <w:sz w:val="32"/>
          <w:lang w:val="en-US" w:eastAsia="zh-CN"/>
        </w:rPr>
        <w:t>72</w:t>
      </w:r>
      <w:r>
        <w:rPr>
          <w:rFonts w:ascii="仿宋_GB2312" w:hAnsi="仿宋_GB2312" w:eastAsia="仿宋_GB2312"/>
          <w:b w:val="0"/>
          <w:sz w:val="32"/>
        </w:rPr>
        <w:t>.85万元，全年执行数2</w:t>
      </w:r>
      <w:r>
        <w:rPr>
          <w:rFonts w:hint="eastAsia" w:ascii="仿宋_GB2312" w:hAnsi="仿宋_GB2312" w:eastAsia="仿宋_GB2312"/>
          <w:b w:val="0"/>
          <w:sz w:val="32"/>
          <w:lang w:val="en-US" w:eastAsia="zh-CN"/>
        </w:rPr>
        <w:t>72</w:t>
      </w:r>
      <w:r>
        <w:rPr>
          <w:rFonts w:ascii="仿宋_GB2312" w:hAnsi="仿宋_GB2312" w:eastAsia="仿宋_GB2312"/>
          <w:b w:val="0"/>
          <w:sz w:val="32"/>
        </w:rPr>
        <w:t>.85万元。预算绩效管理取得的成效：通过实施项目，完善培训阵地建设，工程项目完成验收并全面投入使用，发挥社会效益，使中央预算内投资项目在喀什落地，实施综合教学楼内部配套设施项目，配置教学设施设备，完善了教学培训内部配套设施。认真履行单位业务职能，紧紧围绕总目标，开展党政干部理论培训和统一战线其他领域人才培训班共21期，培训1699人，提高统战系统干部和统一战线各领域人才综合素质和理论水平，为总目标作出应有的贡献。实施2024年为民办实事项目，提高服务能力，巩</w:t>
      </w:r>
      <w:bookmarkStart w:id="0" w:name="_GoBack"/>
      <w:bookmarkEnd w:id="0"/>
      <w:r>
        <w:rPr>
          <w:rFonts w:ascii="仿宋_GB2312" w:hAnsi="仿宋_GB2312" w:eastAsia="仿宋_GB2312"/>
          <w:b w:val="0"/>
          <w:sz w:val="32"/>
        </w:rPr>
        <w:t>固和加强基层党的建设，开展系列惠民活动，改善农民生产生活条件，切实为群众办实事办好事，推动社会发展。发现的问题及原因：一是绩效监管力度不够。单位整体绩效监管跟踪机制不够，虽然落实财务公开制度，每月对财务工作进行一次公示，但监管领导小组在平时对全年预算执行情况监督、分析研究问题不够，绩效管理经验不足，影响整体绩效监管有效推进。二是项目推进措施不到位。由于培训业务严格按照地委工作部署开展，且按照年度培训计划有序</w:t>
      </w:r>
      <w:r>
        <w:rPr>
          <w:rFonts w:hint="eastAsia" w:ascii="仿宋_GB2312" w:hAnsi="仿宋_GB2312" w:eastAsia="仿宋_GB2312"/>
          <w:b w:val="0"/>
          <w:sz w:val="32"/>
          <w:lang w:eastAsia="zh-CN"/>
        </w:rPr>
        <w:t>实施</w:t>
      </w:r>
      <w:r>
        <w:rPr>
          <w:rFonts w:ascii="仿宋_GB2312" w:hAnsi="仿宋_GB2312" w:eastAsia="仿宋_GB2312"/>
          <w:b w:val="0"/>
          <w:sz w:val="32"/>
        </w:rPr>
        <w:t>，虽然全年预算收入充足，培训工作总体执行良好，但是支出计划与培训计划时间差异，推进措施不到位，导致中期监管执行缓慢。下一步改进措施：单位将加强绩效监管工作力度，做好业务培训和实操沟通的同时，继续加强建立经费责任机制，加强资金在使用过程中的绩效</w:t>
      </w:r>
      <w:r>
        <w:rPr>
          <w:rFonts w:hint="eastAsia" w:ascii="仿宋_GB2312" w:hAnsi="仿宋_GB2312" w:eastAsia="仿宋_GB2312"/>
          <w:b w:val="0"/>
          <w:sz w:val="32"/>
          <w:lang w:eastAsia="zh-CN"/>
        </w:rPr>
        <w:t>监督管理</w:t>
      </w:r>
      <w:r>
        <w:rPr>
          <w:rFonts w:ascii="仿宋_GB2312" w:hAnsi="仿宋_GB2312" w:eastAsia="仿宋_GB2312"/>
          <w:b w:val="0"/>
          <w:sz w:val="32"/>
        </w:rPr>
        <w:t>及执行，保证绩效目标实施。对绩效目标进行分解及监督，对绩效可能存在的问题及时纠偏、调整，同时建立健全内部控制制度，以保证绩效目标的完整执行、全面实施。进一步提高绩效管理水平，严格按照自治区2024年度预算绩效管理工作规划和喀什地区全面实施预算绩效管理实效评价工作机制工作要求，对照绩效目标设置评价、绩效</w:t>
      </w:r>
      <w:r>
        <w:rPr>
          <w:rFonts w:hint="eastAsia" w:ascii="仿宋_GB2312" w:hAnsi="仿宋_GB2312" w:eastAsia="仿宋_GB2312"/>
          <w:b w:val="0"/>
          <w:sz w:val="32"/>
          <w:lang w:eastAsia="zh-CN"/>
        </w:rPr>
        <w:t>监督管理</w:t>
      </w:r>
      <w:r>
        <w:rPr>
          <w:rFonts w:ascii="仿宋_GB2312" w:hAnsi="仿宋_GB2312" w:eastAsia="仿宋_GB2312"/>
          <w:b w:val="0"/>
          <w:sz w:val="32"/>
        </w:rPr>
        <w:t>评价、绩效评价管理再评价方面的内容，开展好整体支出及项目资金绩效管理工作,运用好绩效评价的结果,不断提升预算管理水平。具体附部门整体支出绩效自评表，项目支出绩效自评表和部门评价报告。</w:t>
      </w:r>
    </w:p>
    <w:p w14:paraId="2457053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555D3B">
        <w:tblPrEx>
          <w:tblCellMar>
            <w:top w:w="0" w:type="dxa"/>
            <w:left w:w="108" w:type="dxa"/>
            <w:bottom w:w="0" w:type="dxa"/>
            <w:right w:w="108" w:type="dxa"/>
          </w:tblCellMar>
        </w:tblPrEx>
        <w:tc>
          <w:tcPr>
            <w:tcW w:w="8847" w:type="dxa"/>
            <w:gridSpan w:val="9"/>
            <w:vAlign w:val="center"/>
          </w:tcPr>
          <w:p w14:paraId="56A54394">
            <w:pPr>
              <w:jc w:val="center"/>
            </w:pPr>
            <w:r>
              <w:rPr>
                <w:rFonts w:ascii="宋体" w:hAnsi="宋体" w:eastAsia="宋体"/>
                <w:sz w:val="24"/>
              </w:rPr>
              <w:t>部门整体支出绩效自评表</w:t>
            </w:r>
          </w:p>
        </w:tc>
      </w:tr>
      <w:tr w14:paraId="3E1EACEE">
        <w:tblPrEx>
          <w:tblCellMar>
            <w:top w:w="0" w:type="dxa"/>
            <w:left w:w="108" w:type="dxa"/>
            <w:bottom w:w="0" w:type="dxa"/>
            <w:right w:w="108" w:type="dxa"/>
          </w:tblCellMar>
        </w:tblPrEx>
        <w:tc>
          <w:tcPr>
            <w:tcW w:w="8847" w:type="dxa"/>
            <w:gridSpan w:val="9"/>
            <w:vAlign w:val="center"/>
          </w:tcPr>
          <w:p w14:paraId="4863AEB5">
            <w:pPr>
              <w:jc w:val="center"/>
            </w:pPr>
            <w:r>
              <w:rPr>
                <w:rFonts w:ascii="宋体" w:hAnsi="宋体" w:eastAsia="宋体"/>
                <w:sz w:val="24"/>
              </w:rPr>
              <w:t>（2024年度）</w:t>
            </w:r>
          </w:p>
        </w:tc>
      </w:tr>
      <w:tr w14:paraId="303B3C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321A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537830">
            <w:pPr>
              <w:jc w:val="center"/>
            </w:pPr>
            <w:r>
              <w:rPr>
                <w:rFonts w:ascii="宋体" w:hAnsi="宋体" w:eastAsia="宋体"/>
                <w:sz w:val="16"/>
              </w:rPr>
              <w:t>喀什地区社会主义学院</w:t>
            </w:r>
          </w:p>
        </w:tc>
      </w:tr>
      <w:tr w14:paraId="6CEECC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E44A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6D9A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0EC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58BE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D04E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4D8B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6E81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D7C4">
            <w:pPr>
              <w:jc w:val="center"/>
            </w:pPr>
            <w:r>
              <w:rPr>
                <w:rFonts w:ascii="宋体" w:hAnsi="宋体" w:eastAsia="宋体"/>
                <w:sz w:val="16"/>
              </w:rPr>
              <w:t>得分</w:t>
            </w:r>
          </w:p>
        </w:tc>
      </w:tr>
      <w:tr w14:paraId="6BCFBA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AAC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769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F7031">
            <w:pPr>
              <w:jc w:val="center"/>
            </w:pPr>
            <w:r>
              <w:rPr>
                <w:rFonts w:ascii="宋体" w:hAnsi="宋体" w:eastAsia="宋体"/>
                <w:sz w:val="16"/>
              </w:rPr>
              <w:t>798.24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BD261">
            <w:pPr>
              <w:jc w:val="center"/>
            </w:pPr>
            <w:r>
              <w:rPr>
                <w:rFonts w:ascii="宋体" w:hAnsi="宋体" w:eastAsia="宋体"/>
                <w:sz w:val="16"/>
              </w:rPr>
              <w:t>840.82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C5590">
            <w:pPr>
              <w:jc w:val="center"/>
            </w:pPr>
            <w:r>
              <w:rPr>
                <w:rFonts w:ascii="宋体" w:hAnsi="宋体" w:eastAsia="宋体"/>
                <w:sz w:val="16"/>
              </w:rPr>
              <w:t>836.56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3B2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B1BE6">
            <w:pPr>
              <w:jc w:val="center"/>
            </w:pPr>
            <w:r>
              <w:rPr>
                <w:rFonts w:ascii="宋体" w:hAnsi="宋体" w:eastAsia="宋体"/>
                <w:sz w:val="16"/>
              </w:rPr>
              <w:t>99.49%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3870">
            <w:pPr>
              <w:jc w:val="center"/>
            </w:pPr>
            <w:r>
              <w:rPr>
                <w:rFonts w:ascii="宋体" w:hAnsi="宋体" w:eastAsia="宋体"/>
                <w:sz w:val="16"/>
              </w:rPr>
              <w:t>9.95</w:t>
            </w:r>
          </w:p>
        </w:tc>
      </w:tr>
      <w:tr w14:paraId="42EB96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D85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D34C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5F9F2">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59DF">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DD480">
            <w:pPr>
              <w:jc w:val="center"/>
            </w:pPr>
            <w:r>
              <w:rPr>
                <w:rFonts w:ascii="宋体" w:hAnsi="宋体" w:eastAsia="宋体"/>
                <w:sz w:val="16"/>
              </w:rPr>
              <w:t>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E5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08ED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0473">
            <w:pPr>
              <w:jc w:val="center"/>
            </w:pPr>
            <w:r>
              <w:rPr>
                <w:rFonts w:ascii="宋体" w:hAnsi="宋体" w:eastAsia="宋体"/>
                <w:sz w:val="16"/>
              </w:rPr>
              <w:t>—</w:t>
            </w:r>
          </w:p>
        </w:tc>
      </w:tr>
      <w:tr w14:paraId="41BE19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4B2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94A6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86DC4">
            <w:pPr>
              <w:jc w:val="center"/>
            </w:pPr>
            <w:r>
              <w:rPr>
                <w:rFonts w:ascii="宋体" w:hAnsi="宋体" w:eastAsia="宋体"/>
                <w:sz w:val="16"/>
              </w:rPr>
              <w:t>797.01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92186">
            <w:pPr>
              <w:jc w:val="center"/>
            </w:pPr>
            <w:r>
              <w:rPr>
                <w:rFonts w:ascii="宋体" w:hAnsi="宋体" w:eastAsia="宋体"/>
                <w:sz w:val="16"/>
              </w:rPr>
              <w:t>839.59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078D0">
            <w:pPr>
              <w:jc w:val="center"/>
            </w:pPr>
            <w:r>
              <w:rPr>
                <w:rFonts w:ascii="宋体" w:hAnsi="宋体" w:eastAsia="宋体"/>
                <w:sz w:val="16"/>
              </w:rPr>
              <w:t>835.33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851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62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AD11">
            <w:pPr>
              <w:jc w:val="center"/>
            </w:pPr>
            <w:r>
              <w:rPr>
                <w:rFonts w:ascii="宋体" w:hAnsi="宋体" w:eastAsia="宋体"/>
                <w:sz w:val="16"/>
              </w:rPr>
              <w:t>—</w:t>
            </w:r>
          </w:p>
        </w:tc>
      </w:tr>
      <w:tr w14:paraId="2E124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8AF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8799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A3E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E4B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518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2F0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2B6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24D78">
            <w:pPr>
              <w:jc w:val="center"/>
            </w:pPr>
            <w:r>
              <w:rPr>
                <w:rFonts w:ascii="宋体" w:hAnsi="宋体" w:eastAsia="宋体"/>
                <w:sz w:val="16"/>
              </w:rPr>
              <w:t>—</w:t>
            </w:r>
          </w:p>
        </w:tc>
      </w:tr>
      <w:tr w14:paraId="258A74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C229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2F06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A737C3">
            <w:pPr>
              <w:jc w:val="center"/>
            </w:pPr>
            <w:r>
              <w:rPr>
                <w:rFonts w:ascii="宋体" w:hAnsi="宋体" w:eastAsia="宋体"/>
                <w:sz w:val="16"/>
              </w:rPr>
              <w:t>实际完成情况</w:t>
            </w:r>
          </w:p>
        </w:tc>
      </w:tr>
      <w:tr w14:paraId="4A0657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77F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581BBD">
            <w:pPr>
              <w:jc w:val="both"/>
            </w:pPr>
            <w:r>
              <w:rPr>
                <w:rFonts w:hint="eastAsia" w:ascii="宋体" w:hAnsi="宋体"/>
                <w:sz w:val="16"/>
                <w:lang w:eastAsia="zh-CN"/>
              </w:rPr>
              <w:t>坚持以习近平新时代中国特色社会</w:t>
            </w:r>
            <w:r>
              <w:rPr>
                <w:rFonts w:ascii="宋体" w:hAnsi="宋体" w:eastAsia="宋体"/>
                <w:sz w:val="16"/>
              </w:rPr>
              <w:t>主义思想为指导，贯彻落实党的二十大精神，按照社会主义学院是“政治学院、联合党校、统一战线人才教育培养主阵地、统一战线重要工作部门、干部教育培训体系重要组成部分”的定位，紧紧围绕新疆工作总目标，结合新疆尤其是南疆喀什统战工作的实际，2024年度计划举办各类</w:t>
            </w:r>
            <w:r>
              <w:rPr>
                <w:rFonts w:hint="eastAsia" w:ascii="宋体" w:hAnsi="宋体"/>
                <w:sz w:val="16"/>
                <w:lang w:eastAsia="zh-CN"/>
              </w:rPr>
              <w:t>培训</w:t>
            </w:r>
            <w:r>
              <w:rPr>
                <w:rFonts w:ascii="宋体" w:hAnsi="宋体" w:eastAsia="宋体"/>
                <w:sz w:val="16"/>
              </w:rPr>
              <w:t>21期，培训1598人。通过培训，使全地区统战干部熟悉党的统战理论和方针政策以及法律法规，掌握统战工作方式方法，进一步提高政治理论水平和专业素质能力,切实增强做好新时代统战工作的责任感和使命感；使统一战线各领域代表人士切实提高政治站位，坚持用习近平新时代中国特色社会主义思想凝心铸魂，筑牢共同思想政治基础，坚定政治方向，为建设美好喀什、推动喀什高质量发展贡献力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F1A24">
            <w:pPr>
              <w:jc w:val="both"/>
            </w:pPr>
            <w:r>
              <w:rPr>
                <w:rFonts w:ascii="宋体" w:hAnsi="宋体" w:eastAsia="宋体"/>
                <w:sz w:val="16"/>
              </w:rPr>
              <w:t>2024年，学院紧紧围绕党的中心工作任务和新时代统战工作历史方位，紧扣喀什统战领域面临的形势特点，持续优化教学布局，创新培训方式，提高培训质量。全年培训20期1699人，超额完成学院年度计划培训任务。突出政治共识教育，优化教学布局。按照以政治共识教育为核心、以文化认同教育为基础、以能力素质培养为重点的教学布局，不断优化课程设置,引导各领域人才用好政策叠加优势，在推动经济高质量发展上形成共识。创新方式方法，实现“三个转变”强化“两支队伍”建设，充分发挥学院在加强统战干部队伍建设和党外代表人士队伍建设中教育培训的优势，充分发挥学院“一根头发带动一把头发”、“组织起来”的桥梁纽带作用。（3）强化师资队伍建设，提升教学质量。深入调查研究，不断提高科研教学质量和建言资政能力。（4）强化教学服务保障，提升办学治院水平。软硬件设施明显改善，智慧学院建设迈出新步伐；</w:t>
            </w:r>
          </w:p>
        </w:tc>
      </w:tr>
      <w:tr w14:paraId="2547A8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7D17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C40B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C0B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43E3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40DD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AE5E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61DB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5001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6DCF7">
            <w:pPr>
              <w:jc w:val="center"/>
            </w:pPr>
            <w:r>
              <w:rPr>
                <w:rFonts w:ascii="宋体" w:hAnsi="宋体" w:eastAsia="宋体"/>
                <w:sz w:val="16"/>
              </w:rPr>
              <w:t>得分</w:t>
            </w:r>
          </w:p>
        </w:tc>
      </w:tr>
      <w:tr w14:paraId="46B18B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20E7">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8426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5FD73">
            <w:pPr>
              <w:jc w:val="center"/>
            </w:pPr>
            <w:r>
              <w:rPr>
                <w:rFonts w:ascii="宋体" w:hAnsi="宋体" w:eastAsia="宋体"/>
                <w:sz w:val="16"/>
              </w:rPr>
              <w:t>培训按期完成率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F4FE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C051">
            <w:pPr>
              <w:jc w:val="center"/>
            </w:pPr>
            <w:r>
              <w:rPr>
                <w:rFonts w:ascii="宋体" w:hAnsi="宋体" w:eastAsia="宋体"/>
                <w:sz w:val="16"/>
              </w:rPr>
              <w:t>社会主义学院工作条例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130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79BA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CBE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14BF">
            <w:pPr>
              <w:jc w:val="center"/>
            </w:pPr>
            <w:r>
              <w:rPr>
                <w:rFonts w:ascii="宋体" w:hAnsi="宋体" w:eastAsia="宋体"/>
                <w:sz w:val="16"/>
              </w:rPr>
              <w:t>20</w:t>
            </w:r>
          </w:p>
        </w:tc>
      </w:tr>
      <w:tr w14:paraId="52405C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427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3155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E377E">
            <w:pPr>
              <w:jc w:val="center"/>
            </w:pPr>
            <w:r>
              <w:rPr>
                <w:rFonts w:ascii="宋体" w:hAnsi="宋体" w:eastAsia="宋体"/>
                <w:sz w:val="16"/>
              </w:rPr>
              <w:t>各类培训班期数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5A3B">
            <w:pPr>
              <w:jc w:val="center"/>
            </w:pPr>
            <w:r>
              <w:rPr>
                <w:rFonts w:ascii="宋体" w:hAnsi="宋体" w:eastAsia="宋体"/>
                <w:sz w:val="16"/>
              </w:rPr>
              <w:t>=21期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2A0D">
            <w:pPr>
              <w:jc w:val="center"/>
            </w:pPr>
            <w:r>
              <w:rPr>
                <w:rFonts w:ascii="宋体" w:hAnsi="宋体" w:eastAsia="宋体"/>
                <w:sz w:val="16"/>
              </w:rPr>
              <w:t>地区社会主义学院2024年培训计划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E59D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FA9F1">
            <w:pPr>
              <w:jc w:val="center"/>
            </w:pPr>
            <w:r>
              <w:rPr>
                <w:rFonts w:ascii="宋体" w:hAnsi="宋体" w:eastAsia="宋体"/>
                <w:sz w:val="16"/>
              </w:rPr>
              <w:t>20期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0D577">
            <w:pPr>
              <w:jc w:val="center"/>
            </w:pPr>
            <w:r>
              <w:rPr>
                <w:rFonts w:ascii="宋体" w:hAnsi="宋体" w:eastAsia="宋体"/>
                <w:sz w:val="16"/>
              </w:rPr>
              <w:t>95.23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887E9">
            <w:pPr>
              <w:jc w:val="center"/>
            </w:pPr>
            <w:r>
              <w:rPr>
                <w:rFonts w:ascii="宋体" w:hAnsi="宋体" w:eastAsia="宋体"/>
                <w:sz w:val="16"/>
              </w:rPr>
              <w:t>19.05</w:t>
            </w:r>
          </w:p>
        </w:tc>
      </w:tr>
      <w:tr w14:paraId="20792D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D86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EA2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C1D64">
            <w:pPr>
              <w:jc w:val="center"/>
            </w:pPr>
            <w:r>
              <w:rPr>
                <w:rFonts w:ascii="宋体" w:hAnsi="宋体" w:eastAsia="宋体"/>
                <w:sz w:val="16"/>
              </w:rPr>
              <w:t>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EEBBC">
            <w:pPr>
              <w:jc w:val="center"/>
            </w:pPr>
            <w:r>
              <w:rPr>
                <w:rFonts w:ascii="宋体" w:hAnsi="宋体" w:eastAsia="宋体"/>
                <w:sz w:val="16"/>
              </w:rPr>
              <w:t>&gt;=1598人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36BDD">
            <w:pPr>
              <w:jc w:val="center"/>
            </w:pPr>
            <w:r>
              <w:rPr>
                <w:rFonts w:ascii="宋体" w:hAnsi="宋体" w:eastAsia="宋体"/>
                <w:sz w:val="16"/>
              </w:rPr>
              <w:t>地区社会主义学院2024年培训计划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780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30937">
            <w:pPr>
              <w:jc w:val="center"/>
            </w:pPr>
            <w:r>
              <w:rPr>
                <w:rFonts w:ascii="宋体" w:hAnsi="宋体" w:eastAsia="宋体"/>
                <w:sz w:val="16"/>
              </w:rPr>
              <w:t>1699人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A38DA">
            <w:pPr>
              <w:jc w:val="center"/>
            </w:pPr>
            <w:r>
              <w:rPr>
                <w:rFonts w:ascii="宋体" w:hAnsi="宋体" w:eastAsia="宋体"/>
                <w:sz w:val="16"/>
              </w:rPr>
              <w:t>103.32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E0B1E">
            <w:pPr>
              <w:jc w:val="center"/>
            </w:pPr>
            <w:r>
              <w:rPr>
                <w:rFonts w:ascii="宋体" w:hAnsi="宋体" w:eastAsia="宋体"/>
                <w:sz w:val="16"/>
              </w:rPr>
              <w:t>20</w:t>
            </w:r>
          </w:p>
        </w:tc>
      </w:tr>
      <w:tr w14:paraId="483BA4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B15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3F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04F87">
            <w:pPr>
              <w:jc w:val="center"/>
            </w:pPr>
            <w:r>
              <w:rPr>
                <w:rFonts w:ascii="宋体" w:hAnsi="宋体" w:eastAsia="宋体"/>
                <w:sz w:val="16"/>
              </w:rPr>
              <w:t>调研个数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F1163">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33171">
            <w:pPr>
              <w:jc w:val="center"/>
            </w:pPr>
            <w:r>
              <w:rPr>
                <w:rFonts w:ascii="宋体" w:hAnsi="宋体" w:eastAsia="宋体"/>
                <w:sz w:val="16"/>
              </w:rPr>
              <w:t>社会主义学院工作条例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C81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6D038">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73587">
            <w:pPr>
              <w:jc w:val="center"/>
            </w:pPr>
            <w:r>
              <w:rPr>
                <w:rFonts w:ascii="宋体" w:hAnsi="宋体" w:eastAsia="宋体"/>
                <w:sz w:val="16"/>
              </w:rPr>
              <w:t>133.33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C22D0">
            <w:pPr>
              <w:jc w:val="center"/>
            </w:pPr>
            <w:r>
              <w:rPr>
                <w:rFonts w:ascii="宋体" w:hAnsi="宋体" w:eastAsia="宋体"/>
                <w:sz w:val="16"/>
              </w:rPr>
              <w:t>10</w:t>
            </w:r>
          </w:p>
        </w:tc>
      </w:tr>
      <w:tr w14:paraId="7CA32F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496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C67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4B5F7">
            <w:pPr>
              <w:jc w:val="center"/>
            </w:pPr>
            <w:r>
              <w:rPr>
                <w:rFonts w:ascii="宋体" w:hAnsi="宋体" w:eastAsia="宋体"/>
                <w:sz w:val="16"/>
              </w:rPr>
              <w:t>培训对象类别</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50B2">
            <w:pPr>
              <w:jc w:val="center"/>
            </w:pPr>
            <w:r>
              <w:rPr>
                <w:rFonts w:ascii="宋体" w:hAnsi="宋体" w:eastAsia="宋体"/>
                <w:sz w:val="16"/>
              </w:rPr>
              <w:t>&gt;=9类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EF7C0">
            <w:pPr>
              <w:jc w:val="center"/>
            </w:pPr>
            <w:r>
              <w:rPr>
                <w:rFonts w:ascii="宋体" w:hAnsi="宋体" w:eastAsia="宋体"/>
                <w:sz w:val="16"/>
              </w:rPr>
              <w:t>地区社会主义学院2024年培训计划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A0A2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24B04">
            <w:pPr>
              <w:jc w:val="center"/>
            </w:pPr>
            <w:r>
              <w:rPr>
                <w:rFonts w:ascii="宋体" w:hAnsi="宋体" w:eastAsia="宋体"/>
                <w:sz w:val="16"/>
              </w:rPr>
              <w:t>9类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4C4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ABBD8">
            <w:pPr>
              <w:jc w:val="center"/>
            </w:pPr>
            <w:r>
              <w:rPr>
                <w:rFonts w:ascii="宋体" w:hAnsi="宋体" w:eastAsia="宋体"/>
                <w:sz w:val="16"/>
              </w:rPr>
              <w:t>20</w:t>
            </w:r>
          </w:p>
        </w:tc>
      </w:tr>
    </w:tbl>
    <w:p w14:paraId="703567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153C5A">
        <w:tblPrEx>
          <w:tblCellMar>
            <w:top w:w="0" w:type="dxa"/>
            <w:left w:w="108" w:type="dxa"/>
            <w:bottom w:w="0" w:type="dxa"/>
            <w:right w:w="108" w:type="dxa"/>
          </w:tblCellMar>
        </w:tblPrEx>
        <w:tc>
          <w:tcPr>
            <w:tcW w:w="8848" w:type="dxa"/>
            <w:gridSpan w:val="14"/>
            <w:vAlign w:val="center"/>
          </w:tcPr>
          <w:p w14:paraId="25AFA8D8">
            <w:pPr>
              <w:jc w:val="center"/>
            </w:pPr>
            <w:r>
              <w:rPr>
                <w:rFonts w:ascii="宋体" w:hAnsi="宋体" w:eastAsia="宋体"/>
                <w:sz w:val="24"/>
              </w:rPr>
              <w:t>项目支出绩效自评表</w:t>
            </w:r>
          </w:p>
        </w:tc>
      </w:tr>
      <w:tr w14:paraId="0B504129">
        <w:tblPrEx>
          <w:tblCellMar>
            <w:top w:w="0" w:type="dxa"/>
            <w:left w:w="108" w:type="dxa"/>
            <w:bottom w:w="0" w:type="dxa"/>
            <w:right w:w="108" w:type="dxa"/>
          </w:tblCellMar>
        </w:tblPrEx>
        <w:tc>
          <w:tcPr>
            <w:tcW w:w="8848" w:type="dxa"/>
            <w:gridSpan w:val="14"/>
            <w:vAlign w:val="center"/>
          </w:tcPr>
          <w:p w14:paraId="5046AD8D">
            <w:pPr>
              <w:jc w:val="center"/>
            </w:pPr>
            <w:r>
              <w:rPr>
                <w:rFonts w:ascii="宋体" w:hAnsi="宋体" w:eastAsia="宋体"/>
                <w:sz w:val="24"/>
              </w:rPr>
              <w:t>(2024年度)</w:t>
            </w:r>
          </w:p>
        </w:tc>
      </w:tr>
      <w:tr w14:paraId="7EF94D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80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31EE74">
            <w:pPr>
              <w:jc w:val="center"/>
            </w:pPr>
            <w:r>
              <w:rPr>
                <w:rFonts w:ascii="宋体" w:hAnsi="宋体" w:eastAsia="宋体"/>
                <w:sz w:val="16"/>
              </w:rPr>
              <w:t>喀什地区社会主义学院综合教学楼质保金项目</w:t>
            </w:r>
          </w:p>
        </w:tc>
      </w:tr>
      <w:tr w14:paraId="3DED1F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21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BFBBA2">
            <w:pPr>
              <w:jc w:val="center"/>
            </w:pPr>
            <w:r>
              <w:rPr>
                <w:rFonts w:ascii="宋体" w:hAnsi="宋体" w:eastAsia="宋体"/>
                <w:sz w:val="16"/>
              </w:rPr>
              <w:t>喀什地委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ED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256325">
            <w:pPr>
              <w:jc w:val="center"/>
            </w:pPr>
            <w:r>
              <w:rPr>
                <w:rFonts w:ascii="宋体" w:hAnsi="宋体" w:eastAsia="宋体"/>
                <w:sz w:val="16"/>
              </w:rPr>
              <w:t>喀什地区社会主义学院</w:t>
            </w:r>
          </w:p>
        </w:tc>
      </w:tr>
      <w:tr w14:paraId="4459E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0BE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3D0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B2D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3C9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CD8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7E3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B33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62AD">
            <w:pPr>
              <w:jc w:val="center"/>
            </w:pPr>
            <w:r>
              <w:rPr>
                <w:rFonts w:ascii="宋体" w:hAnsi="宋体" w:eastAsia="宋体"/>
                <w:sz w:val="16"/>
              </w:rPr>
              <w:t>得分</w:t>
            </w:r>
          </w:p>
        </w:tc>
      </w:tr>
      <w:tr w14:paraId="58E3D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3A9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CD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75522">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7B8DD">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E0B6">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6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02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1A05">
            <w:pPr>
              <w:jc w:val="center"/>
            </w:pPr>
            <w:r>
              <w:rPr>
                <w:rFonts w:ascii="宋体" w:hAnsi="宋体" w:eastAsia="宋体"/>
                <w:sz w:val="16"/>
              </w:rPr>
              <w:t>10.00分</w:t>
            </w:r>
          </w:p>
        </w:tc>
      </w:tr>
      <w:tr w14:paraId="30549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44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D68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5EE7">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2683">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9310F">
            <w:pPr>
              <w:jc w:val="center"/>
            </w:pPr>
            <w:r>
              <w:rPr>
                <w:rFonts w:ascii="宋体" w:hAnsi="宋体" w:eastAsia="宋体"/>
                <w:sz w:val="16"/>
              </w:rPr>
              <w:t>52.01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87E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F1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37F8">
            <w:pPr>
              <w:jc w:val="center"/>
            </w:pPr>
            <w:r>
              <w:rPr>
                <w:rFonts w:ascii="宋体" w:hAnsi="宋体" w:eastAsia="宋体"/>
                <w:sz w:val="16"/>
              </w:rPr>
              <w:t>—</w:t>
            </w:r>
          </w:p>
        </w:tc>
      </w:tr>
      <w:tr w14:paraId="5E971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7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727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5A2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AF9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7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B9C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A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41FE">
            <w:pPr>
              <w:jc w:val="center"/>
            </w:pPr>
            <w:r>
              <w:rPr>
                <w:rFonts w:ascii="宋体" w:hAnsi="宋体" w:eastAsia="宋体"/>
                <w:sz w:val="16"/>
              </w:rPr>
              <w:t>—</w:t>
            </w:r>
          </w:p>
        </w:tc>
      </w:tr>
      <w:tr w14:paraId="79F287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0A9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2D8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71CB2">
            <w:pPr>
              <w:jc w:val="center"/>
            </w:pPr>
            <w:r>
              <w:rPr>
                <w:rFonts w:ascii="宋体" w:hAnsi="宋体" w:eastAsia="宋体"/>
                <w:sz w:val="16"/>
              </w:rPr>
              <w:t>实际完成情况</w:t>
            </w:r>
          </w:p>
        </w:tc>
      </w:tr>
      <w:tr w14:paraId="60981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258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DD822F">
            <w:pPr>
              <w:jc w:val="both"/>
            </w:pPr>
            <w:r>
              <w:rPr>
                <w:rFonts w:ascii="宋体" w:hAnsi="宋体" w:eastAsia="宋体"/>
                <w:sz w:val="16"/>
              </w:rPr>
              <w:t>喀什地区社会主义学院综合教学楼质保金项目支持数量1个，综合教学楼项目竣工验收责任缺陷期满后支付施工单位520059.03元质量保证金，完成项目全面投入使用，为教学培训工作提供强力支撑，使中央预算内投资项目在喀什全面落实落地，发挥更大的社会效益</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ED8887">
            <w:pPr>
              <w:jc w:val="both"/>
            </w:pPr>
            <w:r>
              <w:rPr>
                <w:rFonts w:ascii="宋体" w:hAnsi="宋体" w:eastAsia="宋体"/>
                <w:sz w:val="16"/>
              </w:rPr>
              <w:t>喀什地区社会主义学院综合教学楼项目责任缺陷期于2024年8月到期，施工单位江西国新建筑有限公司履行好缺陷责任期间的质量维修责任，已完成我方提出的相关质量维修责任，经党组研究同意后，支付工程质量质保金52.01万元，完成项目实施，不断提升学院培训职能，促使中央项目全面落实落地，发挥更大地社会效益。</w:t>
            </w:r>
          </w:p>
        </w:tc>
      </w:tr>
      <w:tr w14:paraId="3FCA92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963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61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2B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CD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DD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7C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AC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AA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7F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1F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99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A86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C75BA">
            <w:pPr>
              <w:jc w:val="center"/>
            </w:pPr>
            <w:r>
              <w:rPr>
                <w:rFonts w:ascii="宋体" w:hAnsi="宋体" w:eastAsia="宋体"/>
                <w:sz w:val="16"/>
              </w:rPr>
              <w:t>偏差原因分析及改进措施</w:t>
            </w:r>
          </w:p>
        </w:tc>
      </w:tr>
      <w:tr w14:paraId="361912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477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524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39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FD967">
            <w:pPr>
              <w:jc w:val="center"/>
            </w:pPr>
            <w:r>
              <w:rPr>
                <w:rFonts w:ascii="宋体" w:hAnsi="宋体" w:eastAsia="宋体"/>
                <w:sz w:val="16"/>
              </w:rPr>
              <w:t>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30A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50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CE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2E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41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AA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87C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E0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7A95">
            <w:pPr>
              <w:jc w:val="center"/>
            </w:pPr>
          </w:p>
        </w:tc>
      </w:tr>
      <w:tr w14:paraId="38D3B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8F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0C3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CE5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B75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87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6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4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97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24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45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8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1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A015">
            <w:pPr>
              <w:jc w:val="center"/>
            </w:pPr>
          </w:p>
        </w:tc>
      </w:tr>
      <w:tr w14:paraId="1A359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0B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64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1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F7EE">
            <w:pPr>
              <w:jc w:val="center"/>
            </w:pPr>
            <w:r>
              <w:rPr>
                <w:rFonts w:ascii="宋体" w:hAnsi="宋体" w:eastAsia="宋体"/>
                <w:sz w:val="16"/>
              </w:rPr>
              <w:t>日常巡查维护及时率（%）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46B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8C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9B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FB8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47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2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837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8C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8A3D">
            <w:pPr>
              <w:jc w:val="center"/>
            </w:pPr>
            <w:r>
              <w:rPr>
                <w:rFonts w:ascii="宋体" w:hAnsi="宋体" w:eastAsia="宋体"/>
                <w:sz w:val="16"/>
              </w:rPr>
              <w:t>施工单位履行好缺陷责任期间的日常巡查维护责任，在规定时间内完成工程质量相关维修整改工作。</w:t>
            </w:r>
          </w:p>
        </w:tc>
      </w:tr>
      <w:tr w14:paraId="3B65B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A9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AA5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E70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8A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0199">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4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80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C3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0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FCB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5561">
            <w:pPr>
              <w:jc w:val="center"/>
            </w:pPr>
            <w:r>
              <w:rPr>
                <w:rFonts w:ascii="宋体" w:hAnsi="宋体" w:eastAsia="宋体"/>
                <w:sz w:val="16"/>
              </w:rPr>
              <w:t>2024年8月22日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3E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727BC">
            <w:pPr>
              <w:jc w:val="center"/>
            </w:pPr>
          </w:p>
        </w:tc>
      </w:tr>
      <w:tr w14:paraId="0B624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55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D8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C0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2E1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F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CB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D1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D1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2C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7F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E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6E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9594">
            <w:pPr>
              <w:jc w:val="center"/>
            </w:pPr>
          </w:p>
        </w:tc>
      </w:tr>
      <w:tr w14:paraId="0D6B3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B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5C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3E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E70C">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98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0D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4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440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1E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BD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5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FCD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3637">
            <w:pPr>
              <w:jc w:val="center"/>
            </w:pPr>
          </w:p>
        </w:tc>
      </w:tr>
      <w:tr w14:paraId="5FDF0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5E8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7C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33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1BC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3FE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0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3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30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98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79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2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84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42472">
            <w:pPr>
              <w:jc w:val="center"/>
            </w:pPr>
            <w:r>
              <w:rPr>
                <w:rFonts w:ascii="宋体" w:hAnsi="宋体" w:eastAsia="宋体"/>
                <w:sz w:val="16"/>
              </w:rPr>
              <w:t>新建综合教学楼项目全面投入使用，工作人员满意度不断提高。</w:t>
            </w:r>
          </w:p>
        </w:tc>
      </w:tr>
      <w:tr w14:paraId="761A2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F30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DC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93C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D7C018">
            <w:pPr>
              <w:jc w:val="center"/>
            </w:pPr>
            <w:r>
              <w:rPr>
                <w:rFonts w:ascii="宋体" w:hAnsi="宋体" w:eastAsia="宋体"/>
                <w:sz w:val="16"/>
              </w:rPr>
              <w:t>100分</w:t>
            </w:r>
          </w:p>
        </w:tc>
      </w:tr>
    </w:tbl>
    <w:p w14:paraId="14CA16B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6"/>
        <w:gridCol w:w="626"/>
        <w:gridCol w:w="626"/>
        <w:gridCol w:w="776"/>
        <w:gridCol w:w="632"/>
        <w:gridCol w:w="618"/>
        <w:gridCol w:w="632"/>
      </w:tblGrid>
      <w:tr w14:paraId="5951216E">
        <w:tblPrEx>
          <w:tblCellMar>
            <w:top w:w="0" w:type="dxa"/>
            <w:left w:w="108" w:type="dxa"/>
            <w:bottom w:w="0" w:type="dxa"/>
            <w:right w:w="108" w:type="dxa"/>
          </w:tblCellMar>
        </w:tblPrEx>
        <w:tc>
          <w:tcPr>
            <w:tcW w:w="8848" w:type="dxa"/>
            <w:gridSpan w:val="14"/>
            <w:vAlign w:val="center"/>
          </w:tcPr>
          <w:p w14:paraId="169112D0">
            <w:pPr>
              <w:jc w:val="center"/>
            </w:pPr>
            <w:r>
              <w:rPr>
                <w:rFonts w:ascii="宋体" w:hAnsi="宋体" w:eastAsia="宋体"/>
                <w:sz w:val="24"/>
              </w:rPr>
              <w:t>项目支出绩效自评表</w:t>
            </w:r>
          </w:p>
        </w:tc>
      </w:tr>
      <w:tr w14:paraId="49B35584">
        <w:tblPrEx>
          <w:tblCellMar>
            <w:top w:w="0" w:type="dxa"/>
            <w:left w:w="108" w:type="dxa"/>
            <w:bottom w:w="0" w:type="dxa"/>
            <w:right w:w="108" w:type="dxa"/>
          </w:tblCellMar>
        </w:tblPrEx>
        <w:tc>
          <w:tcPr>
            <w:tcW w:w="8848" w:type="dxa"/>
            <w:gridSpan w:val="14"/>
            <w:vAlign w:val="center"/>
          </w:tcPr>
          <w:p w14:paraId="2253265F">
            <w:pPr>
              <w:jc w:val="center"/>
            </w:pPr>
            <w:r>
              <w:rPr>
                <w:rFonts w:ascii="宋体" w:hAnsi="宋体" w:eastAsia="宋体"/>
                <w:sz w:val="24"/>
              </w:rPr>
              <w:t>(2024年度)</w:t>
            </w:r>
          </w:p>
        </w:tc>
      </w:tr>
      <w:tr w14:paraId="4D8685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D2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A68C61">
            <w:pPr>
              <w:jc w:val="center"/>
            </w:pPr>
            <w:r>
              <w:rPr>
                <w:rFonts w:ascii="宋体" w:hAnsi="宋体" w:eastAsia="宋体"/>
                <w:sz w:val="16"/>
              </w:rPr>
              <w:t>统一战线各领域人才培训班保障项目</w:t>
            </w:r>
          </w:p>
        </w:tc>
      </w:tr>
      <w:tr w14:paraId="23EE8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26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D10AB">
            <w:pPr>
              <w:jc w:val="center"/>
            </w:pPr>
            <w:r>
              <w:rPr>
                <w:rFonts w:ascii="宋体" w:hAnsi="宋体" w:eastAsia="宋体"/>
                <w:sz w:val="16"/>
              </w:rPr>
              <w:t>中共喀什地委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1B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1FF036">
            <w:pPr>
              <w:jc w:val="center"/>
            </w:pPr>
            <w:r>
              <w:rPr>
                <w:rFonts w:ascii="宋体" w:hAnsi="宋体" w:eastAsia="宋体"/>
                <w:sz w:val="16"/>
              </w:rPr>
              <w:t>喀什地区社会主义学院</w:t>
            </w:r>
          </w:p>
        </w:tc>
      </w:tr>
      <w:tr w14:paraId="6EF23E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FC5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092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8CC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68D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13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1F1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B3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F67E">
            <w:pPr>
              <w:jc w:val="center"/>
            </w:pPr>
            <w:r>
              <w:rPr>
                <w:rFonts w:ascii="宋体" w:hAnsi="宋体" w:eastAsia="宋体"/>
                <w:sz w:val="16"/>
              </w:rPr>
              <w:t>得分</w:t>
            </w:r>
          </w:p>
        </w:tc>
      </w:tr>
      <w:tr w14:paraId="3F9F8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6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BC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7B38">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F2954">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43036">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0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2EF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E046">
            <w:pPr>
              <w:jc w:val="center"/>
            </w:pPr>
            <w:r>
              <w:rPr>
                <w:rFonts w:ascii="宋体" w:hAnsi="宋体" w:eastAsia="宋体"/>
                <w:sz w:val="16"/>
              </w:rPr>
              <w:t>10.00分</w:t>
            </w:r>
          </w:p>
        </w:tc>
      </w:tr>
      <w:tr w14:paraId="4334C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09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AE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86BEE">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49BEC">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A481">
            <w:pPr>
              <w:jc w:val="center"/>
            </w:pPr>
            <w:r>
              <w:rPr>
                <w:rFonts w:ascii="宋体" w:hAnsi="宋体" w:eastAsia="宋体"/>
                <w:sz w:val="16"/>
              </w:rPr>
              <w:t>127.84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99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4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F84A">
            <w:pPr>
              <w:jc w:val="center"/>
            </w:pPr>
            <w:r>
              <w:rPr>
                <w:rFonts w:ascii="宋体" w:hAnsi="宋体" w:eastAsia="宋体"/>
                <w:sz w:val="16"/>
              </w:rPr>
              <w:t>—</w:t>
            </w:r>
          </w:p>
        </w:tc>
      </w:tr>
      <w:tr w14:paraId="75989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4F8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1F2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2C3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E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332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006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54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4FEA">
            <w:pPr>
              <w:jc w:val="center"/>
            </w:pPr>
            <w:r>
              <w:rPr>
                <w:rFonts w:ascii="宋体" w:hAnsi="宋体" w:eastAsia="宋体"/>
                <w:sz w:val="16"/>
              </w:rPr>
              <w:t>—</w:t>
            </w:r>
          </w:p>
        </w:tc>
      </w:tr>
      <w:tr w14:paraId="2DB35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94C6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410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C59D05">
            <w:pPr>
              <w:jc w:val="center"/>
            </w:pPr>
            <w:r>
              <w:rPr>
                <w:rFonts w:ascii="宋体" w:hAnsi="宋体" w:eastAsia="宋体"/>
                <w:sz w:val="16"/>
              </w:rPr>
              <w:t>实际完成情况</w:t>
            </w:r>
          </w:p>
        </w:tc>
      </w:tr>
      <w:tr w14:paraId="38EE5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911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15865">
            <w:pPr>
              <w:jc w:val="both"/>
            </w:pPr>
            <w:r>
              <w:rPr>
                <w:rFonts w:ascii="宋体" w:hAnsi="宋体" w:eastAsia="宋体"/>
                <w:sz w:val="16"/>
              </w:rPr>
              <w:t>贯彻落实党的二十大精神，按照社会主义学院是“政治学院、联合党校、统一战线人才教育培养主阵地、统一战线重要工作部门、干部教育培训体系重要组成部分”的定位，紧紧围绕新疆工作总目标，结合新疆尤其是南疆喀什统战工作的实际开展培训，全年举办培训班21期1598人。通过培训切实提高政治站位，坚持用习近平新时代中国特色社会主义思想凝心铸魂，筑牢共同思想政治基础，坚定政治方向，为建设美好喀什、推动喀什高质量发展贡献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22D637">
            <w:pPr>
              <w:jc w:val="both"/>
            </w:pPr>
            <w:r>
              <w:rPr>
                <w:rFonts w:hint="eastAsia" w:ascii="宋体" w:hAnsi="宋体"/>
                <w:sz w:val="16"/>
                <w:lang w:eastAsia="zh-CN"/>
              </w:rPr>
              <w:t>坚持以习近平新时代中国特色社会</w:t>
            </w:r>
            <w:r>
              <w:rPr>
                <w:rFonts w:ascii="宋体" w:hAnsi="宋体" w:eastAsia="宋体"/>
                <w:sz w:val="16"/>
              </w:rPr>
              <w:t>主义思想为指导，紧紧围绕贯彻落实党的二十大精神为中心任务，启动2024年党政干部、统战干部、培训工作，2024年举办各类培训班20期，培训1699人，通过培训，使统一战线各领域人才提高政治站位，全面提高政治执行力，进一步增强统战意识、统战能力和统战工作效能，不断夯实共同的思想政治基础。坚持用习近平新时代中国特色社会主义思想凝心铸魂，筑牢共同思想政治基础，坚定政治方向，为建设美好喀什、推动喀什高质量发展贡献力量，推进新时代爱国统一战线自觉把思想和行动统一到党中央和自治区党委决策部署上来，巩固基层基础，为社会稳定和长治久安奠定坚实</w:t>
            </w:r>
            <w:r>
              <w:rPr>
                <w:rFonts w:hint="eastAsia" w:ascii="宋体" w:hAnsi="宋体"/>
                <w:sz w:val="16"/>
                <w:lang w:eastAsia="zh-CN"/>
              </w:rPr>
              <w:t>的</w:t>
            </w:r>
            <w:r>
              <w:rPr>
                <w:rFonts w:ascii="宋体" w:hAnsi="宋体" w:eastAsia="宋体"/>
                <w:sz w:val="16"/>
              </w:rPr>
              <w:t>思想基础和组织基础。</w:t>
            </w:r>
          </w:p>
        </w:tc>
      </w:tr>
      <w:tr w14:paraId="5C7B79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C9D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C0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28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A9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DC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45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04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521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1F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5A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DE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FF6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36FB6">
            <w:pPr>
              <w:jc w:val="center"/>
            </w:pPr>
            <w:r>
              <w:rPr>
                <w:rFonts w:ascii="宋体" w:hAnsi="宋体" w:eastAsia="宋体"/>
                <w:sz w:val="16"/>
              </w:rPr>
              <w:t>偏差原因分析及改进措施</w:t>
            </w:r>
          </w:p>
        </w:tc>
      </w:tr>
      <w:tr w14:paraId="05BB90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A37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E10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C48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D0B1">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CFDD">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D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AB91">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E6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FA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B7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8311">
            <w:pPr>
              <w:jc w:val="center"/>
            </w:pPr>
            <w:r>
              <w:rPr>
                <w:rFonts w:ascii="宋体" w:hAnsi="宋体" w:eastAsia="宋体"/>
                <w:sz w:val="16"/>
              </w:rPr>
              <w: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39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2E8EC">
            <w:pPr>
              <w:jc w:val="center"/>
            </w:pPr>
          </w:p>
        </w:tc>
      </w:tr>
      <w:tr w14:paraId="1BE8A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6C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8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6F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6A9A">
            <w:pPr>
              <w:jc w:val="center"/>
            </w:pPr>
            <w:r>
              <w:rPr>
                <w:rFonts w:ascii="宋体" w:hAnsi="宋体" w:eastAsia="宋体"/>
                <w:sz w:val="16"/>
              </w:rPr>
              <w:t>培训参与人数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D07F">
            <w:pPr>
              <w:jc w:val="center"/>
            </w:pPr>
            <w:r>
              <w:rPr>
                <w:rFonts w:ascii="宋体" w:hAnsi="宋体" w:eastAsia="宋体"/>
                <w:sz w:val="16"/>
              </w:rPr>
              <w:t>&gt;=1598人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B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2BE4">
            <w:pPr>
              <w:jc w:val="center"/>
            </w:pPr>
            <w:r>
              <w:rPr>
                <w:rFonts w:ascii="宋体" w:hAnsi="宋体" w:eastAsia="宋体"/>
                <w:sz w:val="16"/>
              </w:rPr>
              <w:t>1594人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E2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5F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3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298E">
            <w:pPr>
              <w:jc w:val="center"/>
            </w:pPr>
            <w:r>
              <w:rPr>
                <w:rFonts w:ascii="宋体" w:hAnsi="宋体" w:eastAsia="宋体"/>
                <w:sz w:val="16"/>
              </w:rPr>
              <w:t>=1699人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B06A">
            <w:pPr>
              <w:jc w:val="center"/>
            </w:pPr>
            <w:r>
              <w:rPr>
                <w:rFonts w:ascii="宋体" w:hAnsi="宋体" w:eastAsia="宋体"/>
                <w:sz w:val="16"/>
              </w:rPr>
              <w:t>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A889A">
            <w:pPr>
              <w:jc w:val="center"/>
            </w:pPr>
            <w:r>
              <w:rPr>
                <w:rFonts w:ascii="宋体" w:hAnsi="宋体" w:eastAsia="宋体"/>
                <w:sz w:val="16"/>
              </w:rPr>
              <w:t>根据自治区党委统战部文件要求，承担自治区委托培训任务，培训人数有所增加。</w:t>
            </w:r>
          </w:p>
        </w:tc>
      </w:tr>
      <w:tr w14:paraId="30DAE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B0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B0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B1F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7D31">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9A5B">
            <w:pPr>
              <w:jc w:val="center"/>
            </w:pPr>
            <w:r>
              <w:rPr>
                <w:rFonts w:ascii="宋体" w:hAnsi="宋体" w:eastAsia="宋体"/>
                <w:sz w:val="16"/>
              </w:rPr>
              <w:t>&gt;=21期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E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99E4">
            <w:pPr>
              <w:jc w:val="center"/>
            </w:pPr>
            <w:r>
              <w:rPr>
                <w:rFonts w:ascii="宋体" w:hAnsi="宋体" w:eastAsia="宋体"/>
                <w:sz w:val="16"/>
              </w:rPr>
              <w:t>20期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C07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69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C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74A04">
            <w:pPr>
              <w:jc w:val="center"/>
            </w:pPr>
            <w:r>
              <w:rPr>
                <w:rFonts w:ascii="宋体" w:hAnsi="宋体" w:eastAsia="宋体"/>
                <w:sz w:val="16"/>
              </w:rPr>
              <w:t>=20期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0A6C">
            <w:pPr>
              <w:jc w:val="center"/>
            </w:pPr>
            <w:r>
              <w:rPr>
                <w:rFonts w:ascii="宋体" w:hAnsi="宋体" w:eastAsia="宋体"/>
                <w:sz w:val="16"/>
              </w:rPr>
              <w:t>7.05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3F413">
            <w:pPr>
              <w:jc w:val="center"/>
            </w:pPr>
            <w:r>
              <w:rPr>
                <w:rFonts w:ascii="宋体" w:hAnsi="宋体" w:eastAsia="宋体"/>
                <w:sz w:val="16"/>
              </w:rPr>
              <w:t>根据地委培训工作部署和要求，同类别培训班次进行合并，对部分培训班时间进行调整。改进措施：加强组织领导，严肃预算执行，严格按照年初计划实施项目，落实整改措施，及时纠正项目偏离，推进项目进度。</w:t>
            </w:r>
          </w:p>
        </w:tc>
      </w:tr>
      <w:tr w14:paraId="0253A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1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8F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ED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8608">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5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E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C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2D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09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5D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E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3C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7213B">
            <w:pPr>
              <w:jc w:val="center"/>
            </w:pPr>
            <w:r>
              <w:rPr>
                <w:rFonts w:ascii="宋体" w:hAnsi="宋体" w:eastAsia="宋体"/>
                <w:sz w:val="16"/>
              </w:rPr>
              <w:t>根据自治区下达培训任务，承担各县市和克州基层统战干部培训任务，培训覆盖面有所增加。</w:t>
            </w:r>
          </w:p>
        </w:tc>
      </w:tr>
      <w:tr w14:paraId="6C0A9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2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39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22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1B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743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6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0F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37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EB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5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7F7F">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4D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CE1FC">
            <w:pPr>
              <w:jc w:val="center"/>
            </w:pPr>
          </w:p>
        </w:tc>
      </w:tr>
      <w:tr w14:paraId="60D3E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36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7F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14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35AB">
            <w:pPr>
              <w:jc w:val="center"/>
            </w:pPr>
            <w:r>
              <w:rPr>
                <w:rFonts w:ascii="宋体" w:hAnsi="宋体" w:eastAsia="宋体"/>
                <w:sz w:val="16"/>
              </w:rPr>
              <w:t>参加培训人均支出成本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6B3E">
            <w:pPr>
              <w:jc w:val="center"/>
            </w:pPr>
            <w:r>
              <w:rPr>
                <w:rFonts w:ascii="宋体" w:hAnsi="宋体" w:eastAsia="宋体"/>
                <w:sz w:val="16"/>
              </w:rPr>
              <w:t>&lt;=160元/人/天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68A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D9BB">
            <w:pPr>
              <w:jc w:val="center"/>
            </w:pPr>
            <w:r>
              <w:rPr>
                <w:rFonts w:ascii="宋体" w:hAnsi="宋体" w:eastAsia="宋体"/>
                <w:sz w:val="16"/>
              </w:rPr>
              <w:t>116.84元/人/天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D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D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23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265B">
            <w:pPr>
              <w:jc w:val="center"/>
            </w:pPr>
            <w:r>
              <w:rPr>
                <w:rFonts w:ascii="宋体" w:hAnsi="宋体" w:eastAsia="宋体"/>
                <w:sz w:val="16"/>
              </w:rPr>
              <w:t>=150.48元/人/天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586E">
            <w:pPr>
              <w:jc w:val="center"/>
            </w:pPr>
            <w:r>
              <w:rPr>
                <w:rFonts w:ascii="宋体" w:hAnsi="宋体" w:eastAsia="宋体"/>
                <w:sz w:val="16"/>
              </w:rPr>
              <w:t>17.02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888F6">
            <w:pPr>
              <w:jc w:val="center"/>
            </w:pPr>
            <w:r>
              <w:rPr>
                <w:rFonts w:ascii="宋体" w:hAnsi="宋体" w:eastAsia="宋体"/>
                <w:sz w:val="16"/>
              </w:rPr>
              <w:t>政府过紧日子要求，优化支出结构，虽然培训人数增加，但是费用控制在年初预算之内。改进措施：加强组织领导，严格财经纪律，优化支出结构，按照年初计划实施项目，结合业务特点，压缩不必要支出，落实整改措施，提升培训质量和效果。</w:t>
            </w:r>
          </w:p>
        </w:tc>
      </w:tr>
      <w:tr w14:paraId="7BB4F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8D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87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B7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47B4">
            <w:pPr>
              <w:jc w:val="center"/>
            </w:pPr>
            <w:r>
              <w:rPr>
                <w:rFonts w:ascii="宋体" w:hAnsi="宋体" w:eastAsia="宋体"/>
                <w:sz w:val="16"/>
              </w:rPr>
              <w:t>持续提高服务能力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26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B2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EB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31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24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D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C83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60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FC66">
            <w:pPr>
              <w:jc w:val="center"/>
            </w:pPr>
          </w:p>
        </w:tc>
      </w:tr>
      <w:tr w14:paraId="7B273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3F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509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07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6347">
            <w:pPr>
              <w:jc w:val="center"/>
            </w:pPr>
            <w:r>
              <w:rPr>
                <w:rFonts w:ascii="宋体" w:hAnsi="宋体" w:eastAsia="宋体"/>
                <w:sz w:val="16"/>
              </w:rPr>
              <w:t>参训人员满意度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A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5B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3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E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07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B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D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75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2F6B">
            <w:pPr>
              <w:jc w:val="center"/>
            </w:pPr>
          </w:p>
        </w:tc>
      </w:tr>
      <w:tr w14:paraId="32B5B7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400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509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B9C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A3D01">
            <w:pPr>
              <w:jc w:val="center"/>
            </w:pPr>
            <w:r>
              <w:rPr>
                <w:rFonts w:ascii="宋体" w:hAnsi="宋体" w:eastAsia="宋体"/>
                <w:sz w:val="16"/>
              </w:rPr>
              <w:t>87.56分</w:t>
            </w:r>
          </w:p>
        </w:tc>
      </w:tr>
    </w:tbl>
    <w:p w14:paraId="3184F84A">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576"/>
        <w:gridCol w:w="1016"/>
        <w:gridCol w:w="576"/>
        <w:gridCol w:w="776"/>
        <w:gridCol w:w="576"/>
        <w:gridCol w:w="576"/>
        <w:gridCol w:w="576"/>
        <w:gridCol w:w="856"/>
        <w:gridCol w:w="627"/>
        <w:gridCol w:w="513"/>
        <w:gridCol w:w="629"/>
      </w:tblGrid>
      <w:tr w14:paraId="0EDEB79E">
        <w:tblPrEx>
          <w:tblCellMar>
            <w:top w:w="0" w:type="dxa"/>
            <w:left w:w="108" w:type="dxa"/>
            <w:bottom w:w="0" w:type="dxa"/>
            <w:right w:w="108" w:type="dxa"/>
          </w:tblCellMar>
        </w:tblPrEx>
        <w:tc>
          <w:tcPr>
            <w:tcW w:w="8848" w:type="dxa"/>
            <w:gridSpan w:val="14"/>
            <w:vAlign w:val="center"/>
          </w:tcPr>
          <w:p w14:paraId="655F3C0E">
            <w:pPr>
              <w:jc w:val="center"/>
            </w:pPr>
            <w:r>
              <w:rPr>
                <w:rFonts w:ascii="宋体" w:hAnsi="宋体" w:eastAsia="宋体"/>
                <w:sz w:val="24"/>
              </w:rPr>
              <w:t>项目支出绩效自评表</w:t>
            </w:r>
          </w:p>
        </w:tc>
      </w:tr>
      <w:tr w14:paraId="71302313">
        <w:tblPrEx>
          <w:tblCellMar>
            <w:top w:w="0" w:type="dxa"/>
            <w:left w:w="108" w:type="dxa"/>
            <w:bottom w:w="0" w:type="dxa"/>
            <w:right w:w="108" w:type="dxa"/>
          </w:tblCellMar>
        </w:tblPrEx>
        <w:tc>
          <w:tcPr>
            <w:tcW w:w="8848" w:type="dxa"/>
            <w:gridSpan w:val="14"/>
            <w:vAlign w:val="center"/>
          </w:tcPr>
          <w:p w14:paraId="42492090">
            <w:pPr>
              <w:jc w:val="center"/>
            </w:pPr>
            <w:r>
              <w:rPr>
                <w:rFonts w:ascii="宋体" w:hAnsi="宋体" w:eastAsia="宋体"/>
                <w:sz w:val="24"/>
              </w:rPr>
              <w:t>(2024年度)</w:t>
            </w:r>
          </w:p>
        </w:tc>
      </w:tr>
      <w:tr w14:paraId="1F6581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B8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ED6C50">
            <w:pPr>
              <w:jc w:val="center"/>
            </w:pPr>
            <w:r>
              <w:rPr>
                <w:rFonts w:ascii="宋体" w:hAnsi="宋体" w:eastAsia="宋体"/>
                <w:sz w:val="16"/>
              </w:rPr>
              <w:t>综合教学楼内部配套设施项目</w:t>
            </w:r>
          </w:p>
        </w:tc>
      </w:tr>
      <w:tr w14:paraId="2CD2F7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CE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BC838">
            <w:pPr>
              <w:jc w:val="center"/>
            </w:pPr>
            <w:r>
              <w:rPr>
                <w:rFonts w:ascii="宋体" w:hAnsi="宋体" w:eastAsia="宋体"/>
                <w:sz w:val="16"/>
              </w:rPr>
              <w:t>中共喀什地委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17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7DF4A">
            <w:pPr>
              <w:jc w:val="center"/>
            </w:pPr>
            <w:r>
              <w:rPr>
                <w:rFonts w:ascii="宋体" w:hAnsi="宋体" w:eastAsia="宋体"/>
                <w:sz w:val="16"/>
              </w:rPr>
              <w:t>喀什地区社会主义学院</w:t>
            </w:r>
          </w:p>
        </w:tc>
      </w:tr>
      <w:tr w14:paraId="1FDB13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E0E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4BC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641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067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37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0C2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4A0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C96C">
            <w:pPr>
              <w:jc w:val="center"/>
            </w:pPr>
            <w:r>
              <w:rPr>
                <w:rFonts w:ascii="宋体" w:hAnsi="宋体" w:eastAsia="宋体"/>
                <w:sz w:val="16"/>
              </w:rPr>
              <w:t>得分</w:t>
            </w:r>
          </w:p>
        </w:tc>
      </w:tr>
      <w:tr w14:paraId="321DD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3C1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88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373C">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84CC9">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2F6D8">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0C0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ACC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FA94">
            <w:pPr>
              <w:jc w:val="center"/>
            </w:pPr>
            <w:r>
              <w:rPr>
                <w:rFonts w:ascii="宋体" w:hAnsi="宋体" w:eastAsia="宋体"/>
                <w:sz w:val="16"/>
              </w:rPr>
              <w:t>10.00分</w:t>
            </w:r>
          </w:p>
        </w:tc>
      </w:tr>
      <w:tr w14:paraId="1AD65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261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F0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2B159">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12C71">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1D150">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3C5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A3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717B">
            <w:pPr>
              <w:jc w:val="center"/>
            </w:pPr>
            <w:r>
              <w:rPr>
                <w:rFonts w:ascii="宋体" w:hAnsi="宋体" w:eastAsia="宋体"/>
                <w:sz w:val="16"/>
              </w:rPr>
              <w:t>—</w:t>
            </w:r>
          </w:p>
        </w:tc>
      </w:tr>
      <w:tr w14:paraId="53C0C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35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79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C79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F1A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753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C63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D6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AB6D">
            <w:pPr>
              <w:jc w:val="center"/>
            </w:pPr>
            <w:r>
              <w:rPr>
                <w:rFonts w:ascii="宋体" w:hAnsi="宋体" w:eastAsia="宋体"/>
                <w:sz w:val="16"/>
              </w:rPr>
              <w:t>—</w:t>
            </w:r>
          </w:p>
        </w:tc>
      </w:tr>
      <w:tr w14:paraId="6C42D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B35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374F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AE1A72">
            <w:pPr>
              <w:jc w:val="center"/>
            </w:pPr>
            <w:r>
              <w:rPr>
                <w:rFonts w:ascii="宋体" w:hAnsi="宋体" w:eastAsia="宋体"/>
                <w:sz w:val="16"/>
              </w:rPr>
              <w:t>实际完成情况</w:t>
            </w:r>
          </w:p>
        </w:tc>
      </w:tr>
      <w:tr w14:paraId="77CD2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41B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2358F">
            <w:pPr>
              <w:jc w:val="both"/>
            </w:pPr>
            <w:r>
              <w:rPr>
                <w:rFonts w:ascii="宋体" w:hAnsi="宋体" w:eastAsia="宋体"/>
                <w:sz w:val="16"/>
              </w:rPr>
              <w:t>贯彻落实《喀什地区发展改革委关于下达新疆专项2020年第三批中央预算内投资计划的通知》（喀发改投资</w:t>
            </w:r>
            <w:r>
              <w:rPr>
                <w:rFonts w:hint="eastAsia" w:ascii="宋体" w:hAnsi="宋体"/>
                <w:sz w:val="16"/>
                <w:lang w:eastAsia="zh-CN"/>
              </w:rPr>
              <w:t>〔2020〕1131号</w:t>
            </w:r>
            <w:r>
              <w:rPr>
                <w:rFonts w:ascii="宋体" w:hAnsi="宋体" w:eastAsia="宋体"/>
                <w:sz w:val="16"/>
              </w:rPr>
              <w:t>），使中央专项在我区落地生根，完善教学培训硬软环境，提高教学办公条件，进一步提升社会主义学院服务能力，推进社会主义学院工作正规化科学化法治化，发挥更大的社会效应，加强党对社会主义学院工作的领导，进一步巩固和发展新时代爱国统一战线，更好地为新疆社会稳定和长治久安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5DBD17">
            <w:pPr>
              <w:jc w:val="both"/>
            </w:pPr>
            <w:r>
              <w:rPr>
                <w:rFonts w:ascii="宋体" w:hAnsi="宋体" w:eastAsia="宋体"/>
                <w:sz w:val="16"/>
              </w:rPr>
              <w:t xml:space="preserve">地委高度重视社会主义学院工作，在本级财政的大力支持下，按照学院党组2024年4月30日会议精神，启动综合教学楼内部配套设施项目，安排部署综合教学楼47间房间设施配套采购工作，完善教学办公条件，提高服务质量，全面落实地委对培训工作的总体部署，进一步提升社会主义学院服务能力，推进社会主义学院工作正规化科学化法治化，实现中央投资项目落地见效，发挥最大社会效应。 </w:t>
            </w:r>
          </w:p>
        </w:tc>
      </w:tr>
      <w:tr w14:paraId="571D80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F7F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801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A2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C9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7E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0E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3F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02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D6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BA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8A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2F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3EECC">
            <w:pPr>
              <w:jc w:val="center"/>
            </w:pPr>
            <w:r>
              <w:rPr>
                <w:rFonts w:ascii="宋体" w:hAnsi="宋体" w:eastAsia="宋体"/>
                <w:sz w:val="16"/>
              </w:rPr>
              <w:t>偏差原因分析及改进措施</w:t>
            </w:r>
          </w:p>
        </w:tc>
      </w:tr>
      <w:tr w14:paraId="1B7601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5BB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EAA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B2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484D">
            <w:pPr>
              <w:jc w:val="center"/>
            </w:pPr>
            <w:r>
              <w:rPr>
                <w:rFonts w:ascii="宋体" w:hAnsi="宋体" w:eastAsia="宋体"/>
                <w:sz w:val="16"/>
              </w:rPr>
              <w:t>配套设施购置数量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BEAC">
            <w:pPr>
              <w:jc w:val="center"/>
            </w:pPr>
            <w:r>
              <w:rPr>
                <w:rFonts w:ascii="宋体" w:hAnsi="宋体" w:eastAsia="宋体"/>
                <w:sz w:val="16"/>
              </w:rPr>
              <w:t>&gt;=47间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D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20E5">
            <w:pPr>
              <w:jc w:val="center"/>
            </w:pPr>
            <w:r>
              <w:rPr>
                <w:rFonts w:ascii="宋体" w:hAnsi="宋体" w:eastAsia="宋体"/>
                <w:sz w:val="16"/>
              </w:rPr>
              <w:t>70间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02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C6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58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DD8D">
            <w:pPr>
              <w:jc w:val="center"/>
            </w:pPr>
            <w:r>
              <w:rPr>
                <w:rFonts w:ascii="宋体" w:hAnsi="宋体" w:eastAsia="宋体"/>
                <w:sz w:val="16"/>
              </w:rPr>
              <w:t>=47间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AC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BB851">
            <w:pPr>
              <w:jc w:val="center"/>
            </w:pPr>
          </w:p>
        </w:tc>
      </w:tr>
      <w:tr w14:paraId="6D553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4B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9B0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5E7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E347">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D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E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21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E7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AF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B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2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D9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AB259">
            <w:pPr>
              <w:jc w:val="center"/>
            </w:pPr>
          </w:p>
        </w:tc>
      </w:tr>
      <w:tr w14:paraId="6393A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5F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D42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4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87AB">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7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9F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7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9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93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26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E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77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14BD0">
            <w:pPr>
              <w:jc w:val="center"/>
            </w:pPr>
          </w:p>
        </w:tc>
      </w:tr>
      <w:tr w14:paraId="1EF90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189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92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6E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B5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CEB2">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F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94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0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A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0D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9199">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B8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BBAA8">
            <w:pPr>
              <w:jc w:val="center"/>
            </w:pPr>
          </w:p>
        </w:tc>
      </w:tr>
      <w:tr w14:paraId="54A1D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96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D5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B1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9B0F">
            <w:pPr>
              <w:jc w:val="center"/>
            </w:pPr>
            <w:r>
              <w:rPr>
                <w:rFonts w:ascii="宋体" w:hAnsi="宋体" w:eastAsia="宋体"/>
                <w:sz w:val="16"/>
              </w:rPr>
              <w:t>设施配备房间平均成本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DAE9">
            <w:pPr>
              <w:jc w:val="center"/>
            </w:pPr>
            <w:r>
              <w:rPr>
                <w:rFonts w:ascii="宋体" w:hAnsi="宋体" w:eastAsia="宋体"/>
                <w:sz w:val="16"/>
              </w:rPr>
              <w:t>&lt;=18297.79元/间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D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C14C">
            <w:pPr>
              <w:jc w:val="center"/>
            </w:pPr>
            <w:r>
              <w:rPr>
                <w:rFonts w:ascii="宋体" w:hAnsi="宋体" w:eastAsia="宋体"/>
                <w:sz w:val="16"/>
              </w:rPr>
              <w:t>1428.71元/件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E8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E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9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29E8">
            <w:pPr>
              <w:jc w:val="center"/>
            </w:pPr>
            <w:r>
              <w:rPr>
                <w:rFonts w:ascii="宋体" w:hAnsi="宋体" w:eastAsia="宋体"/>
                <w:sz w:val="16"/>
              </w:rPr>
              <w:t>=1829.79元/间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D6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D833">
            <w:pPr>
              <w:jc w:val="center"/>
            </w:pPr>
          </w:p>
        </w:tc>
      </w:tr>
      <w:tr w14:paraId="54D3F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3C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26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E7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94FD">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20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0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2B8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C5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21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B5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074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2FC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5F74">
            <w:pPr>
              <w:jc w:val="center"/>
            </w:pPr>
          </w:p>
        </w:tc>
      </w:tr>
      <w:tr w14:paraId="369DD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9B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E0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C1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7C84">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C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8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7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C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59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DF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5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84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AECA">
            <w:pPr>
              <w:jc w:val="center"/>
            </w:pPr>
          </w:p>
        </w:tc>
      </w:tr>
      <w:tr w14:paraId="35F676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E61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AC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A85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15794">
            <w:pPr>
              <w:jc w:val="center"/>
            </w:pPr>
            <w:r>
              <w:rPr>
                <w:rFonts w:ascii="宋体" w:hAnsi="宋体" w:eastAsia="宋体"/>
                <w:sz w:val="16"/>
              </w:rPr>
              <w:t>100分</w:t>
            </w:r>
          </w:p>
        </w:tc>
      </w:tr>
    </w:tbl>
    <w:p w14:paraId="6DEFC2E1">
      <w:r>
        <w:br w:type="page"/>
      </w:r>
    </w:p>
    <w:p w14:paraId="2256626E">
      <w:pPr>
        <w:spacing w:line="640" w:lineRule="exact"/>
        <w:ind w:firstLine="640"/>
        <w:jc w:val="both"/>
        <w:outlineLvl w:val="2"/>
      </w:pPr>
      <w:r>
        <w:rPr>
          <w:rFonts w:ascii="黑体" w:hAnsi="黑体" w:eastAsia="黑体"/>
          <w:sz w:val="32"/>
        </w:rPr>
        <w:t>十二、其他需说明的事项</w:t>
      </w:r>
    </w:p>
    <w:p w14:paraId="0E69F487">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项目1个，全年预算数7万元，全年执行数7万元。</w:t>
      </w:r>
    </w:p>
    <w:p w14:paraId="3F8F7869">
      <w:r>
        <w:br w:type="page"/>
      </w:r>
    </w:p>
    <w:p w14:paraId="3396CD2C">
      <w:pPr>
        <w:spacing w:line="240" w:lineRule="auto"/>
        <w:jc w:val="center"/>
        <w:outlineLvl w:val="1"/>
      </w:pPr>
      <w:r>
        <w:rPr>
          <w:rFonts w:ascii="黑体" w:hAnsi="黑体" w:eastAsia="黑体"/>
          <w:sz w:val="32"/>
        </w:rPr>
        <w:t>第三部分 专业名词解释</w:t>
      </w:r>
    </w:p>
    <w:p w14:paraId="3701A9D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3FDC18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AB491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4E40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5239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858D9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64DDC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8047D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9F98A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D593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43F64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0C2C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B070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B4B3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09EC25">
      <w:r>
        <w:br w:type="page"/>
      </w:r>
    </w:p>
    <w:p w14:paraId="19610BE0">
      <w:pPr>
        <w:spacing w:line="240" w:lineRule="auto"/>
        <w:jc w:val="center"/>
        <w:outlineLvl w:val="1"/>
      </w:pPr>
      <w:r>
        <w:rPr>
          <w:rFonts w:ascii="黑体" w:hAnsi="黑体" w:eastAsia="黑体"/>
          <w:sz w:val="32"/>
        </w:rPr>
        <w:t>第四部分 部门决算报表（见附表）</w:t>
      </w:r>
    </w:p>
    <w:p w14:paraId="12E7118A">
      <w:pPr>
        <w:spacing w:line="240" w:lineRule="auto"/>
        <w:ind w:firstLine="640"/>
        <w:jc w:val="both"/>
      </w:pPr>
      <w:r>
        <w:rPr>
          <w:rFonts w:ascii="仿宋_GB2312" w:hAnsi="仿宋_GB2312" w:eastAsia="仿宋_GB2312"/>
          <w:b w:val="0"/>
          <w:sz w:val="32"/>
        </w:rPr>
        <w:t>一、《收入支出决算总表》</w:t>
      </w:r>
    </w:p>
    <w:p w14:paraId="4D7ACBCF">
      <w:pPr>
        <w:spacing w:line="240" w:lineRule="auto"/>
        <w:ind w:firstLine="640"/>
        <w:jc w:val="both"/>
      </w:pPr>
      <w:r>
        <w:rPr>
          <w:rFonts w:ascii="仿宋_GB2312" w:hAnsi="仿宋_GB2312" w:eastAsia="仿宋_GB2312"/>
          <w:b w:val="0"/>
          <w:sz w:val="32"/>
        </w:rPr>
        <w:t>二、《收入决算表》</w:t>
      </w:r>
    </w:p>
    <w:p w14:paraId="1B2B3BC8">
      <w:pPr>
        <w:spacing w:line="240" w:lineRule="auto"/>
        <w:ind w:firstLine="640"/>
        <w:jc w:val="both"/>
      </w:pPr>
      <w:r>
        <w:rPr>
          <w:rFonts w:ascii="仿宋_GB2312" w:hAnsi="仿宋_GB2312" w:eastAsia="仿宋_GB2312"/>
          <w:b w:val="0"/>
          <w:sz w:val="32"/>
        </w:rPr>
        <w:t>三、《支出决算表》</w:t>
      </w:r>
    </w:p>
    <w:p w14:paraId="689A4A87">
      <w:pPr>
        <w:spacing w:line="240" w:lineRule="auto"/>
        <w:ind w:firstLine="640"/>
        <w:jc w:val="both"/>
      </w:pPr>
      <w:r>
        <w:rPr>
          <w:rFonts w:ascii="仿宋_GB2312" w:hAnsi="仿宋_GB2312" w:eastAsia="仿宋_GB2312"/>
          <w:b w:val="0"/>
          <w:sz w:val="32"/>
        </w:rPr>
        <w:t>四、《财政拨款收入支出决算总表》</w:t>
      </w:r>
    </w:p>
    <w:p w14:paraId="605F9491">
      <w:pPr>
        <w:spacing w:line="240" w:lineRule="auto"/>
        <w:ind w:firstLine="640"/>
        <w:jc w:val="both"/>
      </w:pPr>
      <w:r>
        <w:rPr>
          <w:rFonts w:ascii="仿宋_GB2312" w:hAnsi="仿宋_GB2312" w:eastAsia="仿宋_GB2312"/>
          <w:b w:val="0"/>
          <w:sz w:val="32"/>
        </w:rPr>
        <w:t>五、《一般公共预算财政拨款支出决算表》</w:t>
      </w:r>
    </w:p>
    <w:p w14:paraId="2AE0035A">
      <w:pPr>
        <w:spacing w:line="240" w:lineRule="auto"/>
        <w:ind w:firstLine="640"/>
        <w:jc w:val="both"/>
      </w:pPr>
      <w:r>
        <w:rPr>
          <w:rFonts w:ascii="仿宋_GB2312" w:hAnsi="仿宋_GB2312" w:eastAsia="仿宋_GB2312"/>
          <w:b w:val="0"/>
          <w:sz w:val="32"/>
        </w:rPr>
        <w:t>六、《一般公共预算财政拨款基本支出决算表》</w:t>
      </w:r>
    </w:p>
    <w:p w14:paraId="11BE1ACC">
      <w:pPr>
        <w:spacing w:line="240" w:lineRule="auto"/>
        <w:ind w:firstLine="640"/>
        <w:jc w:val="both"/>
      </w:pPr>
      <w:r>
        <w:rPr>
          <w:rFonts w:ascii="仿宋_GB2312" w:hAnsi="仿宋_GB2312" w:eastAsia="仿宋_GB2312"/>
          <w:b w:val="0"/>
          <w:sz w:val="32"/>
        </w:rPr>
        <w:t>七、《政府性基金预算财政拨款收入支出决算表》</w:t>
      </w:r>
    </w:p>
    <w:p w14:paraId="78DB4BFF">
      <w:pPr>
        <w:spacing w:line="240" w:lineRule="auto"/>
        <w:ind w:firstLine="640"/>
        <w:jc w:val="both"/>
      </w:pPr>
      <w:r>
        <w:rPr>
          <w:rFonts w:ascii="仿宋_GB2312" w:hAnsi="仿宋_GB2312" w:eastAsia="仿宋_GB2312"/>
          <w:b w:val="0"/>
          <w:sz w:val="32"/>
        </w:rPr>
        <w:t>八、《国有资本经营预算财政拨款收入支出决算表》</w:t>
      </w:r>
    </w:p>
    <w:p w14:paraId="515D54E3">
      <w:pPr>
        <w:spacing w:line="240" w:lineRule="auto"/>
        <w:ind w:firstLine="640"/>
        <w:jc w:val="both"/>
      </w:pPr>
      <w:r>
        <w:rPr>
          <w:rFonts w:ascii="仿宋_GB2312" w:hAnsi="仿宋_GB2312" w:eastAsia="仿宋_GB2312"/>
          <w:b w:val="0"/>
          <w:sz w:val="32"/>
        </w:rPr>
        <w:t>九、《财政拨款“三公”经费支出决算表》</w:t>
      </w:r>
    </w:p>
    <w:p w14:paraId="00212CA7">
      <w:pPr>
        <w:spacing w:line="240" w:lineRule="auto"/>
        <w:ind w:firstLine="640"/>
        <w:jc w:val="both"/>
      </w:pPr>
    </w:p>
    <w:p w14:paraId="03682B38">
      <w:pPr>
        <w:spacing w:line="240" w:lineRule="auto"/>
        <w:ind w:firstLine="640"/>
        <w:jc w:val="both"/>
      </w:pPr>
    </w:p>
    <w:p w14:paraId="24B8D08C">
      <w:pPr>
        <w:spacing w:line="240" w:lineRule="auto"/>
        <w:ind w:firstLine="640"/>
        <w:jc w:val="both"/>
      </w:pPr>
    </w:p>
    <w:p w14:paraId="54E58D52">
      <w:pPr>
        <w:spacing w:line="240" w:lineRule="auto"/>
        <w:ind w:firstLine="640"/>
        <w:jc w:val="both"/>
      </w:pPr>
    </w:p>
    <w:p w14:paraId="6D1B74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DA9FDE-5B53-4462-B1FA-D69C26E6F4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2771A5E-B6B4-4783-8A5A-45203376AFD4}"/>
  </w:font>
  <w:font w:name="方正小标宋_GBK">
    <w:panose1 w:val="02000000000000000000"/>
    <w:charset w:val="86"/>
    <w:family w:val="script"/>
    <w:pitch w:val="default"/>
    <w:sig w:usb0="A00002BF" w:usb1="38CF7CFA" w:usb2="00082016" w:usb3="00000000" w:csb0="00040001" w:csb1="00000000"/>
    <w:embedRegular r:id="rId3" w:fontKey="{ED5D83E6-8A9F-4789-A4A4-7F3687AD31F9}"/>
  </w:font>
  <w:font w:name="楷体_GB2312">
    <w:altName w:val="楷体"/>
    <w:panose1 w:val="00000000000000000000"/>
    <w:charset w:val="00"/>
    <w:family w:val="auto"/>
    <w:pitch w:val="default"/>
    <w:sig w:usb0="00000000" w:usb1="00000000" w:usb2="00000000" w:usb3="00000000" w:csb0="00000000" w:csb1="00000000"/>
    <w:embedRegular r:id="rId4" w:fontKey="{B99B24DA-DA2F-431C-83B4-14A9E6F2004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DC7F1B"/>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E8115E"/>
    <w:rsid w:val="29116777"/>
    <w:rsid w:val="2A053397"/>
    <w:rsid w:val="2A444FB1"/>
    <w:rsid w:val="2A6064E2"/>
    <w:rsid w:val="2C1965E9"/>
    <w:rsid w:val="2D1136DF"/>
    <w:rsid w:val="2DAE0E44"/>
    <w:rsid w:val="2FD27414"/>
    <w:rsid w:val="313F1D52"/>
    <w:rsid w:val="318029AB"/>
    <w:rsid w:val="31C63837"/>
    <w:rsid w:val="320E42F8"/>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AD5C2E"/>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1A752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6171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1753</Words>
  <Characters>1960</Characters>
  <Lines>0</Lines>
  <Paragraphs>0</Paragraphs>
  <TotalTime>11</TotalTime>
  <ScaleCrop>false</ScaleCrop>
  <LinksUpToDate>false</LinksUpToDate>
  <CharactersWithSpaces>1968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