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AB7103">
      <w:pPr>
        <w:spacing w:line="570" w:lineRule="exact"/>
        <w:jc w:val="center"/>
        <w:rPr>
          <w:rFonts w:ascii="华文中宋" w:hAnsi="华文中宋" w:eastAsia="华文中宋" w:cs="宋体"/>
          <w:b/>
          <w:kern w:val="0"/>
          <w:sz w:val="52"/>
          <w:szCs w:val="52"/>
        </w:rPr>
      </w:pPr>
    </w:p>
    <w:p w14:paraId="1F592BD8">
      <w:pPr>
        <w:spacing w:line="570" w:lineRule="exact"/>
        <w:jc w:val="center"/>
        <w:rPr>
          <w:rFonts w:ascii="华文中宋" w:hAnsi="华文中宋" w:eastAsia="华文中宋" w:cs="宋体"/>
          <w:b/>
          <w:kern w:val="0"/>
          <w:sz w:val="52"/>
          <w:szCs w:val="52"/>
        </w:rPr>
      </w:pPr>
    </w:p>
    <w:p w14:paraId="70A69441">
      <w:pPr>
        <w:spacing w:line="570" w:lineRule="exact"/>
        <w:jc w:val="center"/>
        <w:rPr>
          <w:rFonts w:ascii="华文中宋" w:hAnsi="华文中宋" w:eastAsia="华文中宋" w:cs="宋体"/>
          <w:b/>
          <w:kern w:val="0"/>
          <w:sz w:val="52"/>
          <w:szCs w:val="52"/>
        </w:rPr>
      </w:pPr>
    </w:p>
    <w:p w14:paraId="34AD044B">
      <w:pPr>
        <w:spacing w:line="570" w:lineRule="exact"/>
        <w:jc w:val="center"/>
        <w:rPr>
          <w:rFonts w:ascii="华文中宋" w:hAnsi="华文中宋" w:eastAsia="华文中宋" w:cs="宋体"/>
          <w:b/>
          <w:kern w:val="0"/>
          <w:sz w:val="52"/>
          <w:szCs w:val="52"/>
        </w:rPr>
      </w:pPr>
    </w:p>
    <w:p w14:paraId="55BA8A45">
      <w:pPr>
        <w:spacing w:line="570" w:lineRule="exact"/>
        <w:jc w:val="both"/>
        <w:rPr>
          <w:rFonts w:ascii="华文中宋" w:hAnsi="华文中宋" w:eastAsia="华文中宋" w:cs="宋体"/>
          <w:b/>
          <w:kern w:val="0"/>
          <w:sz w:val="52"/>
          <w:szCs w:val="52"/>
        </w:rPr>
      </w:pPr>
    </w:p>
    <w:p w14:paraId="4C335EE1">
      <w:pPr>
        <w:spacing w:line="570" w:lineRule="exact"/>
        <w:jc w:val="center"/>
        <w:rPr>
          <w:rFonts w:ascii="华文中宋" w:hAnsi="华文中宋" w:eastAsia="华文中宋" w:cs="宋体"/>
          <w:b/>
          <w:kern w:val="0"/>
          <w:sz w:val="52"/>
          <w:szCs w:val="52"/>
        </w:rPr>
      </w:pPr>
    </w:p>
    <w:p w14:paraId="0B92E138">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14:paraId="099A09D2">
      <w:pPr>
        <w:spacing w:line="570" w:lineRule="exact"/>
        <w:jc w:val="center"/>
        <w:rPr>
          <w:rFonts w:ascii="华文中宋" w:hAnsi="华文中宋" w:eastAsia="华文中宋" w:cs="宋体"/>
          <w:b/>
          <w:kern w:val="0"/>
          <w:sz w:val="52"/>
          <w:szCs w:val="52"/>
        </w:rPr>
      </w:pPr>
    </w:p>
    <w:p w14:paraId="46469BE7">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14:paraId="52B94497">
      <w:pPr>
        <w:spacing w:line="570" w:lineRule="exact"/>
        <w:jc w:val="center"/>
        <w:rPr>
          <w:rFonts w:hAnsi="宋体" w:eastAsia="仿宋_GB2312" w:cs="宋体"/>
          <w:kern w:val="0"/>
          <w:sz w:val="30"/>
          <w:szCs w:val="30"/>
        </w:rPr>
      </w:pPr>
    </w:p>
    <w:p w14:paraId="175F3AEC">
      <w:pPr>
        <w:spacing w:line="570" w:lineRule="exact"/>
        <w:jc w:val="center"/>
        <w:rPr>
          <w:rFonts w:hAnsi="宋体" w:eastAsia="仿宋_GB2312" w:cs="宋体"/>
          <w:kern w:val="0"/>
          <w:sz w:val="30"/>
          <w:szCs w:val="30"/>
        </w:rPr>
      </w:pPr>
    </w:p>
    <w:p w14:paraId="51A88E40">
      <w:pPr>
        <w:spacing w:line="570" w:lineRule="exact"/>
        <w:jc w:val="center"/>
        <w:rPr>
          <w:rFonts w:hAnsi="宋体" w:eastAsia="仿宋_GB2312" w:cs="宋体"/>
          <w:kern w:val="0"/>
          <w:sz w:val="30"/>
          <w:szCs w:val="30"/>
        </w:rPr>
      </w:pPr>
    </w:p>
    <w:p w14:paraId="7670D86C">
      <w:pPr>
        <w:spacing w:line="570" w:lineRule="exact"/>
        <w:jc w:val="center"/>
        <w:rPr>
          <w:rFonts w:hAnsi="宋体" w:eastAsia="仿宋_GB2312" w:cs="宋体"/>
          <w:kern w:val="0"/>
          <w:sz w:val="30"/>
          <w:szCs w:val="30"/>
        </w:rPr>
      </w:pPr>
    </w:p>
    <w:p w14:paraId="34DEB016">
      <w:pPr>
        <w:spacing w:line="570" w:lineRule="exact"/>
        <w:jc w:val="center"/>
        <w:rPr>
          <w:rFonts w:hAnsi="宋体" w:eastAsia="仿宋_GB2312" w:cs="宋体"/>
          <w:kern w:val="0"/>
          <w:sz w:val="30"/>
          <w:szCs w:val="30"/>
        </w:rPr>
      </w:pPr>
    </w:p>
    <w:p w14:paraId="594ED2A4">
      <w:pPr>
        <w:spacing w:line="570" w:lineRule="exact"/>
        <w:jc w:val="center"/>
        <w:rPr>
          <w:rFonts w:hAnsi="宋体" w:eastAsia="仿宋_GB2312" w:cs="宋体"/>
          <w:kern w:val="0"/>
          <w:sz w:val="30"/>
          <w:szCs w:val="30"/>
        </w:rPr>
      </w:pPr>
    </w:p>
    <w:p w14:paraId="628412BC">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2024年保障口岸运转项目</w:t>
      </w:r>
    </w:p>
    <w:p w14:paraId="0A96A76B">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喀什地区红其拉甫口岸管理委员会</w:t>
      </w:r>
    </w:p>
    <w:p w14:paraId="0790A2B4">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喀什地区红其拉甫口岸管理委员会</w:t>
      </w:r>
      <w:bookmarkStart w:id="0" w:name="_GoBack"/>
      <w:bookmarkEnd w:id="0"/>
    </w:p>
    <w:p w14:paraId="06048C48">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张柏青</w:t>
      </w:r>
    </w:p>
    <w:p w14:paraId="6C68FE6D">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2025年04月14日</w:t>
      </w:r>
    </w:p>
    <w:p w14:paraId="14A3562F">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14:paraId="756C4360">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14:paraId="21780346">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14:paraId="18673C43">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1.项目背景</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根据《新疆维吾尔自治区边境地区转移支付资金管理办法》（新财预【2013】131号）文件规定，按照《口岸工作项目资金批复文件》要求，切实做好2024年度边境地区转移支付资金管理及使用。促进我区经济社会发展以及边境贸易发展，为边境小额贸易企业提供优质服务，保障边境一类口岸正常运转，改善通关条件，对边贸仓储，交通等基础设施建设及维护。</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2.主要内容及实施情况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根据《关于印发&lt;新疆维吾尔自治区边境地区转移支付资金管理办法&gt;的通知》（新财预【2019】85号）和《喀什地区陆路（公路）口岸新增边境地区转移支付资金分配方案》文件精神，做好红其拉甫口岸各项工作。一是进一步完善红其拉甫口岸基础设施；二是及时维修维护破损的口岸水电暖及其他基础设施；三是按照地委领导批示，及时做好红其拉甫口岸总体规划，确保口岸未来发展有据可依；四是节假日期间及时慰问走访口岸联检单位，进一步提升对口岸联检单位的协调力度；五是及时购置米面油及肉，蔬菜等，确保口岸的安全稳定，环境整洁及食堂的正常运行，为口岸联检单位提供后勤保障；六是红其拉甫口岸常年开放，提升通关效率，优化口岸营商环境，保障口岸基础设施正常运转，改善通关条件。</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实施情况：今年以来对红其拉甫口岸联检区、国门综合车体检查室和前哨班进行了10次基础设施维修维护，保障了口岸基础设施的正常运转，改善了口岸的通关条件；对口岸联检单位进行了2次节假日慰问，进一步提升了对口岸联检单位的协调力度；完成了红其拉甫口岸从季节性开放扩大到常年开放工作，口岸通关过货量和贸易额都有显著提升；为了应对冬季通关时可能发生的应急情况及时采购了米面油、肉、蔬菜、融雪剂等应急物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3.项目实施主体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红其拉甫口岸管理委员会为全额事业单位，纳入2024年部门决算编制范围的有4个科室：综合科、外贸科、后勤科、通关科。</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编制人数16人，其中：事业编制16人。实有在职人数14人，离退休人员0人。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4.资金投入和使用情况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根据《关于印发&lt;新疆维吾尔自治区边境地区转移支付资金管理办法&gt;的通知》（新财预【2019】85号）和《喀什地区陆路（公路）口岸新增边境地区转移支付资金分配方案》文件安排下达资金1101.43万元，为口岸运转资金，最终确定项目资金总数为1101.43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截至2024年12月31日，实际支出777.01万元，预算执行率70.55%，用于红其拉甫口岸办公区的正常办公支出及保障口岸通关支出92.86万元；红其拉甫口岸办公区、联检区、国门综合车体检查室的维修维护费71.05万元、电费166万元、设备维修保养费42.45万元；节假日慰问红其拉甫口岸各联检单位12万元；为红其拉甫口岸联检单位采购通关用设备292.66万元；建设红其拉甫口岸（国门）综合车体检查室旅检通道项目85.79万元；口岸委干部职工参加会议培训差旅费4万元；租用一般公务用车费用10.2万元等。</w:t>
      </w:r>
    </w:p>
    <w:p w14:paraId="2DC1C98C">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14:paraId="606C1D5D">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项目绩效目标包括项目绩效总目标和阶段性目标。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1.项目绩效总目标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根据《关于印发&lt;新疆维吾尔自治区边境地区转移支付资金管理办法&gt;的通知》（新财预【2019】85号）文件精神，做好红其拉甫口岸各项工作。一是进一步完善红其拉甫口岸基础设施；二是及时维修维护破损的口岸水电暖及其他基础设施；三是按照地委领导批示，及时做好红其拉甫口岸总体规划，确保口岸未来发展有据可依；四是节假日期间及时慰问走访口岸联检单位，进一步提升对口岸联检单位的协调力度；五是及时购置米面油及肉，蔬菜等，确保口岸的安全稳定，环境整洁及食堂的正常运行，为口岸联检单位提供后勤保障；六是红其拉甫口岸常年开放，提升通关效率，优化口岸营商环境，保障口岸基础设施正常运转，改善通关条件。</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实施的前期准备工作：项目实施前期要提前了解市场情况，做好充分的调研，做好资金分配，将涉及政府采购的支出需提前一个月意向公开，提前做好项目规划。</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具体实施工作：严格按照《政府会计制度》《喀什地区红其拉甫口岸管理委员会资金管理办法》、《喀什地区红其拉甫口岸管理委员会政府采购业务管理制度》、《喀什地区红其拉甫口岸管理委员会合同管理制度》进行项目的实际执行，无论是政府采购还是非政府采购，流程必须符合规定，相关材料需齐全，金额较大的项目要在党组会议进行集体决议，决议通关才能具体实施，实施项目过程中要严格进行监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验收阶段的具体工作：项目在验收阶段要进行严格的验收流程，验收时务必同时在场3人以上，验收的相关材料内容要客观事实、实事求是、不得造假，验收材料及内容需齐全，验收单上需要现场验收的3人集体签字才能验收通过。项目结束以后还需进行满意度调查问卷。</w:t>
      </w:r>
    </w:p>
    <w:p w14:paraId="3CCACC95">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14:paraId="575FE7F8">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14:paraId="01EE03BB">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（一）绩效评价目的、对象和范围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1.绩效评价目的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2024年口岸运转项目实施前期、过程及效果，评价财政预算资金使用的效率及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评价的目的是发现预算资金在项目立项、执行管理中制度保障、实际操作方面的缺陷和薄弱环节，同时总结提炼项目和部门的经验做法，为预算部门改进、完善项目管理和预算管理提供可行性参考建议。也为下一年预算编制与评审提供充分有效的依据，以达到改进预算管理、优化资源配置、提高预算资金使用效益的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2.绩效评价对象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财政部《项目支出绩效评价管理办法》（财预〔2020〕10号）和自治区财政厅《自治区财政支出绩效评价管理暂行办法》（新财预〔2018〕189号）等相关政策文件与规定，以项目支出为对象所对应的预算资金，以2024年口岸运转项目实施所带来的产出和效果为主要内容，以促进预算单位完成特定工作任务目标所组织开展的绩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对2024年口岸运转项目从预算编制合理性、资金使用合规性、项目管理的规范性、实施情况、总体绩效目标、各项绩效指标完成情况以及预算执行情况进行科学性评价。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3.绩效评价范围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w:t>
      </w:r>
    </w:p>
    <w:p w14:paraId="4977961A">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14:paraId="0684DA52">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（二）绩效评价原则、评价指标体系、评价方法评价标准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1.绩效评价原则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（1）科学公正。绩效评价应当运用科学合理的方法，按照规范的程序，对项目绩效进行客观、公正的反映。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（4）公开透明。绩效评价结果应依法依规公开，并自觉接受社会监督。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2.绩效评价指标体系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效益满意度3个一级指标，其中：产出下设产出数量、产出质量、产出时效、产出成本4个2级指标，效益下设项目效益1个二级指标，满意度下设项满意度1个二级指标。项目绩效评价体系详见附件1。</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2024年保障口岸运转项目评分表</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一级指标</w:t>
      </w:r>
      <w:r>
        <w:rPr>
          <w:rStyle w:val="18"/>
          <w:rFonts w:hint="eastAsia" w:ascii="仿宋" w:hAnsi="仿宋" w:eastAsia="仿宋" w:cs="仿宋"/>
          <w:b w:val="0"/>
          <w:bCs w:val="0"/>
          <w:spacing w:val="-4"/>
          <w:sz w:val="32"/>
          <w:szCs w:val="32"/>
        </w:rPr>
        <w:tab/>
        <w:t>二级指标</w:t>
      </w:r>
      <w:r>
        <w:rPr>
          <w:rStyle w:val="18"/>
          <w:rFonts w:hint="eastAsia" w:ascii="仿宋" w:hAnsi="仿宋" w:eastAsia="仿宋" w:cs="仿宋"/>
          <w:b w:val="0"/>
          <w:bCs w:val="0"/>
          <w:spacing w:val="-4"/>
          <w:sz w:val="32"/>
          <w:szCs w:val="32"/>
        </w:rPr>
        <w:tab/>
        <w:t xml:space="preserve">  三级指标</w:t>
      </w:r>
      <w:r>
        <w:rPr>
          <w:rStyle w:val="18"/>
          <w:rFonts w:hint="eastAsia" w:ascii="仿宋" w:hAnsi="仿宋" w:eastAsia="仿宋" w:cs="仿宋"/>
          <w:b w:val="0"/>
          <w:bCs w:val="0"/>
          <w:spacing w:val="-4"/>
          <w:sz w:val="32"/>
          <w:szCs w:val="32"/>
        </w:rPr>
        <w:tab/>
        <w:t xml:space="preserve">              得分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决策（15分）</w:t>
      </w:r>
      <w:r>
        <w:rPr>
          <w:rStyle w:val="18"/>
          <w:rFonts w:hint="eastAsia" w:ascii="仿宋" w:hAnsi="仿宋" w:eastAsia="仿宋" w:cs="仿宋"/>
          <w:b w:val="0"/>
          <w:bCs w:val="0"/>
          <w:spacing w:val="-4"/>
          <w:sz w:val="32"/>
          <w:szCs w:val="32"/>
        </w:rPr>
        <w:tab/>
        <w:t>项目立项（5分）</w:t>
      </w:r>
      <w:r>
        <w:rPr>
          <w:rStyle w:val="18"/>
          <w:rFonts w:hint="eastAsia" w:ascii="仿宋" w:hAnsi="仿宋" w:eastAsia="仿宋" w:cs="仿宋"/>
          <w:b w:val="0"/>
          <w:bCs w:val="0"/>
          <w:spacing w:val="-4"/>
          <w:sz w:val="32"/>
          <w:szCs w:val="32"/>
        </w:rPr>
        <w:tab/>
        <w:t xml:space="preserve">  立项依据充分性（3分）</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3</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 xml:space="preserve">                  立项程序（2分）</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2</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t xml:space="preserve">        绩效目标（5分）   绩效目标合理性（3分） </w:t>
      </w:r>
      <w:r>
        <w:rPr>
          <w:rStyle w:val="18"/>
          <w:rFonts w:hint="eastAsia" w:ascii="仿宋" w:hAnsi="仿宋" w:eastAsia="仿宋" w:cs="仿宋"/>
          <w:b w:val="0"/>
          <w:bCs w:val="0"/>
          <w:spacing w:val="-4"/>
          <w:sz w:val="32"/>
          <w:szCs w:val="32"/>
        </w:rPr>
        <w:tab/>
        <w:t>3</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 xml:space="preserve">                  绩效指标明确性（2分）</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2</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t xml:space="preserve">        资金投入（5分）</w:t>
      </w:r>
      <w:r>
        <w:rPr>
          <w:rStyle w:val="18"/>
          <w:rFonts w:hint="eastAsia" w:ascii="仿宋" w:hAnsi="仿宋" w:eastAsia="仿宋" w:cs="仿宋"/>
          <w:b w:val="0"/>
          <w:bCs w:val="0"/>
          <w:spacing w:val="-4"/>
          <w:sz w:val="32"/>
          <w:szCs w:val="32"/>
        </w:rPr>
        <w:tab/>
        <w:t xml:space="preserve">  预算编制（3分）</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3</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 xml:space="preserve">                  资金分配合理性（2分）         1.41</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过程（20分）</w:t>
      </w:r>
      <w:r>
        <w:rPr>
          <w:rStyle w:val="18"/>
          <w:rFonts w:hint="eastAsia" w:ascii="仿宋" w:hAnsi="仿宋" w:eastAsia="仿宋" w:cs="仿宋"/>
          <w:b w:val="0"/>
          <w:bCs w:val="0"/>
          <w:spacing w:val="-4"/>
          <w:sz w:val="32"/>
          <w:szCs w:val="32"/>
        </w:rPr>
        <w:tab/>
        <w:t>资金管理（10分）  资金到位率（3分）</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3</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 xml:space="preserve">                  预算执行率（3分）</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2.12</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 xml:space="preserve">  资金使用合规性（4分）</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4</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t xml:space="preserve">        组织实施（10分）  管理制度健全性（5分）</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 xml:space="preserve">  制度执行（5分）</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产出（45分）</w:t>
      </w:r>
      <w:r>
        <w:rPr>
          <w:rStyle w:val="18"/>
          <w:rFonts w:hint="eastAsia" w:ascii="仿宋" w:hAnsi="仿宋" w:eastAsia="仿宋" w:cs="仿宋"/>
          <w:b w:val="0"/>
          <w:bCs w:val="0"/>
          <w:spacing w:val="-4"/>
          <w:sz w:val="32"/>
          <w:szCs w:val="32"/>
        </w:rPr>
        <w:tab/>
        <w:t>产出数量（10分）  实际完成率（10分）</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产出质量（10分）  质量达标率（10分）</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产出时效（10分）  完成及时性（10分）</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产出成本（15分）  成本节约率（15分）</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效益（10分）</w:t>
      </w:r>
      <w:r>
        <w:rPr>
          <w:rStyle w:val="18"/>
          <w:rFonts w:hint="eastAsia" w:ascii="仿宋" w:hAnsi="仿宋" w:eastAsia="仿宋" w:cs="仿宋"/>
          <w:b w:val="0"/>
          <w:bCs w:val="0"/>
          <w:spacing w:val="-4"/>
          <w:sz w:val="32"/>
          <w:szCs w:val="32"/>
        </w:rPr>
        <w:tab/>
        <w:t>项目效益（10分）  实施效益（10分）</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满意度（10分）</w:t>
      </w:r>
      <w:r>
        <w:rPr>
          <w:rStyle w:val="18"/>
          <w:rFonts w:hint="eastAsia" w:ascii="仿宋" w:hAnsi="仿宋" w:eastAsia="仿宋" w:cs="仿宋"/>
          <w:b w:val="0"/>
          <w:bCs w:val="0"/>
          <w:spacing w:val="-4"/>
          <w:sz w:val="32"/>
          <w:szCs w:val="32"/>
        </w:rPr>
        <w:tab/>
        <w:t>满意度（10分）</w:t>
      </w:r>
      <w:r>
        <w:rPr>
          <w:rStyle w:val="18"/>
          <w:rFonts w:hint="eastAsia" w:ascii="仿宋" w:hAnsi="仿宋" w:eastAsia="仿宋" w:cs="仿宋"/>
          <w:b w:val="0"/>
          <w:bCs w:val="0"/>
          <w:spacing w:val="-4"/>
          <w:sz w:val="32"/>
          <w:szCs w:val="32"/>
        </w:rPr>
        <w:tab/>
        <w:t xml:space="preserve">  满意度（10分）</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权重分值：100分</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 xml:space="preserve">            总得分    </w:t>
      </w:r>
      <w:r>
        <w:rPr>
          <w:rStyle w:val="18"/>
          <w:rFonts w:hint="eastAsia" w:ascii="仿宋" w:hAnsi="仿宋" w:eastAsia="仿宋" w:cs="仿宋"/>
          <w:b w:val="0"/>
          <w:bCs w:val="0"/>
          <w:spacing w:val="-4"/>
          <w:sz w:val="32"/>
          <w:szCs w:val="32"/>
        </w:rPr>
        <w:tab/>
        <w:t>93.53</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3.绩效评价方法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绩效评价方法主要包括成本效益分析法、比较法、因素分析法、最低成本法、公众评判法、标杆管理法等。根据评价对象的具体情况，我单位采用以下方法对本项目进行评价：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成本效益分析法。是指将投入与产出、效益进行关联性分析的方法。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比较法。是指将实施情况与绩效目标、历史情况、不同部门和地区同类支出情况进行比较的方法。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因素分析法。是指综合分析影响绩效目标实现、实施效果的内外部因素的方法。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4.绩效评价标准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绩效评价标准通常包括计划标准、行业标准、历史标准等，用于对绩效指标完成情况进行比较。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计划标准。指以预先制定的目标、计划、预算、定额等作为评价标准。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2024年口岸运转项目属于延续性项目，采用计划标准评价该项目。</w:t>
      </w:r>
    </w:p>
    <w:p w14:paraId="32747A8A">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14:paraId="68DF50C1">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（三）绩效评价工作过程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第一阶段：前期准备。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党组成员、副主任张柏青任评价组组长，绩效评价工作职责为负责全盘工作。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党组成员、外贸科副科长吴莉莉评价组副组长，绩效评价工作职责为为对项目实施情况进行实地调查。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扑尔开提·艾尼瓦尔和王建伟任评价组成员，绩效评价工作职责为负责资料审核等工作。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2024年1月3日开始前期准备工作。评价组通过对评价对象前期调研，确定了评价的目的、方法以及评价的原则。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第二阶段：组织实施。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经评价组通过实地调研、查阅资料等方式，采用综合分析法对项目的决策、管理、绩效进行的综合评价分析。2024年2月1日-12月28日，评价工作进入实施阶段。数据采集方面，评价组整理单位前期提交的各项资料，与项目实施负责人沟通，了解项目的内容、操作流程、管理机制、资金使用方向等情况；进行项目支出部门评价各项工作信息采集，了解项目设置背景及资金使用等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第三阶段：分析评价。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首先按照指标体系进行定量、定性分析。其次开展量化打分、综合评价工作，形成初步评价结论。最后归纳整体项目情况与存在问题，撰写部门绩效评价报告。2024年2月8日-2月28日，评价组按照绩效评价的原则和规范，对取得的资料进行审查核实，对采集的数据进行分析，按照绩效评价指标评分表逐项进行打分、分析，汇总各方评价结果，综合分析并形成评价结论，项目撰写绩效评价报告，按照财政局大平台绩效系统中统一格式和文本框架撰写绩效评价报告。</w:t>
      </w:r>
    </w:p>
    <w:p w14:paraId="0D0AA80D">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14:paraId="54A0F3FD">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2024年口岸运转项目总体组织规范，完成了边境地区转移支付资金项目的工作目标，有效规范了项目档案资料的整理，推动了我区口岸经济功能的提升，增加通关能力，优化了营商环境，促进喀什外向型经济发展，产生经济效益及社会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在项目决策方面立项符合《关于印发&lt;新疆维吾尔自治区边境地区转移支付资金管理办法&gt;的通知》（新财预【2019】85号）和《喀什地区陆路（公路）口岸新增边境地区转移支付资金分配方案》文件及我委部门职责：保障红其拉甫口岸正常通关、正常运转、提升口岸通关效率、保障口岸基础设施能够正常运转等，依据充分，项目按照规定的程序申请设立；《关于印发&lt;新疆维吾尔自治区边境地区转移支付资金管理办法&gt;的通知》（新财预【2019】85号）文件相关要求；项目前期已经过必要的集体决策、绩效评估、项目实施方案、，项目立项依据充分，立项程序规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管理方面，2024年本项目预算安排1101.43万元，实际支出777.01万元，预算执行率70.55%。项目资金使用合规，项目财务管理制度健全，财务监控到位，所有资金支付均按照国库集中支付制度严格执行，现有项目管理制度执行情况良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产出方面：2024年口岸运转经费主要用于红其拉甫口岸办公区的正常办公支出；红其拉甫口岸办公区、联检区、国门综合车体检查室的维修维护费共计10次、电费166万元、设备维修保养；节假日慰问红其拉甫口岸各联检单位2次；为红其拉甫口岸联检单位采购通关用设备共计297.66万元；为口岸委采购办公设备；建设红其拉甫口岸（国门）综合车体检查室旅检通道项目，目前已支出85.79万元；口岸委干部职工参加会议培训差旅费；租用一般公务用车一辆用等。</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效益方面：2024年本项目促进喀什外向型经济发展，有效增强了边境管控，有效加强了口岸基础设施和通关设备的升级改造，口岸通关过货量、贸易额、出入境人次都得到了显著提升，红其拉甫口岸从季节性开放扩大到了常年开放，口岸的通关效率得到了提升，优化了口岸营商环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（二）综合评价结论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2024年口岸运转项目进行客观评价，最终评分结果：评价总分93.53分，绩效等级为“优”。</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2024年保障口岸运转项目绩效评价评分汇总表</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一级指标</w:t>
      </w:r>
      <w:r>
        <w:rPr>
          <w:rStyle w:val="18"/>
          <w:rFonts w:hint="eastAsia" w:ascii="仿宋" w:hAnsi="仿宋" w:eastAsia="仿宋" w:cs="仿宋"/>
          <w:b w:val="0"/>
          <w:bCs w:val="0"/>
          <w:spacing w:val="-4"/>
          <w:sz w:val="32"/>
          <w:szCs w:val="32"/>
        </w:rPr>
        <w:tab/>
        <w:t>标准分值</w:t>
      </w:r>
      <w:r>
        <w:rPr>
          <w:rStyle w:val="18"/>
          <w:rFonts w:hint="eastAsia" w:ascii="仿宋" w:hAnsi="仿宋" w:eastAsia="仿宋" w:cs="仿宋"/>
          <w:b w:val="0"/>
          <w:bCs w:val="0"/>
          <w:spacing w:val="-4"/>
          <w:sz w:val="32"/>
          <w:szCs w:val="32"/>
        </w:rPr>
        <w:tab/>
        <w:t>得分</w:t>
      </w:r>
      <w:r>
        <w:rPr>
          <w:rStyle w:val="18"/>
          <w:rFonts w:hint="eastAsia" w:ascii="仿宋" w:hAnsi="仿宋" w:eastAsia="仿宋" w:cs="仿宋"/>
          <w:b w:val="0"/>
          <w:bCs w:val="0"/>
          <w:spacing w:val="-4"/>
          <w:sz w:val="32"/>
          <w:szCs w:val="32"/>
        </w:rPr>
        <w:tab/>
        <w:t>得分率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决策指标</w:t>
      </w:r>
      <w:r>
        <w:rPr>
          <w:rStyle w:val="18"/>
          <w:rFonts w:hint="eastAsia" w:ascii="仿宋" w:hAnsi="仿宋" w:eastAsia="仿宋" w:cs="仿宋"/>
          <w:b w:val="0"/>
          <w:bCs w:val="0"/>
          <w:spacing w:val="-4"/>
          <w:sz w:val="32"/>
          <w:szCs w:val="32"/>
        </w:rPr>
        <w:tab/>
        <w:t>15.00</w:t>
      </w:r>
      <w:r>
        <w:rPr>
          <w:rStyle w:val="18"/>
          <w:rFonts w:hint="eastAsia" w:ascii="仿宋" w:hAnsi="仿宋" w:eastAsia="仿宋" w:cs="仿宋"/>
          <w:b w:val="0"/>
          <w:bCs w:val="0"/>
          <w:spacing w:val="-4"/>
          <w:sz w:val="32"/>
          <w:szCs w:val="32"/>
        </w:rPr>
        <w:tab/>
        <w:t xml:space="preserve">        14.41</w:t>
      </w:r>
      <w:r>
        <w:rPr>
          <w:rStyle w:val="18"/>
          <w:rFonts w:hint="eastAsia" w:ascii="仿宋" w:hAnsi="仿宋" w:eastAsia="仿宋" w:cs="仿宋"/>
          <w:b w:val="0"/>
          <w:bCs w:val="0"/>
          <w:spacing w:val="-4"/>
          <w:sz w:val="32"/>
          <w:szCs w:val="32"/>
        </w:rPr>
        <w:tab/>
        <w:t>96.07%</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过程指标</w:t>
      </w:r>
      <w:r>
        <w:rPr>
          <w:rStyle w:val="18"/>
          <w:rFonts w:hint="eastAsia" w:ascii="仿宋" w:hAnsi="仿宋" w:eastAsia="仿宋" w:cs="仿宋"/>
          <w:b w:val="0"/>
          <w:bCs w:val="0"/>
          <w:spacing w:val="-4"/>
          <w:sz w:val="32"/>
          <w:szCs w:val="32"/>
        </w:rPr>
        <w:tab/>
        <w:t xml:space="preserve">20.00       </w:t>
      </w:r>
      <w:r>
        <w:rPr>
          <w:rStyle w:val="18"/>
          <w:rFonts w:hint="eastAsia" w:ascii="仿宋" w:hAnsi="仿宋" w:eastAsia="仿宋" w:cs="仿宋"/>
          <w:b w:val="0"/>
          <w:bCs w:val="0"/>
          <w:spacing w:val="-4"/>
          <w:sz w:val="32"/>
          <w:szCs w:val="32"/>
        </w:rPr>
        <w:tab/>
        <w:t>19.12</w:t>
      </w:r>
      <w:r>
        <w:rPr>
          <w:rStyle w:val="18"/>
          <w:rFonts w:hint="eastAsia" w:ascii="仿宋" w:hAnsi="仿宋" w:eastAsia="仿宋" w:cs="仿宋"/>
          <w:b w:val="0"/>
          <w:bCs w:val="0"/>
          <w:spacing w:val="-4"/>
          <w:sz w:val="32"/>
          <w:szCs w:val="32"/>
        </w:rPr>
        <w:tab/>
        <w:t>95.6%</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产出指标</w:t>
      </w:r>
      <w:r>
        <w:rPr>
          <w:rStyle w:val="18"/>
          <w:rFonts w:hint="eastAsia" w:ascii="仿宋" w:hAnsi="仿宋" w:eastAsia="仿宋" w:cs="仿宋"/>
          <w:b w:val="0"/>
          <w:bCs w:val="0"/>
          <w:spacing w:val="-4"/>
          <w:sz w:val="32"/>
          <w:szCs w:val="32"/>
        </w:rPr>
        <w:tab/>
        <w:t xml:space="preserve">45.00      </w:t>
      </w:r>
      <w:r>
        <w:rPr>
          <w:rStyle w:val="18"/>
          <w:rFonts w:hint="eastAsia" w:ascii="仿宋" w:hAnsi="仿宋" w:eastAsia="仿宋" w:cs="仿宋"/>
          <w:b w:val="0"/>
          <w:bCs w:val="0"/>
          <w:spacing w:val="-4"/>
          <w:sz w:val="32"/>
          <w:szCs w:val="32"/>
        </w:rPr>
        <w:tab/>
        <w:t>40</w:t>
      </w:r>
      <w:r>
        <w:rPr>
          <w:rStyle w:val="18"/>
          <w:rFonts w:hint="eastAsia" w:ascii="仿宋" w:hAnsi="仿宋" w:eastAsia="仿宋" w:cs="仿宋"/>
          <w:b w:val="0"/>
          <w:bCs w:val="0"/>
          <w:spacing w:val="-4"/>
          <w:sz w:val="32"/>
          <w:szCs w:val="32"/>
        </w:rPr>
        <w:tab/>
        <w:t>88.89%</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效益指标</w:t>
      </w:r>
      <w:r>
        <w:rPr>
          <w:rStyle w:val="18"/>
          <w:rFonts w:hint="eastAsia" w:ascii="仿宋" w:hAnsi="仿宋" w:eastAsia="仿宋" w:cs="仿宋"/>
          <w:b w:val="0"/>
          <w:bCs w:val="0"/>
          <w:spacing w:val="-4"/>
          <w:sz w:val="32"/>
          <w:szCs w:val="32"/>
        </w:rPr>
        <w:tab/>
        <w:t>20.00</w:t>
      </w:r>
      <w:r>
        <w:rPr>
          <w:rStyle w:val="18"/>
          <w:rFonts w:hint="eastAsia" w:ascii="仿宋" w:hAnsi="仿宋" w:eastAsia="仿宋" w:cs="仿宋"/>
          <w:b w:val="0"/>
          <w:bCs w:val="0"/>
          <w:spacing w:val="-4"/>
          <w:sz w:val="32"/>
          <w:szCs w:val="32"/>
        </w:rPr>
        <w:tab/>
        <w:t xml:space="preserve">        20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w:t>
      </w:r>
      <w:r>
        <w:rPr>
          <w:rStyle w:val="18"/>
          <w:rFonts w:hint="eastAsia" w:ascii="仿宋" w:hAnsi="仿宋" w:eastAsia="仿宋" w:cs="仿宋"/>
          <w:b w:val="0"/>
          <w:bCs w:val="0"/>
          <w:spacing w:val="-4"/>
          <w:sz w:val="32"/>
          <w:szCs w:val="32"/>
        </w:rPr>
        <w:tab/>
        <w:t xml:space="preserve">        100.00</w:t>
      </w:r>
      <w:r>
        <w:rPr>
          <w:rStyle w:val="18"/>
          <w:rFonts w:hint="eastAsia" w:ascii="仿宋" w:hAnsi="仿宋" w:eastAsia="仿宋" w:cs="仿宋"/>
          <w:b w:val="0"/>
          <w:bCs w:val="0"/>
          <w:spacing w:val="-4"/>
          <w:sz w:val="32"/>
          <w:szCs w:val="32"/>
        </w:rPr>
        <w:tab/>
        <w:t xml:space="preserve">        93.53</w:t>
      </w:r>
      <w:r>
        <w:rPr>
          <w:rStyle w:val="18"/>
          <w:rFonts w:hint="eastAsia" w:ascii="仿宋" w:hAnsi="仿宋" w:eastAsia="仿宋" w:cs="仿宋"/>
          <w:b w:val="0"/>
          <w:bCs w:val="0"/>
          <w:spacing w:val="-4"/>
          <w:sz w:val="32"/>
          <w:szCs w:val="32"/>
        </w:rPr>
        <w:tab/>
        <w:t>93.53%</w:t>
      </w:r>
    </w:p>
    <w:p w14:paraId="0122EFB3">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14:paraId="50E2006E">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14:paraId="44A762F0">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（一）项目决策情况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项目决策类指标包括项目立项、绩效目标和资金投入三方面的内容，由6个三级指标构成，权重分为15分，实际得分14.41分，得分率为96.07%。</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立项依据充分性：根据《关于印发&lt;新疆维吾尔自治区边境地区转移支付资金管理办法&gt;的通知》（新财预【2019】85号）和《喀什地区陆路（公路）口岸新增边境地区转移支付资金分配方案》文件精神符合行业发展规划和政策要求；本项目立项符合《喀什地区红其拉甫口岸管理委员会单位配置内设机构和人员编制规定》中职责范围中的“保障口岸正常运转，提升通关效率”，属于我单位履职所需；根据《财政资金直接支付申请书》，本项目资金性质为“公共财政预算”功能分类为“其他政府办公厅（室）及相关机构事务支出”经济分类为“商品和服务支出”属于公共财政支持范围，符合中央、地方事权支出责任划分原则；经检查我单位财政管理一体化信息系统，本项目不存在重复。结合保障口岸正常运转，提升通关效率职责，并组织实施该项目。围绕2024年红其拉甫口岸委年度工作重点和工作计划制定项目预算，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立项程序规范性：根据《关于印发&lt;新疆维吾尔自治区边境地区转移支付资金管理办法&gt;的通知》（新财预【2019】85号）文件编制工作计划和项目预算，经过与红其拉甫口岸委分管领导进行沟通、筛选确定经费预算计划，上党委会研究确定最终预算方案，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（3）绩效目标合理性：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①该项目已设置年度绩效目标，具体内容为“保障2024年喀什地区红其拉甫口岸正常运转，各项工作正常开展，保障红其拉甫口岸常年开放，提升通关效率，优化口岸营商环境，保障口岸基础设施正常运转，改善通关条件。一是进一步完善红其拉甫口岸基础设施；二是及时维修维护破损的口岸水电暖及其他基础设施；三是按照地委领导批示，及时做好红其拉甫口岸总体规划，确保口岸未来发展有据可依；四是节假日期间及时慰问走访口岸联检单位，进一步提升对口岸联检单位的协调力度；五是及时购置米面油及肉，蔬菜等，确保口岸的安全稳定，环境整洁及食堂的正常运行，为口岸联检单位提供后勤保障；六是红其拉甫口岸常年开放，提升通关效率，优化口岸营商环境，保障口岸基础设施正常运转，改善通关条件。”。</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②该项目实际工作内容为：红其拉甫口岸办公区、联检区、国门综合车体检查室的维修维护费共计10次、电费166万元、设备维修保养；节假日慰问红其拉甫口岸各联检单位2次；为红其拉甫口岸联检单位采购通关用设备共计297.66万元；为口岸委采购办公设备；建设红其拉甫口岸（国门）综合车体检查室旅检通道项目，目前已支出85.79万元；口岸委干部职工参加会议培训差旅费；租用一般公务用车一辆用等。绩效目标与实际工作内容一致，两者具有相关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③该项目按照绩效目标口岸开展各类活动次数指标、租用口岸运转保障公务用车数量、口岸材料购置次数、口岸基础设施维修护次数指标、工程及采购验收合格率指标、项目完成时间、口岸委办公经费、口岸委维修（护）费、口岸委购置费、口岸委房屋建筑物购建指标，完成了口岸正常通关、口岸基础设施正常运转等，达到了口岸通关过货量、贸易额、出入境人员同比增长41.10%、57.98%、20.54%等效益，预期产出效益和效果是符合正常的业绩水平。</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④该项目批复的预算金额为1101.43万元，《项目支出绩效目标表》中预算金额为1101.43万元，《项目支出绩效目标表》中预算确定的金额与该项目批复的预算金额相匹配。</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⑤本单位制定了2024年口岸运转项目实施方案，明确了总体思路及目标、并对保障口岸运正常运转、保障口岸基础设施正常运转、红其拉甫口岸（国门）综合车体检查室旅检通道扩建项目等任务进行了详细分解，对目标进行了细化，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绩效指标明确性：经检查我单位年初设置的《项目支出绩效目标表》，得出如下结论：本项目已将年度绩效目标进行细化为绩效指标体系，共设置一级指标4个，二级指标6个，三级指标12个，定量指标11个，定性指标1个，指标量化率为91.67%，量化率达70.0%以上，将项目绩效目标细化分解为具体的绩效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该《项目绩效目标申报表》中，数量指标指标值为口岸开展各类活动次数、租用口岸运转保障公务用车数量、口岸材料购置次数、口岸基础设施维修护次数，三级指标的年度指标值与年度绩效目标中任务数一致，已设置时效指标“项目完成时间”。已设置的绩效目标具备明确性、可衡量性、可实现性、相关性、时限性。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（5）预算编制科学性：2024年口岸运转项目，即预算编制较科学且经过论证；</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预算申请内容为保障口岸正常运转，项目实际内容为保障口岸正常运转，预算申请与《2024年口岸运转项目实施方案》中涉及的项目内容匹配；</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预算申请资金1101.43万元，我单位在预算申请中严格按照项目实施内容及测算标准进行核算，其中1.办公经费37.32万元;2.电费166万元；3.邮电费13.5万元；4.物业管理费1.8万元；5.水费1.5万元；6.租赁费5万元；7.其他交通费49.4万元；8.差旅费10万元；9.专用材料费2.5万元；10.劳务费10万元；11.委托业务费38.94万元；12.维修维护费236.21万元；13.其他商品服务和支出29.82万元；14.办公设备购置319.44万元；15.房屋建筑物购建180万元。预算确定资金量与实际工作任务相匹配。本项目预算额度测算依据充分，严格按照标准编制，预算确定资金量与实际工作任务相匹配；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6）资金分配合理性：本项目实际分配资金以《关于印发&lt;新疆维吾尔自治区边境地区转移支付资金管理办法&gt;的通知》（新财预【2019】85号）文件和《喀什地区陆路（公路）口岸新增边境地区转移支付资金分配方案》为依据进行资金分配，预算资金分配依据充分。根据《关于印发&lt;新疆维吾尔自治区边境地区转移支付资金管理办法&gt;的通知》（新财预【2019】85号）和《喀什地区陆路（公路）口岸新增边境地区转移支付资金分配方案》，本项目实际到位资金777.01万元，其中1.办公经费19.49万元；2.电费166万元；3.邮电费13.5万元；4.物业管理费1.79万元；5.水费1.5万元；6.租赁费0元；7.其他交通费23.78万元；8.差旅费4万元；9.专用材料费19.44万元；10.劳务费10万元；11.委托业务费26.68万元；12.维修维护费71.05万元；13.其他商品和服务支出29.82万元；14.办公设备购置304.17万元；15.房屋建筑物购建85.79万元。未支出资金有1.办公费0.89万元；物业管理费0.0073万元；其他交通费25.62万元；租赁费5万元；差旅费5.99万元；委托业务费122.57万元；维修维护费165.16万元；办公设备购置费15.27万元；房屋建筑物购建94.21万元，与我单位实际需求相适应。资金分配与实际相适应，根据评分标准，该指标扣0.59分，得1.41分。</w:t>
      </w:r>
    </w:p>
    <w:p w14:paraId="0C0F2E9F">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14:paraId="2F163EC0">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（二）项目过程情况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项目过程类指标包括资金管理和组织实施两方面的内容，由5个三级指标构成，权重分为20分，实际得分19.12分，得分率为95.60%。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资金到位率：本项目预算资金为1101.43万元，其中：财政安排资金1101.43万元，其他资金0万元，实际到位资金1101.43万元，资金到位率=100%；通过分析可知，该项目财政资金足额拨付到位，能够及时足额支付给实施单位。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预算执行率：本项目实际支出资金777.01万元，预算执行率=（实际支出资金/实际到位资金）×100.0%=70.55%；通过分析可知，该项目预算编制较为详细，项目资金支出总体能够按照预算执行，但因红其拉甫口岸（国门）综合检查室旅检通道扩建项目及一些维修维护项目未能完工导致支出进度未达标，改进措施：加快基础进度，加快项目建设进度。根据评分标准，该指标扣0.88分，得2.12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资金使用合规性：通过检查项目资金申请文件、国库支付凭证等财务资料，得出本项目资金支出符合国家财经法规、《政府会计制度》《喀什地区红其拉甫口岸管理委员会资金管理办法》《喀什地区红其拉甫口岸管理委员会专项资金管理办法》，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管理制度健全性：我单位已制定《喀什地区红其拉甫口岸管理委员会资金管理办法》、《喀什地区红其拉甫口岸管理委员会政府采购业务管理制度》、《喀什地区红其拉甫口岸管理委员会合同管理制度》，相关制度均符合行政事业单位内控管理要求，财务和业务管理制度合法、合规、完整，本项目执行符合上述制度规定。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制度执行有效性：①该项目的实施符合《喀什地区红其拉甫口岸管理委员会资金管理办法》、《喀什地区红其拉甫口岸管理委员会采购业务管理制度》、《喀什地区红其拉甫口岸管理委员会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②经现场查证政府采购合同、维修维护合同、工程合同、政采云验收单、维修维护项目竣工验收单等、财务支付凭证等资料齐全并及时归档。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③根据《喀什地区陆路（公路）口岸新增边境地区转移支付资金分配方案》，我委2024年下半年新增口岸运转经费559万元，此资金主要用于保障口岸基础设施正常运转、保障口岸正常通关等，待资金到位后进行绩效目标调整，调整手续齐全。</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④该项目实施所需要的项目人员和场地设备均已落实到位，具体涉及内容包括：项目资金支出严格按照自治区、地区以及本单位资金管理办法执行，项目启动实施后，为了加快本项目的实施，成立了2024年口岸运转项目工作领导小组，由张柏青任组长，负责项目的组织工作；吴莉莉任副组长，负责项目的实施工作；组员包括：扑尔开提·艾尼瓦尔和王建伟，主要负责项目监督管理、验收以及资金核拨等工作。根据评分标准，该指标不扣分，得5分。</w:t>
      </w:r>
    </w:p>
    <w:p w14:paraId="09B3172D">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14:paraId="563656C2">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（三）项目产出情况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项目产出类指标包括产出数量、产出质量、产出时效、产出成本四方面的内容，由10个三级指标构成，权重分为45分，实际得分40分，得分率为88.89%。</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（1）对于“产出数量”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口岸开展各类活动次数指标，预期指标值为开展大于等于2次，实际完成值为2次，指标完成率为100%，与预期目标一致，根据评分标准，该指标不扣分，得2分。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租用口岸运转保障公务用车数量指标，预期指标值为大于等于1辆，实际完成值为1辆，指标完成率为100%，与预期目标一致，根据评分标准，该指标不扣分，得2分。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口岸材料购置次数指标，预期指标值为大于等于2次，实际完成值为2次，指标完成率为100%，与预期目标一致，根据评分标准，该指标不扣分，得2分。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口岸基础设施维修护次数指标，预期指标值为大于等于10次，实际完成值为10次，指标完成率为100%，与预期目标一致，根据评分标准，该指标不扣分，得4分。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（2）对于“产出质量”：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工程及采购验收合格率指标，预期指标值为等于100%，实际完成值为100%，指标完成率为100%，与预期目标一致，根据评分标准，该指标不扣分，得10分。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（3）对于“产出时效”：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项目完成时间指标，预期指标值为2024年12月25日前，实际完成值为2024年12月23日，指标完成率为100%，与预期目标一致，根据评分标准，该指标不扣分，得10分。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（4）对于“产出成本”：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口岸委办公经费，预期指标值为小于等于284.52万元，实际完成值为230.07万元，指标完成率为80.86%，偏差原因：因大批量采购价格会有折扣导致。提高资金合理分配能力，提前了解需采购物品的市场价格，采取措施：2024年结转54.45万元至2025年按照项目实际情况继续使用，该指标扣2.39分，得2.61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口岸委维修（护）费指标，预期指标值为236.21万元，实际完成值为71.05万元，指标完成率为30.08%，偏差原因：1.年初资金分配不合理；2.因口岸联检区即将搬迁，所以减少了维修维护力度。采取措施：2024年结转165.16万元至2025年按照项目实际情况继续使用，根据评分标准，该指标扣1.4分，得0.6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口岸委购置费指标，预期指标值为小于等于400.7万元，实际完成值为390.11万元，指标完成率为97.36%，偏差原因：1.因大批量采购价格会有折扣导致。采取措施：2024年结转10.59万元至2025年按照项目实际情况继续使用，根据评分标准，该指标扣0.16分，得5.84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口岸委房屋建筑物购建指标，预期指标值为小于等于180万元，实际完成值为85.79万元，指标完成率为47.66%，偏差原因：1.房屋构建为红其拉甫口岸（国门）综合检查室旅检通道扩建项目，目前项目进度达80%。采取措施：2024年结转94.21万元至2025年按照项目实际情况继续使用，根据评分标准，该指标扣1.05分，得0.95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p>
    <w:p w14:paraId="76EF6975">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14:paraId="0A9BB136">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（四）项目效益情况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项目效益类指标包括项目效益1个方面的内容，由3个三级指标构成，权重分为10分，实际得分10分，得分率为100%。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有效增强边境管控,目标值：有效增强，完成值有效增强,与预期指标一致，根据评分标准，该指标不扣分，得10分。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（2）对于“经济效益指标”：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（3）对于“生态效益指标”：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实施效益指标合计得10分。</w:t>
      </w:r>
    </w:p>
    <w:p w14:paraId="70D6D224">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五</w:t>
      </w:r>
      <w:r>
        <w:rPr>
          <w:rFonts w:hint="eastAsia" w:ascii="楷体" w:hAnsi="楷体" w:eastAsia="楷体" w:cs="楷体"/>
          <w:b/>
          <w:spacing w:val="-4"/>
          <w:sz w:val="32"/>
          <w:szCs w:val="32"/>
        </w:rPr>
        <w:t>）满意度指标完成情况分析。</w:t>
      </w:r>
    </w:p>
    <w:p w14:paraId="0B48E123">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（五）项目满意情况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项目满意类指标包括项目满意度1个方面的内容，由1个三级指标构成，权重分为10分，实际得分10分，得分率为100%。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满意度指标分析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对于“满意度指标：口岸联检单位及进出口涉外贸易企业满意度100%，该指标预期指标值为100%，实际完成值为100%，指标完成率为100%，与预期目标一致，根据评分标准，该指标不扣分,得10分。</w:t>
      </w:r>
    </w:p>
    <w:p w14:paraId="2734B6BD">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14:paraId="47D45580">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2024年口岸运转项目预算1101.43万元，到位1101.43万元，实际支出777.01万元，预算执行率为70.5%，项目绩效指标总体完成率为88%，偏差率为17.5%,偏差原因：1.因大批量采购价格会有折扣导致；2.房屋构建为红其拉甫口岸（国门）综合检查室旅检通道扩建项目目前项目进度达80%；3.因口岸联检区即将搬迁，所以减少了维修维护力度。采取的措施：1.项目前期规划阶段，应该更加注重可行性，提高提前规划能力，提高资金合理分配能力；2.提高资金合理分配能力，提前了解需采购物品的市场价格；3.加快工程进度，加快审批流程，合法合规尽早支出剩余款项。</w:t>
      </w:r>
    </w:p>
    <w:p w14:paraId="14CC98C5">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p>
    <w:p w14:paraId="5AD9DBD7">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是本项目严格遵循《项目实施方案》的要求，执行情况令人满意。其次，通过强化组织领导，确保了项目绩效评价工作的顺利进行。主要领导亲自负责，分管领导具体执行，从项目规划到资金管理，均得到了妥善的实施。最后，加强了沟通协调工作，我单位定期向领导汇报项目建设的最新进展，并与施工单位保持密切沟通，以确保项目能够如期完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是我们还注重项目的透明化管理，所有项目进展、资金使用等信息均进行了公开公示，接受广大干部职工的监督，这不仅增强了项目的公信力，也提高了大家的参与度和满意度。在项目执行过程中，我们还特别强调了质量控制，每一环节都严格按照既定标准进行操作，确保了项目的高质量完成。通过这些经验和做法，我们成功克服了项目实施过程中的各种挑战，为今后的类似项目提供了宝贵的借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三是在完成项目工作期间我委不断优化工作流程和方法，提高了工作效率，协调各查验单位间的工作能力得到了提升，单位各项规章制度也得到了不断地完善，对通关工作变得更加熟练。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（二）存在问题及原因分析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首先，指标和指标值的优化与完善不足，主要是因为我们在项目初期对各项指标的设定过于笼统，没有充分考虑到实际操作中的细节和差异性。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其次，自我评价工作的局限性主要源于我们过于依赖内部资源，缺乏外部专家的参与和意见。</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最后，缺少带着问题去评价的意识，主要是因为我们在评价过程中过于注重形式，而忽视了问题的发现和解决。</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（三）下一步措施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1.指标和指标值的优化与完善不足方面，我们将加强与相关部门的沟通协作，共同制定更为细致、量化的指标，以确保评价的准确性和有效性。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2.为了克服这自我评价局限性，我们将积极寻求外部合作，引入第三方评价机构，以提高评价的客观性和公正性。同时，我们也将加强内部培训，提升自评人员的专业素养和评价能力。</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缺少带着问题去评价的意识方面，我们将强化问题意识，鼓励评价人员主动发现问题、提出问题，并制定具体的解决方案。同时，我们也将加强现场评价的工作量，通过实地调研、走访等方式，深入了解项目实际情况，为后续效益评价提供更为全面、准确的数据支持。</w:t>
      </w:r>
    </w:p>
    <w:p w14:paraId="6EA67ACF">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14:paraId="67E50495">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1.应根据口岸实际，精准识别口岸建设的需要以及民生改善的重点，确保转移支付的资金可以真正的解决边境口岸面临的问题，满足经济社会发展的需要。</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2.在项目的规划阶段，应该更加注重可行性和科学性。合理规划项目内容和资金计划，确保项目的长期效益和可持续性。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3.在资金管理中，应坚持公开的原则，根据实际情况，合理分配资金。加快提高资金的使用效率，注重资金使用的透明度和公开性。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在项目执行的过程中应该加强监督和管理，确保项目能够按照规划顺利实施，同时要注重项目实施效果的评价和反馈，及时发现问题并采取措施加以解决。同时应该注重相关措施，通过加强与相关单位的沟通，听取边境群众和外贸企业的意见，确保项目的实施能够推动口岸的建设。</w:t>
      </w:r>
    </w:p>
    <w:p w14:paraId="6D1ADDE6">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14:paraId="67E84B81">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42C426C-74B9-4D25-9471-2C0F1987C48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E5F5537F-EE48-4497-91E8-A450F46AC357}"/>
  </w:font>
  <w:font w:name="Cambria">
    <w:panose1 w:val="02040503050406030204"/>
    <w:charset w:val="00"/>
    <w:family w:val="roma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embedRegular r:id="rId3" w:fontKey="{BEDE1276-191D-4FB3-859C-281FB44A3624}"/>
  </w:font>
  <w:font w:name="方正小标宋_GBK">
    <w:panose1 w:val="02000000000000000000"/>
    <w:charset w:val="86"/>
    <w:family w:val="script"/>
    <w:pitch w:val="default"/>
    <w:sig w:usb0="A00002BF" w:usb1="38CF7CFA" w:usb2="00082016" w:usb3="00000000" w:csb0="00040001" w:csb1="00000000"/>
    <w:embedRegular r:id="rId4" w:fontKey="{C54EB614-B75B-4AA7-872F-AA1675D8AAFE}"/>
  </w:font>
  <w:font w:name="仿宋_GB2312">
    <w:panose1 w:val="02010609030101010101"/>
    <w:charset w:val="86"/>
    <w:family w:val="modern"/>
    <w:pitch w:val="default"/>
    <w:sig w:usb0="00000001" w:usb1="080E0000" w:usb2="00000000" w:usb3="00000000" w:csb0="00040000" w:csb1="00000000"/>
    <w:embedRegular r:id="rId5" w:fontKey="{25B77C0D-6B31-42EE-A211-56491D7DB909}"/>
  </w:font>
  <w:font w:name="楷体">
    <w:panose1 w:val="02010609060101010101"/>
    <w:charset w:val="86"/>
    <w:family w:val="modern"/>
    <w:pitch w:val="default"/>
    <w:sig w:usb0="800002BF" w:usb1="38CF7CFA" w:usb2="00000016" w:usb3="00000000" w:csb0="00040001" w:csb1="00000000"/>
    <w:embedRegular r:id="rId6" w:fontKey="{2B3D3AB3-4DE7-4E1E-9A16-2065389B826E}"/>
  </w:font>
  <w:font w:name="方正仿宋_GBK">
    <w:panose1 w:val="02000000000000000000"/>
    <w:charset w:val="86"/>
    <w:family w:val="auto"/>
    <w:pitch w:val="default"/>
    <w:sig w:usb0="A00002BF" w:usb1="38CF7CFA" w:usb2="00082016" w:usb3="00000000" w:csb0="00040001" w:csb1="00000000"/>
    <w:embedRegular r:id="rId7" w:fontKey="{66478FAF-220A-435D-9F70-7C9239F1C6A8}"/>
  </w:font>
  <w:font w:name="仿宋">
    <w:panose1 w:val="02010609060101010101"/>
    <w:charset w:val="86"/>
    <w:family w:val="modern"/>
    <w:pitch w:val="default"/>
    <w:sig w:usb0="800002BF" w:usb1="38CF7CFA" w:usb2="00000016" w:usb3="00000000" w:csb0="00040001" w:csb1="00000000"/>
    <w:embedRegular r:id="rId8" w:fontKey="{70943415-C0E2-466D-8B96-EA7EE265C3E0}"/>
  </w:font>
  <w:font w:name="方正楷体_GBK">
    <w:altName w:val="微软雅黑"/>
    <w:panose1 w:val="00000000000000000000"/>
    <w:charset w:val="86"/>
    <w:family w:val="auto"/>
    <w:pitch w:val="default"/>
    <w:sig w:usb0="00000000" w:usb1="00000000" w:usb2="00000000" w:usb3="00000000" w:csb0="00040000" w:csb1="00000000"/>
    <w:embedRegular r:id="rId9" w:fontKey="{9E16F8CD-BC58-42B1-B858-0158856209F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66D7D046">
        <w:pPr>
          <w:pStyle w:val="12"/>
          <w:jc w:val="center"/>
        </w:pPr>
        <w:r>
          <w:fldChar w:fldCharType="begin"/>
        </w:r>
        <w:r>
          <w:instrText xml:space="preserve">PAGE   \* MERGEFORMAT</w:instrText>
        </w:r>
        <w:r>
          <w:fldChar w:fldCharType="separate"/>
        </w:r>
        <w:r>
          <w:rPr>
            <w:lang w:val="zh-CN"/>
          </w:rPr>
          <w:t>1</w:t>
        </w:r>
        <w:r>
          <w:fldChar w:fldCharType="end"/>
        </w:r>
      </w:p>
    </w:sdtContent>
  </w:sdt>
  <w:p w14:paraId="57A8DC5B">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2C4FD9"/>
    <w:rsid w:val="5DA70C36"/>
    <w:rsid w:val="716B6B6A"/>
    <w:rsid w:val="72F325A8"/>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31</Pages>
  <Words>1253</Words>
  <Characters>1345</Characters>
  <Lines>5</Lines>
  <Paragraphs>1</Paragraphs>
  <TotalTime>0</TotalTime>
  <ScaleCrop>false</ScaleCrop>
  <LinksUpToDate>false</LinksUpToDate>
  <CharactersWithSpaces>1350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雨。</cp:lastModifiedBy>
  <cp:lastPrinted>2018-12-31T10:56:00Z</cp:lastPrinted>
  <dcterms:modified xsi:type="dcterms:W3CDTF">2025-09-03T10:19:34Z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299A846E7742483FADE25949A45A48D3_12</vt:lpwstr>
  </property>
</Properties>
</file>