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F546C9E">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喀什地区红其拉甫口岸管理委员会</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AB519C8">
      <w:r>
        <w:br w:type="page"/>
      </w:r>
    </w:p>
    <w:p w14:paraId="30E34B59">
      <w:pPr>
        <w:spacing w:line="640" w:lineRule="exact"/>
        <w:jc w:val="center"/>
        <w:outlineLvl w:val="1"/>
      </w:pPr>
      <w:r>
        <w:rPr>
          <w:rFonts w:ascii="黑体" w:hAnsi="黑体" w:eastAsia="黑体"/>
          <w:sz w:val="32"/>
        </w:rPr>
        <w:t>第一部分 部门概况</w:t>
      </w:r>
    </w:p>
    <w:p w14:paraId="0FE766EB">
      <w:pPr>
        <w:spacing w:line="640" w:lineRule="exact"/>
        <w:ind w:firstLine="640"/>
        <w:jc w:val="both"/>
        <w:outlineLvl w:val="2"/>
      </w:pPr>
      <w:r>
        <w:rPr>
          <w:rFonts w:ascii="黑体" w:hAnsi="黑体" w:eastAsia="黑体"/>
          <w:sz w:val="32"/>
        </w:rPr>
        <w:t>一、主要职能</w:t>
      </w:r>
    </w:p>
    <w:p w14:paraId="1F23C9A5">
      <w:pPr>
        <w:spacing w:line="580" w:lineRule="exact"/>
        <w:ind w:firstLine="640"/>
        <w:jc w:val="both"/>
      </w:pPr>
      <w:r>
        <w:rPr>
          <w:rFonts w:ascii="仿宋_GB2312" w:hAnsi="仿宋_GB2312" w:eastAsia="仿宋_GB2312"/>
          <w:sz w:val="32"/>
        </w:rPr>
        <w:t>（一）贯彻执行党中央、国务院、自治区有关口岸工作方针、政策和规定，并组织制定具体实施细则。</w:t>
      </w:r>
    </w:p>
    <w:p w14:paraId="0F4D6012">
      <w:pPr>
        <w:spacing w:line="580" w:lineRule="exact"/>
        <w:ind w:firstLine="640"/>
        <w:jc w:val="both"/>
      </w:pPr>
      <w:r>
        <w:rPr>
          <w:rFonts w:ascii="仿宋_GB2312" w:hAnsi="仿宋_GB2312" w:eastAsia="仿宋_GB2312"/>
          <w:sz w:val="32"/>
        </w:rPr>
        <w:t>（二）按照国家、自治区和地区关于红其拉甫口岸的规划、报批、开放、建设等工作要求，负责组织落实有关具体事宜。</w:t>
      </w:r>
    </w:p>
    <w:p w14:paraId="6C9F0958">
      <w:pPr>
        <w:spacing w:line="580" w:lineRule="exact"/>
        <w:ind w:firstLine="640"/>
        <w:jc w:val="both"/>
      </w:pPr>
      <w:r>
        <w:rPr>
          <w:rFonts w:ascii="仿宋_GB2312" w:hAnsi="仿宋_GB2312" w:eastAsia="仿宋_GB2312"/>
          <w:sz w:val="32"/>
        </w:rPr>
        <w:t>（三）按照推进国家“一带一路”</w:t>
      </w:r>
      <w:r>
        <w:rPr>
          <w:rFonts w:hint="eastAsia" w:ascii="仿宋_GB2312" w:hAnsi="仿宋_GB2312" w:eastAsia="仿宋_GB2312"/>
          <w:sz w:val="32"/>
          <w:lang w:eastAsia="zh-CN"/>
        </w:rPr>
        <w:t>倡议</w:t>
      </w:r>
      <w:r>
        <w:rPr>
          <w:rFonts w:ascii="仿宋_GB2312" w:hAnsi="仿宋_GB2312" w:eastAsia="仿宋_GB2312"/>
          <w:sz w:val="32"/>
        </w:rPr>
        <w:t>自治区口岸经济带建设规划和喀什地区对外开放工作部署，加强红其拉甫口岸经济研究，推动“通道经济”向“口岸经济”转变，服务于地区对外开放和外贸高质量发展大局。</w:t>
      </w:r>
    </w:p>
    <w:p w14:paraId="24867B47">
      <w:pPr>
        <w:spacing w:line="580" w:lineRule="exact"/>
        <w:ind w:firstLine="640"/>
        <w:jc w:val="both"/>
      </w:pPr>
      <w:r>
        <w:rPr>
          <w:rFonts w:ascii="仿宋_GB2312" w:hAnsi="仿宋_GB2312" w:eastAsia="仿宋_GB2312"/>
          <w:sz w:val="32"/>
        </w:rPr>
        <w:t>（四）负责协调有关部门开展统计、预测、预报工作，监测口岸运行情况，平衡口岸外贸运输计划，确保口岸平稳运行。</w:t>
      </w:r>
    </w:p>
    <w:p w14:paraId="70E4AFEF">
      <w:pPr>
        <w:spacing w:line="580" w:lineRule="exact"/>
        <w:ind w:firstLine="640"/>
        <w:jc w:val="both"/>
      </w:pPr>
      <w:r>
        <w:rPr>
          <w:rFonts w:ascii="仿宋_GB2312" w:hAnsi="仿宋_GB2312" w:eastAsia="仿宋_GB2312"/>
          <w:sz w:val="32"/>
        </w:rPr>
        <w:t>（五）负责组织口岸的集、疏、运工作，加强口岸各环节的衔接，协调人员通关、货物检查、卫生检疫、道路运输相关工作的协作配合，加速运输周转和货物集散，保证口岸安全畅通。</w:t>
      </w:r>
    </w:p>
    <w:p w14:paraId="03A3B82B">
      <w:pPr>
        <w:spacing w:line="580" w:lineRule="exact"/>
        <w:ind w:firstLine="640"/>
        <w:jc w:val="both"/>
      </w:pPr>
      <w:r>
        <w:rPr>
          <w:rFonts w:ascii="仿宋_GB2312" w:hAnsi="仿宋_GB2312" w:eastAsia="仿宋_GB2312"/>
          <w:sz w:val="32"/>
        </w:rPr>
        <w:t>（六）负责协调督促红其拉甫口岸检查查验单位，按各自的职责和规定，对人员、交通工具、货物和行李物品进行监督管理以及检查、检验、检疫等工作。</w:t>
      </w:r>
    </w:p>
    <w:p w14:paraId="08812BFB">
      <w:pPr>
        <w:spacing w:line="580" w:lineRule="exact"/>
        <w:ind w:firstLine="640"/>
        <w:jc w:val="both"/>
      </w:pPr>
      <w:r>
        <w:rPr>
          <w:rFonts w:ascii="仿宋_GB2312" w:hAnsi="仿宋_GB2312" w:eastAsia="仿宋_GB2312"/>
          <w:sz w:val="32"/>
        </w:rPr>
        <w:t>（七）按照地区关于口岸工作预算，提出红其拉甫口岸项目投资建设方案，按要求抓好组织实施。</w:t>
      </w:r>
    </w:p>
    <w:p w14:paraId="7BB7BEF5">
      <w:pPr>
        <w:spacing w:line="580" w:lineRule="exact"/>
        <w:ind w:firstLine="640"/>
        <w:jc w:val="both"/>
      </w:pPr>
      <w:r>
        <w:rPr>
          <w:rFonts w:ascii="仿宋_GB2312" w:hAnsi="仿宋_GB2312" w:eastAsia="仿宋_GB2312"/>
          <w:sz w:val="32"/>
        </w:rPr>
        <w:t>（八）负责开展调查研究、总结交流经验，向上级有关部门反映红其拉甫口岸工作出现的重大矛盾和问题，并提出解决意见。</w:t>
      </w:r>
    </w:p>
    <w:p w14:paraId="495EC983">
      <w:pPr>
        <w:spacing w:line="580" w:lineRule="exact"/>
        <w:ind w:firstLine="640"/>
        <w:jc w:val="both"/>
      </w:pPr>
      <w:r>
        <w:rPr>
          <w:rFonts w:hint="eastAsia" w:ascii="仿宋_GB2312" w:hAnsi="仿宋_GB2312" w:eastAsia="仿宋_GB2312"/>
          <w:sz w:val="32"/>
          <w:lang w:eastAsia="zh-CN"/>
        </w:rPr>
        <w:t>（九）</w:t>
      </w:r>
      <w:r>
        <w:rPr>
          <w:rFonts w:ascii="仿宋_GB2312" w:hAnsi="仿宋_GB2312" w:eastAsia="仿宋_GB2312"/>
          <w:sz w:val="32"/>
        </w:rPr>
        <w:t>完成地委交办的其他工作。</w:t>
      </w:r>
    </w:p>
    <w:p w14:paraId="4518BFA8">
      <w:pPr>
        <w:spacing w:line="640" w:lineRule="exact"/>
        <w:ind w:firstLine="640"/>
        <w:jc w:val="both"/>
        <w:outlineLvl w:val="2"/>
      </w:pPr>
      <w:r>
        <w:rPr>
          <w:rFonts w:ascii="黑体" w:hAnsi="黑体" w:eastAsia="黑体"/>
          <w:sz w:val="32"/>
        </w:rPr>
        <w:t>二、机构设置及人员情况</w:t>
      </w:r>
    </w:p>
    <w:p w14:paraId="6B279A2F">
      <w:pPr>
        <w:spacing w:line="580" w:lineRule="exact"/>
        <w:ind w:firstLine="640"/>
        <w:jc w:val="both"/>
      </w:pPr>
      <w:r>
        <w:rPr>
          <w:rFonts w:ascii="仿宋_GB2312" w:hAnsi="仿宋_GB2312" w:eastAsia="仿宋_GB2312"/>
          <w:sz w:val="32"/>
        </w:rPr>
        <w:t>喀什地区红其拉甫口岸管理委员会2024年度，实有人数14人，其中：在职人员14人，增加14人；离休人员0人，增加0人；退休人员0人,增加0人。</w:t>
      </w:r>
    </w:p>
    <w:p w14:paraId="28764531">
      <w:pPr>
        <w:spacing w:line="580" w:lineRule="exact"/>
        <w:ind w:firstLine="640"/>
        <w:jc w:val="both"/>
      </w:pPr>
      <w:r>
        <w:rPr>
          <w:rFonts w:ascii="仿宋_GB2312" w:hAnsi="仿宋_GB2312" w:eastAsia="仿宋_GB2312"/>
          <w:sz w:val="32"/>
        </w:rPr>
        <w:t>喀什地区红其拉甫口岸管理委员会无下属预算单位，下设4个科室，分别是：综合科、外贸科、后勤科、通关科。</w:t>
      </w:r>
    </w:p>
    <w:p w14:paraId="188D745D">
      <w:r>
        <w:br w:type="page"/>
      </w:r>
    </w:p>
    <w:p w14:paraId="32A55DE0">
      <w:pPr>
        <w:spacing w:line="240" w:lineRule="auto"/>
        <w:jc w:val="center"/>
        <w:outlineLvl w:val="1"/>
      </w:pPr>
      <w:r>
        <w:rPr>
          <w:rFonts w:ascii="黑体" w:hAnsi="黑体" w:eastAsia="黑体"/>
          <w:sz w:val="32"/>
        </w:rPr>
        <w:t>第二部分 部门决算情况说明</w:t>
      </w:r>
    </w:p>
    <w:p w14:paraId="12D55A3C">
      <w:pPr>
        <w:spacing w:line="640" w:lineRule="exact"/>
        <w:ind w:firstLine="640"/>
        <w:jc w:val="both"/>
        <w:outlineLvl w:val="2"/>
      </w:pPr>
      <w:r>
        <w:rPr>
          <w:rFonts w:ascii="黑体" w:hAnsi="黑体" w:eastAsia="黑体"/>
          <w:sz w:val="32"/>
        </w:rPr>
        <w:t>一、收入支出决算总体情况说明</w:t>
      </w:r>
    </w:p>
    <w:p w14:paraId="082AED87">
      <w:pPr>
        <w:spacing w:line="580" w:lineRule="exact"/>
        <w:ind w:firstLine="640"/>
        <w:jc w:val="both"/>
      </w:pPr>
      <w:r>
        <w:rPr>
          <w:rFonts w:ascii="仿宋_GB2312" w:hAnsi="仿宋_GB2312" w:eastAsia="仿宋_GB2312"/>
          <w:b/>
          <w:sz w:val="32"/>
        </w:rPr>
        <w:t>2024年度收入总计1,233.42万元，</w:t>
      </w:r>
      <w:r>
        <w:rPr>
          <w:rFonts w:ascii="仿宋_GB2312" w:hAnsi="仿宋_GB2312" w:eastAsia="仿宋_GB2312"/>
          <w:b w:val="0"/>
          <w:sz w:val="32"/>
        </w:rPr>
        <w:t>其中：本年收入合计1,233.42万元，使用非财政拨款结余（含专用结余）0.00万元，年初结转和结余0.00万元。</w:t>
      </w:r>
    </w:p>
    <w:p w14:paraId="45BE5B3D">
      <w:pPr>
        <w:spacing w:line="580" w:lineRule="exact"/>
        <w:ind w:firstLine="640"/>
        <w:jc w:val="both"/>
      </w:pPr>
      <w:r>
        <w:rPr>
          <w:rFonts w:ascii="仿宋_GB2312" w:hAnsi="仿宋_GB2312" w:eastAsia="仿宋_GB2312"/>
          <w:b/>
          <w:sz w:val="32"/>
        </w:rPr>
        <w:t>2024年度支出总计1,233.42万元，</w:t>
      </w:r>
      <w:r>
        <w:rPr>
          <w:rFonts w:ascii="仿宋_GB2312" w:hAnsi="仿宋_GB2312" w:eastAsia="仿宋_GB2312"/>
          <w:b w:val="0"/>
          <w:sz w:val="32"/>
        </w:rPr>
        <w:t>其中：本年支出合计1,233.42万元，结余分配0.00万元，年末结转和结余0.00万元。</w:t>
      </w:r>
    </w:p>
    <w:p w14:paraId="6D6F84CD">
      <w:pPr>
        <w:spacing w:line="580" w:lineRule="exact"/>
        <w:ind w:firstLine="640"/>
        <w:jc w:val="both"/>
      </w:pPr>
      <w:r>
        <w:rPr>
          <w:rFonts w:ascii="仿宋_GB2312" w:hAnsi="仿宋_GB2312" w:eastAsia="仿宋_GB2312"/>
          <w:b w:val="0"/>
          <w:sz w:val="32"/>
        </w:rPr>
        <w:t>收入支出总体与上年相比，增加1,233.42万元，增长100.00%，主要原因是：本部门为本年新增部门，无上年对比数据。</w:t>
      </w:r>
    </w:p>
    <w:p w14:paraId="208506E0">
      <w:pPr>
        <w:spacing w:line="640" w:lineRule="exact"/>
        <w:ind w:firstLine="640"/>
        <w:jc w:val="both"/>
        <w:outlineLvl w:val="2"/>
      </w:pPr>
      <w:r>
        <w:rPr>
          <w:rFonts w:ascii="黑体" w:hAnsi="黑体" w:eastAsia="黑体"/>
          <w:sz w:val="32"/>
        </w:rPr>
        <w:t>二、收入决算情况说明</w:t>
      </w:r>
    </w:p>
    <w:p w14:paraId="2A951CE4">
      <w:pPr>
        <w:spacing w:line="580" w:lineRule="exact"/>
        <w:ind w:firstLine="640"/>
        <w:jc w:val="both"/>
      </w:pPr>
      <w:r>
        <w:rPr>
          <w:rFonts w:ascii="仿宋_GB2312" w:hAnsi="仿宋_GB2312" w:eastAsia="仿宋_GB2312"/>
          <w:b/>
          <w:sz w:val="32"/>
        </w:rPr>
        <w:t>本年收入1,233.42万元，</w:t>
      </w:r>
      <w:r>
        <w:rPr>
          <w:rFonts w:ascii="仿宋_GB2312" w:hAnsi="仿宋_GB2312" w:eastAsia="仿宋_GB2312"/>
          <w:b w:val="0"/>
          <w:sz w:val="32"/>
        </w:rPr>
        <w:t>其中：财政拨款收入1,233.42万元，占100.00%；上级补助收入0.00万元，占0.00%；事业收入0.00万元，占0.00%；经营收入0.00万元，占0.00%；附属单位上缴收入0.00万元，占0.00%；其他收入0.00万元，占0.00%。</w:t>
      </w:r>
    </w:p>
    <w:p w14:paraId="687AAB8D">
      <w:pPr>
        <w:spacing w:line="640" w:lineRule="exact"/>
        <w:ind w:firstLine="640"/>
        <w:jc w:val="both"/>
        <w:outlineLvl w:val="2"/>
      </w:pPr>
      <w:r>
        <w:rPr>
          <w:rFonts w:ascii="黑体" w:hAnsi="黑体" w:eastAsia="黑体"/>
          <w:sz w:val="32"/>
        </w:rPr>
        <w:t>三、支出决算情况说明</w:t>
      </w:r>
    </w:p>
    <w:p w14:paraId="6D534202">
      <w:pPr>
        <w:spacing w:line="580" w:lineRule="exact"/>
        <w:ind w:firstLine="640"/>
        <w:jc w:val="both"/>
      </w:pPr>
      <w:r>
        <w:rPr>
          <w:rFonts w:ascii="仿宋_GB2312" w:hAnsi="仿宋_GB2312" w:eastAsia="仿宋_GB2312"/>
          <w:b/>
          <w:sz w:val="32"/>
        </w:rPr>
        <w:t>本年支出1,233.42万元，</w:t>
      </w:r>
      <w:r>
        <w:rPr>
          <w:rFonts w:ascii="仿宋_GB2312" w:hAnsi="仿宋_GB2312" w:eastAsia="仿宋_GB2312"/>
          <w:b w:val="0"/>
          <w:sz w:val="32"/>
        </w:rPr>
        <w:t>其中：基本支出363.49万元，占29.47%；项目支出869.93万元，占70.53%；上缴上级支出0.00万元，占0.00%；经营支出0.00万元，占0.00%；对附属单位补助支出0.00万元，占0.00%。</w:t>
      </w:r>
    </w:p>
    <w:p w14:paraId="028E0204">
      <w:pPr>
        <w:spacing w:line="640" w:lineRule="exact"/>
        <w:ind w:firstLine="640"/>
        <w:jc w:val="both"/>
        <w:outlineLvl w:val="2"/>
      </w:pPr>
      <w:r>
        <w:rPr>
          <w:rFonts w:ascii="黑体" w:hAnsi="黑体" w:eastAsia="黑体"/>
          <w:sz w:val="32"/>
        </w:rPr>
        <w:t>四、财政拨款收入支出决算总体情况说明</w:t>
      </w:r>
    </w:p>
    <w:p w14:paraId="75B0D2BC">
      <w:pPr>
        <w:spacing w:line="580" w:lineRule="exact"/>
        <w:ind w:firstLine="640"/>
        <w:jc w:val="both"/>
      </w:pPr>
      <w:r>
        <w:rPr>
          <w:rFonts w:ascii="仿宋_GB2312" w:hAnsi="仿宋_GB2312" w:eastAsia="仿宋_GB2312"/>
          <w:b/>
          <w:sz w:val="32"/>
        </w:rPr>
        <w:t>2024年度财政拨款收入总计1,233.42万元，</w:t>
      </w:r>
      <w:r>
        <w:rPr>
          <w:rFonts w:ascii="仿宋_GB2312" w:hAnsi="仿宋_GB2312" w:eastAsia="仿宋_GB2312"/>
          <w:b w:val="0"/>
          <w:sz w:val="32"/>
        </w:rPr>
        <w:t>其中：年初财政拨款结转和结余0.00万元，本年财政拨款收入1,233.42万元。</w:t>
      </w:r>
      <w:r>
        <w:rPr>
          <w:rFonts w:ascii="仿宋_GB2312" w:hAnsi="仿宋_GB2312" w:eastAsia="仿宋_GB2312"/>
          <w:b/>
          <w:sz w:val="32"/>
        </w:rPr>
        <w:t>财政拨款支出总计1,233.42万元，</w:t>
      </w:r>
      <w:r>
        <w:rPr>
          <w:rFonts w:ascii="仿宋_GB2312" w:hAnsi="仿宋_GB2312" w:eastAsia="仿宋_GB2312"/>
          <w:b w:val="0"/>
          <w:sz w:val="32"/>
        </w:rPr>
        <w:t>其中：年末财政拨款结转和结余0.00万元，本年财政拨款支出1,233.42万元。</w:t>
      </w:r>
    </w:p>
    <w:p w14:paraId="768FE00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增加1,233.42万元，增长100.00%，主要原因是：本部门为本年新增部门，无上年对比数据。</w:t>
      </w:r>
      <w:r>
        <w:rPr>
          <w:rFonts w:ascii="仿宋_GB2312" w:hAnsi="仿宋_GB2312" w:eastAsia="仿宋_GB2312"/>
          <w:b/>
          <w:sz w:val="32"/>
        </w:rPr>
        <w:t>与年初预算相比，</w:t>
      </w:r>
      <w:r>
        <w:rPr>
          <w:rFonts w:ascii="仿宋_GB2312" w:hAnsi="仿宋_GB2312" w:eastAsia="仿宋_GB2312"/>
          <w:b w:val="0"/>
          <w:sz w:val="32"/>
        </w:rPr>
        <w:t>年初预算数935.36万元，决算数1,233.42万元，预决算差异率31.87%，主要原因是：年中追加口岸运转经费，导致预决算差异。</w:t>
      </w:r>
    </w:p>
    <w:p w14:paraId="7B8A4560">
      <w:pPr>
        <w:spacing w:line="640" w:lineRule="exact"/>
        <w:ind w:firstLine="640"/>
        <w:jc w:val="both"/>
        <w:outlineLvl w:val="2"/>
      </w:pPr>
      <w:r>
        <w:rPr>
          <w:rFonts w:ascii="黑体" w:hAnsi="黑体" w:eastAsia="黑体"/>
          <w:sz w:val="32"/>
        </w:rPr>
        <w:t>五、一般公共预算财政拨款支出决算情况说明</w:t>
      </w:r>
    </w:p>
    <w:p w14:paraId="35911A0D">
      <w:pPr>
        <w:spacing w:line="640" w:lineRule="exact"/>
        <w:ind w:firstLine="640"/>
        <w:jc w:val="both"/>
        <w:outlineLvl w:val="3"/>
      </w:pPr>
      <w:r>
        <w:rPr>
          <w:rFonts w:ascii="楷体_GB2312" w:hAnsi="楷体_GB2312" w:eastAsia="楷体_GB2312"/>
          <w:b/>
          <w:sz w:val="32"/>
        </w:rPr>
        <w:t>（一）一般公共预算财政拨款支出决算总体情况</w:t>
      </w:r>
    </w:p>
    <w:p w14:paraId="5A7B3C21">
      <w:pPr>
        <w:spacing w:line="580" w:lineRule="exact"/>
        <w:ind w:firstLine="640"/>
        <w:jc w:val="both"/>
      </w:pPr>
      <w:r>
        <w:rPr>
          <w:rFonts w:ascii="仿宋_GB2312" w:hAnsi="仿宋_GB2312" w:eastAsia="仿宋_GB2312"/>
          <w:b/>
          <w:sz w:val="32"/>
        </w:rPr>
        <w:t>2024年度一般公共预算财政拨款支出1,233.42万元，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增加1,233.42万元，增长100.00%，主要原因是：本部门为本年新增部门，无上年对比数据。</w:t>
      </w:r>
      <w:r>
        <w:rPr>
          <w:rFonts w:ascii="仿宋_GB2312" w:hAnsi="仿宋_GB2312" w:eastAsia="仿宋_GB2312"/>
          <w:b/>
          <w:sz w:val="32"/>
        </w:rPr>
        <w:t>与年初预算相比,</w:t>
      </w:r>
      <w:r>
        <w:rPr>
          <w:rFonts w:ascii="仿宋_GB2312" w:hAnsi="仿宋_GB2312" w:eastAsia="仿宋_GB2312"/>
          <w:b w:val="0"/>
          <w:sz w:val="32"/>
        </w:rPr>
        <w:t>年初预算数935.36万元，决算数1,233.42万元，预决算差异率31.87%，主要原因是：年中追加口岸运转经费，导致预决算差异。</w:t>
      </w:r>
    </w:p>
    <w:p w14:paraId="0E6A92D3">
      <w:pPr>
        <w:spacing w:line="640" w:lineRule="exact"/>
        <w:ind w:firstLine="640"/>
        <w:jc w:val="both"/>
        <w:outlineLvl w:val="3"/>
      </w:pPr>
      <w:r>
        <w:rPr>
          <w:rFonts w:ascii="楷体_GB2312" w:hAnsi="楷体_GB2312" w:eastAsia="楷体_GB2312"/>
          <w:b/>
          <w:sz w:val="32"/>
        </w:rPr>
        <w:t>（二）一般公共预算财政拨款支出决算结构情况</w:t>
      </w:r>
    </w:p>
    <w:p w14:paraId="62D2605F">
      <w:pPr>
        <w:spacing w:line="580" w:lineRule="exact"/>
        <w:ind w:firstLine="640"/>
        <w:jc w:val="both"/>
      </w:pPr>
      <w:r>
        <w:rPr>
          <w:rFonts w:ascii="仿宋_GB2312" w:hAnsi="仿宋_GB2312" w:eastAsia="仿宋_GB2312"/>
          <w:b w:val="0"/>
          <w:sz w:val="32"/>
        </w:rPr>
        <w:t>1.一般公共服务支出(类)1,179.88万元,占95.66%。</w:t>
      </w:r>
    </w:p>
    <w:p w14:paraId="11187A25">
      <w:pPr>
        <w:spacing w:line="580" w:lineRule="exact"/>
        <w:ind w:firstLine="640"/>
        <w:jc w:val="both"/>
      </w:pPr>
      <w:r>
        <w:rPr>
          <w:rFonts w:ascii="仿宋_GB2312" w:hAnsi="仿宋_GB2312" w:eastAsia="仿宋_GB2312"/>
          <w:b w:val="0"/>
          <w:sz w:val="32"/>
        </w:rPr>
        <w:t>2.社会保障和就业支出(类)23.84万元,占1.93%。</w:t>
      </w:r>
    </w:p>
    <w:p w14:paraId="4DA80333">
      <w:pPr>
        <w:spacing w:line="580" w:lineRule="exact"/>
        <w:ind w:firstLine="640"/>
        <w:jc w:val="both"/>
      </w:pPr>
      <w:r>
        <w:rPr>
          <w:rFonts w:ascii="仿宋_GB2312" w:hAnsi="仿宋_GB2312" w:eastAsia="仿宋_GB2312"/>
          <w:b w:val="0"/>
          <w:sz w:val="32"/>
        </w:rPr>
        <w:t>3.卫生健康支出(类)10.13万元,占0.82%。</w:t>
      </w:r>
    </w:p>
    <w:p w14:paraId="0D356E49">
      <w:pPr>
        <w:spacing w:line="580" w:lineRule="exact"/>
        <w:ind w:firstLine="640"/>
        <w:jc w:val="both"/>
      </w:pPr>
      <w:r>
        <w:rPr>
          <w:rFonts w:ascii="仿宋_GB2312" w:hAnsi="仿宋_GB2312" w:eastAsia="仿宋_GB2312"/>
          <w:b w:val="0"/>
          <w:sz w:val="32"/>
        </w:rPr>
        <w:t>4.住房保障支出(类)19.56万元,占1.59%。</w:t>
      </w:r>
    </w:p>
    <w:p w14:paraId="71E2DEA3">
      <w:pPr>
        <w:spacing w:line="640" w:lineRule="exact"/>
        <w:ind w:firstLine="640"/>
        <w:jc w:val="both"/>
        <w:outlineLvl w:val="3"/>
      </w:pPr>
      <w:r>
        <w:rPr>
          <w:rFonts w:ascii="楷体_GB2312" w:hAnsi="楷体_GB2312" w:eastAsia="楷体_GB2312"/>
          <w:b/>
          <w:sz w:val="32"/>
        </w:rPr>
        <w:t>（三）一般公共预算财政拨款支出决算具体情况</w:t>
      </w:r>
    </w:p>
    <w:p w14:paraId="3BB34A92">
      <w:pPr>
        <w:spacing w:line="580" w:lineRule="exact"/>
        <w:ind w:firstLine="640"/>
        <w:jc w:val="both"/>
      </w:pPr>
      <w:r>
        <w:rPr>
          <w:rFonts w:ascii="仿宋_GB2312" w:hAnsi="仿宋_GB2312" w:eastAsia="仿宋_GB2312"/>
          <w:b w:val="0"/>
          <w:sz w:val="32"/>
        </w:rPr>
        <w:t>1.一般公共服务支出(类)政府办公厅（室）及相关机构事务(款)事业运行(项):支出决算数为309.95万元，比上年决算增加309.95万元，增长100.00%,主要原因是：本部门为本年新增部门，无上年对比数据。</w:t>
      </w:r>
    </w:p>
    <w:p w14:paraId="7E8C597A">
      <w:pPr>
        <w:spacing w:line="580" w:lineRule="exact"/>
        <w:ind w:firstLine="640"/>
        <w:jc w:val="both"/>
      </w:pPr>
      <w:r>
        <w:rPr>
          <w:rFonts w:ascii="仿宋_GB2312" w:hAnsi="仿宋_GB2312" w:eastAsia="仿宋_GB2312"/>
          <w:b w:val="0"/>
          <w:sz w:val="32"/>
        </w:rPr>
        <w:t>2.一般公共服务支出(类)政府办公厅（室）及相关机构事务(款)其他政府办公厅（室）及相关机构事务支出(项):支出决算数为869.93万元，比上年决算增加869.93万元，增长100.00%,主要原因是：本部门为本年新增部门，无上年对比数据。</w:t>
      </w:r>
    </w:p>
    <w:p w14:paraId="7BBBC3AE">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3.社会保障和就业支出(类)行政事业单位养老支出(款)机关事业单位基本养老保险缴费支出(项):支出决算数为23.84万元，比上年决算增加23.84万元，增长100.00%,主要原因是：本部门为本年新增部门，无上年对比数据。</w:t>
      </w:r>
    </w:p>
    <w:p w14:paraId="1EA452D5">
      <w:pPr>
        <w:spacing w:line="580" w:lineRule="exact"/>
        <w:ind w:firstLine="640"/>
        <w:jc w:val="both"/>
      </w:pPr>
      <w:r>
        <w:rPr>
          <w:rFonts w:ascii="仿宋_GB2312" w:hAnsi="仿宋_GB2312" w:eastAsia="仿宋_GB2312"/>
          <w:b w:val="0"/>
          <w:sz w:val="32"/>
        </w:rPr>
        <w:t>4.卫生健康支出(类)行政事业单位医疗(款)事业单位医疗(项):支出决算数为10.13万元，比上年决算增加10.13万元，增长100.00%,主要原因是：本部门为本年新增部门，无上年对比数据。</w:t>
      </w:r>
    </w:p>
    <w:p w14:paraId="4A4839CA">
      <w:pPr>
        <w:spacing w:line="580" w:lineRule="exact"/>
        <w:ind w:firstLine="640"/>
        <w:jc w:val="both"/>
      </w:pPr>
      <w:r>
        <w:rPr>
          <w:rFonts w:ascii="仿宋_GB2312" w:hAnsi="仿宋_GB2312" w:eastAsia="仿宋_GB2312"/>
          <w:b w:val="0"/>
          <w:sz w:val="32"/>
        </w:rPr>
        <w:t>5.住房保障支出(类)住房改革支出(款)住房公积金(项):支出决算数为19.56万元，比上年决算增加19.56万元，增长100.00%,主要原因是：本部门为本年新增部门，无上年对比数据。</w:t>
      </w:r>
    </w:p>
    <w:p w14:paraId="6D6C335E">
      <w:pPr>
        <w:spacing w:line="640" w:lineRule="exact"/>
        <w:ind w:firstLine="640"/>
        <w:jc w:val="both"/>
        <w:outlineLvl w:val="2"/>
      </w:pPr>
      <w:r>
        <w:rPr>
          <w:rFonts w:ascii="黑体" w:hAnsi="黑体" w:eastAsia="黑体"/>
          <w:sz w:val="32"/>
        </w:rPr>
        <w:t>六、一般公共预算财政拨款基本支出决算情况说明</w:t>
      </w:r>
    </w:p>
    <w:p w14:paraId="1A9B986B">
      <w:pPr>
        <w:spacing w:line="580" w:lineRule="exact"/>
        <w:ind w:firstLine="640"/>
        <w:jc w:val="both"/>
      </w:pPr>
      <w:r>
        <w:rPr>
          <w:rFonts w:ascii="仿宋_GB2312" w:hAnsi="仿宋_GB2312" w:eastAsia="仿宋_GB2312"/>
          <w:b w:val="0"/>
          <w:sz w:val="32"/>
        </w:rPr>
        <w:t>2024年度一般公共预算财政拨款基本支出363.49万元，其中：</w:t>
      </w:r>
      <w:r>
        <w:rPr>
          <w:rFonts w:ascii="仿宋_GB2312" w:hAnsi="仿宋_GB2312" w:eastAsia="仿宋_GB2312"/>
          <w:b/>
          <w:sz w:val="32"/>
        </w:rPr>
        <w:t>人员经费342.15万元，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w:t>
      </w:r>
    </w:p>
    <w:p w14:paraId="444C92D6">
      <w:pPr>
        <w:spacing w:line="580" w:lineRule="exact"/>
        <w:ind w:firstLine="640"/>
        <w:jc w:val="both"/>
      </w:pPr>
      <w:r>
        <w:rPr>
          <w:rFonts w:ascii="仿宋_GB2312" w:hAnsi="仿宋_GB2312" w:eastAsia="仿宋_GB2312"/>
          <w:b/>
          <w:sz w:val="32"/>
        </w:rPr>
        <w:t>公用经费21.34万元，</w:t>
      </w:r>
      <w:r>
        <w:rPr>
          <w:rFonts w:ascii="仿宋_GB2312" w:hAnsi="仿宋_GB2312" w:eastAsia="仿宋_GB2312"/>
          <w:b w:val="0"/>
          <w:sz w:val="32"/>
        </w:rPr>
        <w:t>包括：办公费、电费、邮电费、取暖费、差旅费、专用材料费、工会经费、其他交通费用、其他商品和服务支出。</w:t>
      </w:r>
    </w:p>
    <w:p w14:paraId="430E6C9E">
      <w:pPr>
        <w:spacing w:line="640" w:lineRule="exact"/>
        <w:ind w:firstLine="640"/>
        <w:jc w:val="both"/>
        <w:outlineLvl w:val="2"/>
      </w:pPr>
      <w:r>
        <w:rPr>
          <w:rFonts w:ascii="黑体" w:hAnsi="黑体" w:eastAsia="黑体"/>
          <w:sz w:val="32"/>
        </w:rPr>
        <w:t>七、政府性基金预算财政拨款收入支出决算情况说明</w:t>
      </w:r>
    </w:p>
    <w:p w14:paraId="188F5DA6">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114822F1">
      <w:pPr>
        <w:spacing w:line="640" w:lineRule="exact"/>
        <w:ind w:firstLine="640"/>
        <w:jc w:val="both"/>
        <w:outlineLvl w:val="2"/>
      </w:pPr>
      <w:r>
        <w:rPr>
          <w:rFonts w:ascii="黑体" w:hAnsi="黑体" w:eastAsia="黑体"/>
          <w:sz w:val="32"/>
        </w:rPr>
        <w:t>八、国有资本经营预算财政拨款收入支出决算情况说明</w:t>
      </w:r>
    </w:p>
    <w:p w14:paraId="25C73ECD">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6E68B3E4">
      <w:pPr>
        <w:spacing w:line="640" w:lineRule="exact"/>
        <w:ind w:firstLine="640"/>
        <w:jc w:val="both"/>
        <w:outlineLvl w:val="2"/>
      </w:pPr>
      <w:r>
        <w:rPr>
          <w:rFonts w:ascii="黑体" w:hAnsi="黑体" w:eastAsia="黑体"/>
          <w:sz w:val="32"/>
        </w:rPr>
        <w:t>九、财政拨款“三公”经费支出决算情况说明</w:t>
      </w:r>
    </w:p>
    <w:p w14:paraId="312C4078">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7FB641A">
      <w:pPr>
        <w:spacing w:line="580" w:lineRule="exact"/>
        <w:ind w:firstLine="640"/>
        <w:jc w:val="both"/>
      </w:pPr>
      <w:r>
        <w:rPr>
          <w:rFonts w:ascii="仿宋_GB2312" w:hAnsi="仿宋_GB2312" w:eastAsia="仿宋_GB2312"/>
          <w:b/>
          <w:sz w:val="32"/>
        </w:rPr>
        <w:t>具体情况如下：</w:t>
      </w:r>
    </w:p>
    <w:p w14:paraId="2216266A">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43BA9298">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部门无公务用车运行维护费。公务用车购置数0辆，公务用车保有量0辆。国有资产占用情况中固定资产车辆0辆，与公务用车保有量差异原因是：本部门无固定资产车辆。</w:t>
      </w:r>
    </w:p>
    <w:p w14:paraId="53826051">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48A439E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部门无财政拨款“三公”经费支出。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0.00万元，决算数0.00万元，预决算差异率0.00%，主要原因是：本部门无公务用车运行维护费。公务接待费全年预算数0.00万元，决算数0.00万元，预决算差异率0.00%，主要原因是：本部门无公务接待费。</w:t>
      </w:r>
    </w:p>
    <w:p w14:paraId="0FBB97C1">
      <w:pPr>
        <w:spacing w:line="640" w:lineRule="exact"/>
        <w:ind w:firstLine="640"/>
        <w:jc w:val="both"/>
        <w:outlineLvl w:val="2"/>
      </w:pPr>
      <w:r>
        <w:rPr>
          <w:rFonts w:ascii="黑体" w:hAnsi="黑体" w:eastAsia="黑体"/>
          <w:sz w:val="32"/>
        </w:rPr>
        <w:t>十、其他重要事项的情况说明</w:t>
      </w:r>
    </w:p>
    <w:p w14:paraId="0FA3E4D2">
      <w:pPr>
        <w:spacing w:line="640" w:lineRule="exact"/>
        <w:ind w:firstLine="640"/>
        <w:jc w:val="both"/>
        <w:outlineLvl w:val="3"/>
      </w:pPr>
      <w:r>
        <w:rPr>
          <w:rFonts w:ascii="楷体_GB2312" w:hAnsi="楷体_GB2312" w:eastAsia="楷体_GB2312"/>
          <w:b/>
          <w:sz w:val="32"/>
        </w:rPr>
        <w:t>（一）机关运行经费及公用经费支出情况</w:t>
      </w:r>
    </w:p>
    <w:p w14:paraId="280D7844">
      <w:pPr>
        <w:spacing w:line="580" w:lineRule="exact"/>
        <w:ind w:firstLine="640"/>
        <w:jc w:val="both"/>
      </w:pPr>
      <w:r>
        <w:rPr>
          <w:rFonts w:ascii="仿宋_GB2312" w:hAnsi="仿宋_GB2312" w:eastAsia="仿宋_GB2312"/>
          <w:b w:val="0"/>
          <w:sz w:val="32"/>
        </w:rPr>
        <w:t>2024年度喀什地区红其拉甫口岸管理委员会（事业单位）公用经费支出21.34万元，比上年增加21.34万元，增长100.00%，主要原因是：本部门为本年新增部门，无上年公用经费支出。</w:t>
      </w:r>
    </w:p>
    <w:p w14:paraId="41DFEF1C">
      <w:pPr>
        <w:spacing w:line="640" w:lineRule="exact"/>
        <w:ind w:firstLine="640"/>
        <w:jc w:val="both"/>
        <w:outlineLvl w:val="3"/>
      </w:pPr>
      <w:r>
        <w:rPr>
          <w:rFonts w:ascii="楷体_GB2312" w:hAnsi="楷体_GB2312" w:eastAsia="楷体_GB2312"/>
          <w:b/>
          <w:sz w:val="32"/>
        </w:rPr>
        <w:t>（二）政府采购情况</w:t>
      </w:r>
    </w:p>
    <w:p w14:paraId="76396D12">
      <w:pPr>
        <w:spacing w:line="580" w:lineRule="exact"/>
        <w:ind w:firstLine="640"/>
        <w:jc w:val="both"/>
      </w:pPr>
      <w:r>
        <w:rPr>
          <w:rFonts w:ascii="仿宋_GB2312" w:hAnsi="仿宋_GB2312" w:eastAsia="仿宋_GB2312"/>
          <w:b w:val="0"/>
          <w:sz w:val="32"/>
        </w:rPr>
        <w:t>2024年度政府采购支出总额639.49万元，其中：政府采购货物支出352.48万元、政府采购工程支出196.83万元、政府采购服务支出90.18万元。</w:t>
      </w:r>
    </w:p>
    <w:p w14:paraId="6B2F3AD1">
      <w:pPr>
        <w:spacing w:line="580" w:lineRule="exact"/>
        <w:ind w:firstLine="640"/>
        <w:jc w:val="both"/>
      </w:pPr>
      <w:r>
        <w:rPr>
          <w:rFonts w:ascii="仿宋_GB2312" w:hAnsi="仿宋_GB2312" w:eastAsia="仿宋_GB2312"/>
          <w:b w:val="0"/>
          <w:sz w:val="32"/>
        </w:rPr>
        <w:t>授予中小企业合同金额547.66万元，占政府采购支出总额的85.64%，其中：授予小微企业合同金额516.41万元，占政府采购支出总额的80.75%。</w:t>
      </w:r>
    </w:p>
    <w:p w14:paraId="5E4CD6D0">
      <w:pPr>
        <w:spacing w:line="640" w:lineRule="exact"/>
        <w:ind w:firstLine="640"/>
        <w:jc w:val="both"/>
        <w:outlineLvl w:val="3"/>
      </w:pPr>
      <w:r>
        <w:rPr>
          <w:rFonts w:ascii="楷体_GB2312" w:hAnsi="楷体_GB2312" w:eastAsia="楷体_GB2312"/>
          <w:b/>
          <w:sz w:val="32"/>
        </w:rPr>
        <w:t>（三）国有资产占用情况说明</w:t>
      </w:r>
    </w:p>
    <w:p w14:paraId="6BE3930E">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部门无其他用车。单价100万元（含）以上设备（不含车辆）0台（套）。</w:t>
      </w:r>
    </w:p>
    <w:p w14:paraId="732FEEF1">
      <w:pPr>
        <w:spacing w:line="640" w:lineRule="exact"/>
        <w:ind w:firstLine="640"/>
        <w:jc w:val="both"/>
        <w:outlineLvl w:val="2"/>
      </w:pPr>
      <w:r>
        <w:rPr>
          <w:rFonts w:ascii="黑体" w:hAnsi="黑体" w:eastAsia="黑体"/>
          <w:sz w:val="32"/>
        </w:rPr>
        <w:t>十一、预算绩效的情况说明</w:t>
      </w:r>
    </w:p>
    <w:p w14:paraId="42709AC1">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1,557.83万元，实际执行总额1,233.42万元；预算绩效评价项目3个，全年预算数1,194.34万元，全年执行数869.92万元。预算绩效管理取得的成效：一是各项工作任务和项目均按计划完成，工作质量达标；二是在经济效益和社会效益方面取得了积极成果。发现的问题及原因：一是绩效管理水平需提升，绩效指标设置不够细化、量化，在绩效评价过程中部分指标难以准确衡量；二是虽然在工作中充满热情、积极好学，但是经验不多、知识储备不够。下一步改进措施：一是提升绩效管理水平，将评价结果和预算安排、工作考核挂钩，提高绩效管理的约束力；二是提高绩效知识水平，加强绩效学习，积极参加财政局组织的各类绩效培训，不断提升业务能力和综合素质。具体附部门整体支出绩效自评表，项目支出绩效自评表和部门评价报告。</w:t>
      </w:r>
    </w:p>
    <w:p w14:paraId="5E3F88C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E29307A">
        <w:tblPrEx>
          <w:tblCellMar>
            <w:top w:w="0" w:type="dxa"/>
            <w:left w:w="108" w:type="dxa"/>
            <w:bottom w:w="0" w:type="dxa"/>
            <w:right w:w="108" w:type="dxa"/>
          </w:tblCellMar>
        </w:tblPrEx>
        <w:tc>
          <w:tcPr>
            <w:tcW w:w="8847" w:type="dxa"/>
            <w:gridSpan w:val="9"/>
            <w:vAlign w:val="center"/>
          </w:tcPr>
          <w:p w14:paraId="22CEFF62">
            <w:pPr>
              <w:jc w:val="center"/>
            </w:pPr>
            <w:r>
              <w:rPr>
                <w:rFonts w:ascii="宋体" w:hAnsi="宋体" w:eastAsia="宋体"/>
                <w:sz w:val="24"/>
              </w:rPr>
              <w:t>部门整体支出绩效自评表</w:t>
            </w:r>
          </w:p>
        </w:tc>
      </w:tr>
      <w:tr w14:paraId="1B470274">
        <w:tblPrEx>
          <w:tblCellMar>
            <w:top w:w="0" w:type="dxa"/>
            <w:left w:w="108" w:type="dxa"/>
            <w:bottom w:w="0" w:type="dxa"/>
            <w:right w:w="108" w:type="dxa"/>
          </w:tblCellMar>
        </w:tblPrEx>
        <w:tc>
          <w:tcPr>
            <w:tcW w:w="8847" w:type="dxa"/>
            <w:gridSpan w:val="9"/>
            <w:vAlign w:val="center"/>
          </w:tcPr>
          <w:p w14:paraId="3FDD28AF">
            <w:pPr>
              <w:jc w:val="center"/>
            </w:pPr>
            <w:r>
              <w:rPr>
                <w:rFonts w:ascii="宋体" w:hAnsi="宋体" w:eastAsia="宋体"/>
                <w:sz w:val="24"/>
              </w:rPr>
              <w:t>（2024年度）</w:t>
            </w:r>
          </w:p>
        </w:tc>
      </w:tr>
      <w:tr w14:paraId="5B9732E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B89F9">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F45F788">
            <w:pPr>
              <w:jc w:val="center"/>
            </w:pPr>
            <w:r>
              <w:rPr>
                <w:rFonts w:ascii="宋体" w:hAnsi="宋体" w:eastAsia="宋体"/>
                <w:sz w:val="16"/>
              </w:rPr>
              <w:t>喀什地区红其拉甫口岸管理委员会</w:t>
            </w:r>
          </w:p>
        </w:tc>
      </w:tr>
      <w:tr w14:paraId="1DDA1B4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6E228E">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D965BD">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68D09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54209">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1F205D">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46C59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40E15">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9750A">
            <w:pPr>
              <w:jc w:val="center"/>
            </w:pPr>
            <w:r>
              <w:rPr>
                <w:rFonts w:ascii="宋体" w:hAnsi="宋体" w:eastAsia="宋体"/>
                <w:sz w:val="16"/>
              </w:rPr>
              <w:t>得分</w:t>
            </w:r>
          </w:p>
        </w:tc>
      </w:tr>
      <w:tr w14:paraId="31F3EE3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2CBAB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4B6E9C">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5D02EF">
            <w:pPr>
              <w:jc w:val="center"/>
            </w:pPr>
            <w:r>
              <w:rPr>
                <w:rFonts w:ascii="宋体" w:hAnsi="宋体" w:eastAsia="宋体"/>
                <w:sz w:val="16"/>
              </w:rPr>
              <w:t>935.36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2E10A">
            <w:pPr>
              <w:jc w:val="center"/>
            </w:pPr>
            <w:r>
              <w:rPr>
                <w:rFonts w:ascii="宋体" w:hAnsi="宋体" w:eastAsia="宋体"/>
                <w:sz w:val="16"/>
              </w:rPr>
              <w:t>1,557.83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E70D70">
            <w:pPr>
              <w:jc w:val="center"/>
            </w:pPr>
            <w:r>
              <w:rPr>
                <w:rFonts w:ascii="宋体" w:hAnsi="宋体" w:eastAsia="宋体"/>
                <w:sz w:val="16"/>
              </w:rPr>
              <w:t>1,233.42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6154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4C7AD">
            <w:pPr>
              <w:jc w:val="center"/>
            </w:pPr>
            <w:r>
              <w:rPr>
                <w:rFonts w:ascii="宋体" w:hAnsi="宋体" w:eastAsia="宋体"/>
                <w:sz w:val="16"/>
              </w:rPr>
              <w:t>79.18%</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89D83">
            <w:pPr>
              <w:jc w:val="center"/>
            </w:pPr>
            <w:r>
              <w:rPr>
                <w:rFonts w:ascii="宋体" w:hAnsi="宋体" w:eastAsia="宋体"/>
                <w:sz w:val="16"/>
              </w:rPr>
              <w:t>7.92</w:t>
            </w:r>
          </w:p>
        </w:tc>
      </w:tr>
      <w:tr w14:paraId="5FFC71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ACE74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9D9121">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DF2A74">
            <w:pPr>
              <w:jc w:val="center"/>
            </w:pPr>
            <w:r>
              <w:rPr>
                <w:rFonts w:ascii="宋体" w:hAnsi="宋体" w:eastAsia="宋体"/>
                <w:sz w:val="16"/>
              </w:rPr>
              <w:t>634.14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EBC77">
            <w:pPr>
              <w:jc w:val="center"/>
            </w:pPr>
            <w:r>
              <w:rPr>
                <w:rFonts w:ascii="宋体" w:hAnsi="宋体" w:eastAsia="宋体"/>
                <w:sz w:val="16"/>
              </w:rPr>
              <w:t>1,196.66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B7BC8">
            <w:pPr>
              <w:jc w:val="center"/>
            </w:pPr>
            <w:r>
              <w:rPr>
                <w:rFonts w:ascii="宋体" w:hAnsi="宋体" w:eastAsia="宋体"/>
                <w:sz w:val="16"/>
              </w:rPr>
              <w:t>872.25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A7207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D67F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E81AC">
            <w:pPr>
              <w:jc w:val="center"/>
            </w:pPr>
            <w:r>
              <w:rPr>
                <w:rFonts w:ascii="宋体" w:hAnsi="宋体" w:eastAsia="宋体"/>
                <w:sz w:val="16"/>
              </w:rPr>
              <w:t>—</w:t>
            </w:r>
          </w:p>
        </w:tc>
      </w:tr>
      <w:tr w14:paraId="5A7CE1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C60E7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34A0C">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4C74F">
            <w:pPr>
              <w:jc w:val="center"/>
            </w:pPr>
            <w:r>
              <w:rPr>
                <w:rFonts w:ascii="宋体" w:hAnsi="宋体" w:eastAsia="宋体"/>
                <w:sz w:val="16"/>
              </w:rPr>
              <w:t>301.22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839C2">
            <w:pPr>
              <w:jc w:val="center"/>
            </w:pPr>
            <w:r>
              <w:rPr>
                <w:rFonts w:ascii="宋体" w:hAnsi="宋体" w:eastAsia="宋体"/>
                <w:sz w:val="16"/>
              </w:rPr>
              <w:t>361.17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BB88B">
            <w:pPr>
              <w:jc w:val="center"/>
            </w:pPr>
            <w:r>
              <w:rPr>
                <w:rFonts w:ascii="宋体" w:hAnsi="宋体" w:eastAsia="宋体"/>
                <w:sz w:val="16"/>
              </w:rPr>
              <w:t>361.17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8223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94722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2D088">
            <w:pPr>
              <w:jc w:val="center"/>
            </w:pPr>
            <w:r>
              <w:rPr>
                <w:rFonts w:ascii="宋体" w:hAnsi="宋体" w:eastAsia="宋体"/>
                <w:sz w:val="16"/>
              </w:rPr>
              <w:t>—</w:t>
            </w:r>
          </w:p>
        </w:tc>
      </w:tr>
      <w:tr w14:paraId="2D4C11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7DF8F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63A21">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D5C23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C2EEA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3895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8CB0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0A41C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9EF78">
            <w:pPr>
              <w:jc w:val="center"/>
            </w:pPr>
            <w:r>
              <w:rPr>
                <w:rFonts w:ascii="宋体" w:hAnsi="宋体" w:eastAsia="宋体"/>
                <w:sz w:val="16"/>
              </w:rPr>
              <w:t>—</w:t>
            </w:r>
          </w:p>
        </w:tc>
      </w:tr>
      <w:tr w14:paraId="0AE296E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56D3D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BD1332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573E01">
            <w:pPr>
              <w:jc w:val="center"/>
            </w:pPr>
            <w:r>
              <w:rPr>
                <w:rFonts w:ascii="宋体" w:hAnsi="宋体" w:eastAsia="宋体"/>
                <w:sz w:val="16"/>
              </w:rPr>
              <w:t>实际完成情况</w:t>
            </w:r>
          </w:p>
        </w:tc>
      </w:tr>
      <w:tr w14:paraId="58CD46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D2D4C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7391692">
            <w:pPr>
              <w:jc w:val="both"/>
            </w:pPr>
            <w:r>
              <w:rPr>
                <w:rFonts w:hint="eastAsia" w:ascii="宋体" w:hAnsi="宋体"/>
                <w:sz w:val="16"/>
                <w:lang w:eastAsia="zh-CN"/>
              </w:rPr>
              <w:t>本部门</w:t>
            </w:r>
            <w:r>
              <w:rPr>
                <w:rFonts w:ascii="宋体" w:hAnsi="宋体" w:eastAsia="宋体"/>
                <w:sz w:val="16"/>
              </w:rPr>
              <w:t>2024年度严格执行项目资金预算支出，充分履行口岸工作职能；口岸工作按照党的二十大“加快建设西部陆海新通道”的战略部署做好各项口岸工作，提升口岸通关效率，优化口岸营商环境，与各联检单位充分发挥口岸联防联控工作机制作用。红其拉甫口岸2024年进出口货物量、贸易额分别达到6.25万吨和4.43亿美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DBBB70">
            <w:pPr>
              <w:jc w:val="both"/>
            </w:pPr>
            <w:r>
              <w:rPr>
                <w:rFonts w:hint="eastAsia" w:ascii="宋体" w:hAnsi="宋体"/>
                <w:sz w:val="16"/>
                <w:lang w:eastAsia="zh-CN"/>
              </w:rPr>
              <w:t>本部门</w:t>
            </w:r>
            <w:r>
              <w:rPr>
                <w:rFonts w:ascii="宋体" w:hAnsi="宋体" w:eastAsia="宋体"/>
                <w:sz w:val="16"/>
              </w:rPr>
              <w:t>2024年全年预算金额为1557.83万元，执行金额为1233.42万元，执行率为79.18%，红其拉甫口岸全年通关过货量2024年完成值为6.25万吨，红其拉甫口岸全年通关贸易额4.43亿美元，强化口岸基础设施建设及维护提升口岸通关效率为100%，口岸工作对我区贸易、教育、医疗等方面的保障率为100%，为口岸提供的便捷服务，有效提高了教育领域的国际交流合作提供了有力支持，口岸的医疗卫生保障措施，有效应对了突发公共卫生事件。</w:t>
            </w:r>
          </w:p>
        </w:tc>
      </w:tr>
      <w:tr w14:paraId="374B933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A4B3C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1FE73">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BF6B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8B8B4B">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66A9E">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32705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632A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0EACED">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AC110">
            <w:pPr>
              <w:jc w:val="center"/>
            </w:pPr>
            <w:r>
              <w:rPr>
                <w:rFonts w:ascii="宋体" w:hAnsi="宋体" w:eastAsia="宋体"/>
                <w:sz w:val="16"/>
              </w:rPr>
              <w:t>得分</w:t>
            </w:r>
          </w:p>
        </w:tc>
      </w:tr>
      <w:tr w14:paraId="30DA861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AE2934">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4A59A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BF3CEF">
            <w:pPr>
              <w:jc w:val="center"/>
            </w:pPr>
            <w:r>
              <w:rPr>
                <w:rFonts w:ascii="宋体" w:hAnsi="宋体" w:eastAsia="宋体"/>
                <w:sz w:val="16"/>
              </w:rPr>
              <w:t>红其拉甫口岸全年通关过货量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DEB9B">
            <w:pPr>
              <w:jc w:val="center"/>
            </w:pPr>
            <w:r>
              <w:rPr>
                <w:rFonts w:ascii="宋体" w:hAnsi="宋体" w:eastAsia="宋体"/>
                <w:sz w:val="16"/>
              </w:rPr>
              <w:t>&gt;=6.25万吨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59AB3">
            <w:pPr>
              <w:jc w:val="center"/>
            </w:pPr>
            <w:r>
              <w:rPr>
                <w:rFonts w:ascii="宋体" w:hAnsi="宋体" w:eastAsia="宋体"/>
                <w:sz w:val="16"/>
              </w:rPr>
              <w:t>喀什地区红其拉甫口岸管理委员会2024年工作计划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E445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EE2C8A">
            <w:pPr>
              <w:jc w:val="center"/>
            </w:pPr>
            <w:r>
              <w:rPr>
                <w:rFonts w:ascii="宋体" w:hAnsi="宋体" w:eastAsia="宋体"/>
                <w:sz w:val="16"/>
              </w:rPr>
              <w:t>6.25万吨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9570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D2F31">
            <w:pPr>
              <w:jc w:val="center"/>
            </w:pPr>
            <w:r>
              <w:rPr>
                <w:rFonts w:ascii="宋体" w:hAnsi="宋体" w:eastAsia="宋体"/>
                <w:sz w:val="16"/>
              </w:rPr>
              <w:t>20</w:t>
            </w:r>
          </w:p>
        </w:tc>
      </w:tr>
      <w:tr w14:paraId="089D0B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55FA0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36D9F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D3EE14">
            <w:pPr>
              <w:jc w:val="center"/>
            </w:pPr>
            <w:r>
              <w:rPr>
                <w:rFonts w:ascii="宋体" w:hAnsi="宋体" w:eastAsia="宋体"/>
                <w:sz w:val="16"/>
              </w:rPr>
              <w:t>红其拉甫口岸全年贸易额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167E09">
            <w:pPr>
              <w:jc w:val="center"/>
            </w:pPr>
            <w:r>
              <w:rPr>
                <w:rFonts w:ascii="宋体" w:hAnsi="宋体" w:eastAsia="宋体"/>
                <w:sz w:val="16"/>
              </w:rPr>
              <w:t>&gt;=4.43亿美元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9E29FB">
            <w:pPr>
              <w:jc w:val="center"/>
            </w:pPr>
            <w:r>
              <w:rPr>
                <w:rFonts w:ascii="宋体" w:hAnsi="宋体" w:eastAsia="宋体"/>
                <w:sz w:val="16"/>
              </w:rPr>
              <w:t>喀什地区红其拉甫口岸管理委员会2024年工作计划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D8A2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E0F018">
            <w:pPr>
              <w:jc w:val="center"/>
            </w:pPr>
            <w:r>
              <w:rPr>
                <w:rFonts w:ascii="宋体" w:hAnsi="宋体" w:eastAsia="宋体"/>
                <w:sz w:val="16"/>
              </w:rPr>
              <w:t>4.43亿美元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1E7E3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1D540">
            <w:pPr>
              <w:jc w:val="center"/>
            </w:pPr>
            <w:r>
              <w:rPr>
                <w:rFonts w:ascii="宋体" w:hAnsi="宋体" w:eastAsia="宋体"/>
                <w:sz w:val="16"/>
              </w:rPr>
              <w:t>10</w:t>
            </w:r>
          </w:p>
        </w:tc>
      </w:tr>
      <w:tr w14:paraId="2C706A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D1D68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6FC05F">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6C64BB">
            <w:pPr>
              <w:jc w:val="center"/>
            </w:pPr>
            <w:r>
              <w:rPr>
                <w:rFonts w:ascii="宋体" w:hAnsi="宋体" w:eastAsia="宋体"/>
                <w:sz w:val="16"/>
              </w:rPr>
              <w:t>强化口岸基础设施建设及维护提升口岸通关效率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AA742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DDDE51">
            <w:pPr>
              <w:jc w:val="center"/>
            </w:pPr>
            <w:r>
              <w:rPr>
                <w:rFonts w:ascii="宋体" w:hAnsi="宋体" w:eastAsia="宋体"/>
                <w:sz w:val="16"/>
              </w:rPr>
              <w:t>喀什地区红其拉甫口岸管理委员会2024年工作计划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E4047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7BC2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773C7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C8DD4">
            <w:pPr>
              <w:jc w:val="center"/>
            </w:pPr>
            <w:r>
              <w:rPr>
                <w:rFonts w:ascii="宋体" w:hAnsi="宋体" w:eastAsia="宋体"/>
                <w:sz w:val="16"/>
              </w:rPr>
              <w:t>20</w:t>
            </w:r>
          </w:p>
        </w:tc>
      </w:tr>
      <w:tr w14:paraId="2219D3F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4EE8C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3D9C6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52EFA">
            <w:pPr>
              <w:jc w:val="center"/>
            </w:pPr>
            <w:r>
              <w:rPr>
                <w:rFonts w:ascii="宋体" w:hAnsi="宋体" w:eastAsia="宋体"/>
                <w:sz w:val="16"/>
              </w:rPr>
              <w:t>红其拉甫口岸全年通关时长</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73618">
            <w:pPr>
              <w:jc w:val="center"/>
            </w:pPr>
            <w:r>
              <w:rPr>
                <w:rFonts w:ascii="宋体" w:hAnsi="宋体" w:eastAsia="宋体"/>
                <w:sz w:val="16"/>
              </w:rPr>
              <w:t>=9月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3BF318">
            <w:pPr>
              <w:jc w:val="center"/>
            </w:pPr>
            <w:r>
              <w:rPr>
                <w:rFonts w:ascii="宋体" w:hAnsi="宋体" w:eastAsia="宋体"/>
                <w:sz w:val="16"/>
              </w:rPr>
              <w:t>喀什地区红其拉甫口岸管理委员会2024年工作计划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37E94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100E9">
            <w:pPr>
              <w:jc w:val="center"/>
            </w:pPr>
            <w:r>
              <w:rPr>
                <w:rFonts w:ascii="宋体" w:hAnsi="宋体" w:eastAsia="宋体"/>
                <w:sz w:val="16"/>
              </w:rPr>
              <w:t>9月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43E1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51132F">
            <w:pPr>
              <w:jc w:val="center"/>
            </w:pPr>
            <w:r>
              <w:rPr>
                <w:rFonts w:ascii="宋体" w:hAnsi="宋体" w:eastAsia="宋体"/>
                <w:sz w:val="16"/>
              </w:rPr>
              <w:t>20</w:t>
            </w:r>
          </w:p>
        </w:tc>
      </w:tr>
      <w:tr w14:paraId="629AF68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EE696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93EFF">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2F842">
            <w:pPr>
              <w:jc w:val="center"/>
            </w:pPr>
            <w:r>
              <w:rPr>
                <w:rFonts w:ascii="宋体" w:hAnsi="宋体" w:eastAsia="宋体"/>
                <w:sz w:val="16"/>
              </w:rPr>
              <w:t>口岸工作对我区贸易，教育，医疗等方面的保障率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CE5A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18AFE3">
            <w:pPr>
              <w:jc w:val="center"/>
            </w:pPr>
            <w:r>
              <w:rPr>
                <w:rFonts w:ascii="宋体" w:hAnsi="宋体" w:eastAsia="宋体"/>
                <w:sz w:val="16"/>
              </w:rPr>
              <w:t>喀什地区红其拉甫口岸管理委员会2024年工作计划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D23E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EB54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80573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F38BEA">
            <w:pPr>
              <w:jc w:val="center"/>
            </w:pPr>
            <w:r>
              <w:rPr>
                <w:rFonts w:ascii="宋体" w:hAnsi="宋体" w:eastAsia="宋体"/>
                <w:sz w:val="16"/>
              </w:rPr>
              <w:t>20</w:t>
            </w:r>
          </w:p>
        </w:tc>
      </w:tr>
    </w:tbl>
    <w:p w14:paraId="3E33B235">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96"/>
        <w:gridCol w:w="776"/>
        <w:gridCol w:w="626"/>
        <w:gridCol w:w="626"/>
        <w:gridCol w:w="628"/>
        <w:gridCol w:w="626"/>
        <w:gridCol w:w="626"/>
        <w:gridCol w:w="696"/>
        <w:gridCol w:w="631"/>
        <w:gridCol w:w="618"/>
        <w:gridCol w:w="632"/>
      </w:tblGrid>
      <w:tr w14:paraId="2FA2D2CD">
        <w:tblPrEx>
          <w:tblCellMar>
            <w:top w:w="0" w:type="dxa"/>
            <w:left w:w="108" w:type="dxa"/>
            <w:bottom w:w="0" w:type="dxa"/>
            <w:right w:w="108" w:type="dxa"/>
          </w:tblCellMar>
        </w:tblPrEx>
        <w:tc>
          <w:tcPr>
            <w:tcW w:w="8848" w:type="dxa"/>
            <w:gridSpan w:val="14"/>
            <w:vAlign w:val="center"/>
          </w:tcPr>
          <w:p w14:paraId="4CF24DB5">
            <w:pPr>
              <w:jc w:val="center"/>
            </w:pPr>
            <w:r>
              <w:rPr>
                <w:rFonts w:ascii="宋体" w:hAnsi="宋体" w:eastAsia="宋体"/>
                <w:sz w:val="24"/>
              </w:rPr>
              <w:t>项目支出绩效自评表</w:t>
            </w:r>
          </w:p>
        </w:tc>
      </w:tr>
      <w:tr w14:paraId="3CFDE7AC">
        <w:tblPrEx>
          <w:tblCellMar>
            <w:top w:w="0" w:type="dxa"/>
            <w:left w:w="108" w:type="dxa"/>
            <w:bottom w:w="0" w:type="dxa"/>
            <w:right w:w="108" w:type="dxa"/>
          </w:tblCellMar>
        </w:tblPrEx>
        <w:tc>
          <w:tcPr>
            <w:tcW w:w="8848" w:type="dxa"/>
            <w:gridSpan w:val="14"/>
            <w:vAlign w:val="center"/>
          </w:tcPr>
          <w:p w14:paraId="7497AEEA">
            <w:pPr>
              <w:jc w:val="center"/>
            </w:pPr>
            <w:r>
              <w:rPr>
                <w:rFonts w:ascii="宋体" w:hAnsi="宋体" w:eastAsia="宋体"/>
                <w:sz w:val="24"/>
              </w:rPr>
              <w:t>(2024年度)</w:t>
            </w:r>
          </w:p>
        </w:tc>
      </w:tr>
      <w:tr w14:paraId="5BC7DC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C55F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F39CC0A">
            <w:pPr>
              <w:jc w:val="center"/>
            </w:pPr>
            <w:r>
              <w:rPr>
                <w:rFonts w:ascii="宋体" w:hAnsi="宋体" w:eastAsia="宋体"/>
                <w:sz w:val="16"/>
              </w:rPr>
              <w:t>2023年边境地区转移支付项目</w:t>
            </w:r>
          </w:p>
        </w:tc>
      </w:tr>
      <w:tr w14:paraId="5B9083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6968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8B993D">
            <w:pPr>
              <w:jc w:val="center"/>
            </w:pPr>
            <w:r>
              <w:rPr>
                <w:rFonts w:ascii="宋体" w:hAnsi="宋体" w:eastAsia="宋体"/>
                <w:sz w:val="16"/>
              </w:rPr>
              <w:t>喀什地区红其拉甫口岸管理委员会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1D91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7DD4CE">
            <w:pPr>
              <w:jc w:val="center"/>
            </w:pPr>
            <w:r>
              <w:rPr>
                <w:rFonts w:ascii="宋体" w:hAnsi="宋体" w:eastAsia="宋体"/>
                <w:sz w:val="16"/>
              </w:rPr>
              <w:t>喀什地区红其拉甫口岸管理委员会</w:t>
            </w:r>
          </w:p>
        </w:tc>
      </w:tr>
      <w:tr w14:paraId="47D593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84BB3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D1B3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BFF9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8F72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FA03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3452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775F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2E265">
            <w:pPr>
              <w:jc w:val="center"/>
            </w:pPr>
            <w:r>
              <w:rPr>
                <w:rFonts w:ascii="宋体" w:hAnsi="宋体" w:eastAsia="宋体"/>
                <w:sz w:val="16"/>
              </w:rPr>
              <w:t>得分</w:t>
            </w:r>
          </w:p>
        </w:tc>
      </w:tr>
      <w:tr w14:paraId="42BC16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9FB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337A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320B7">
            <w:pPr>
              <w:jc w:val="center"/>
            </w:pPr>
            <w:r>
              <w:rPr>
                <w:rFonts w:ascii="宋体" w:hAnsi="宋体" w:eastAsia="宋体"/>
                <w:sz w:val="16"/>
              </w:rPr>
              <w:t>91.71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AA4BB">
            <w:pPr>
              <w:jc w:val="center"/>
            </w:pPr>
            <w:r>
              <w:rPr>
                <w:rFonts w:ascii="宋体" w:hAnsi="宋体" w:eastAsia="宋体"/>
                <w:sz w:val="16"/>
              </w:rPr>
              <w:t>91.71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2B349">
            <w:pPr>
              <w:jc w:val="center"/>
            </w:pPr>
            <w:r>
              <w:rPr>
                <w:rFonts w:ascii="宋体" w:hAnsi="宋体" w:eastAsia="宋体"/>
                <w:sz w:val="16"/>
              </w:rPr>
              <w:t>91.71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A72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C56D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B09F3">
            <w:pPr>
              <w:jc w:val="center"/>
            </w:pPr>
            <w:r>
              <w:rPr>
                <w:rFonts w:ascii="宋体" w:hAnsi="宋体" w:eastAsia="宋体"/>
                <w:sz w:val="16"/>
              </w:rPr>
              <w:t>10.00分</w:t>
            </w:r>
          </w:p>
        </w:tc>
      </w:tr>
      <w:tr w14:paraId="31B4EC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193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34B1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07256">
            <w:pPr>
              <w:jc w:val="center"/>
            </w:pPr>
            <w:r>
              <w:rPr>
                <w:rFonts w:ascii="宋体" w:hAnsi="宋体" w:eastAsia="宋体"/>
                <w:sz w:val="16"/>
              </w:rPr>
              <w:t>91.71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A4920">
            <w:pPr>
              <w:jc w:val="center"/>
            </w:pPr>
            <w:r>
              <w:rPr>
                <w:rFonts w:ascii="宋体" w:hAnsi="宋体" w:eastAsia="宋体"/>
                <w:sz w:val="16"/>
              </w:rPr>
              <w:t>91.71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21819">
            <w:pPr>
              <w:jc w:val="center"/>
            </w:pPr>
            <w:r>
              <w:rPr>
                <w:rFonts w:ascii="宋体" w:hAnsi="宋体" w:eastAsia="宋体"/>
                <w:sz w:val="16"/>
              </w:rPr>
              <w:t>91.71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BA23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B47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C364A">
            <w:pPr>
              <w:jc w:val="center"/>
            </w:pPr>
            <w:r>
              <w:rPr>
                <w:rFonts w:ascii="宋体" w:hAnsi="宋体" w:eastAsia="宋体"/>
                <w:sz w:val="16"/>
              </w:rPr>
              <w:t>—</w:t>
            </w:r>
          </w:p>
        </w:tc>
      </w:tr>
      <w:tr w14:paraId="178452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B48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5732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3D0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78E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53A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5EFC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B75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E16A2">
            <w:pPr>
              <w:jc w:val="center"/>
            </w:pPr>
            <w:r>
              <w:rPr>
                <w:rFonts w:ascii="宋体" w:hAnsi="宋体" w:eastAsia="宋体"/>
                <w:sz w:val="16"/>
              </w:rPr>
              <w:t>—</w:t>
            </w:r>
          </w:p>
        </w:tc>
      </w:tr>
      <w:tr w14:paraId="10433A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D85A5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F4BAE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26BBD6">
            <w:pPr>
              <w:jc w:val="center"/>
            </w:pPr>
            <w:r>
              <w:rPr>
                <w:rFonts w:ascii="宋体" w:hAnsi="宋体" w:eastAsia="宋体"/>
                <w:sz w:val="16"/>
              </w:rPr>
              <w:t>实际完成情况</w:t>
            </w:r>
          </w:p>
        </w:tc>
      </w:tr>
      <w:tr w14:paraId="7778D5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2B21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8C0AFF">
            <w:pPr>
              <w:jc w:val="both"/>
            </w:pPr>
            <w:r>
              <w:rPr>
                <w:rFonts w:ascii="宋体" w:hAnsi="宋体" w:eastAsia="宋体"/>
                <w:sz w:val="16"/>
              </w:rPr>
              <w:t>保障2024年红其拉甫口岸正常运转，各项工作正常展开。一是进一步完善红其拉甫口岸基础设施；二是及时维修维护破损的口岸水电暖及其他基础设施；三是按照地委领导批示，及时做好红其拉甫口岸总体规划，确保口岸未来发展有据可依；四是红其拉甫口岸常年开放，提升通关效率，优化口岸营商环境，保障口岸基础设施正常运转，改善通关条件。2024年度保障口岸运转项目（2023年结转资金）资金91.71万元，其中：1.电费41</w:t>
            </w:r>
            <w:r>
              <w:rPr>
                <w:rFonts w:hint="eastAsia" w:ascii="宋体" w:hAnsi="宋体"/>
                <w:sz w:val="16"/>
                <w:lang w:eastAsia="zh-CN"/>
              </w:rPr>
              <w:t>万元</w:t>
            </w:r>
            <w:r>
              <w:rPr>
                <w:rFonts w:ascii="宋体" w:hAnsi="宋体" w:eastAsia="宋体"/>
                <w:sz w:val="16"/>
              </w:rPr>
              <w:t>；2.维修（护）费50.71万元。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102B64">
            <w:pPr>
              <w:jc w:val="both"/>
            </w:pPr>
            <w:r>
              <w:rPr>
                <w:rFonts w:ascii="宋体" w:hAnsi="宋体" w:eastAsia="宋体"/>
                <w:sz w:val="16"/>
              </w:rPr>
              <w:t>2023年</w:t>
            </w:r>
            <w:r>
              <w:rPr>
                <w:rFonts w:hint="eastAsia" w:ascii="宋体" w:hAnsi="宋体"/>
                <w:sz w:val="16"/>
                <w:lang w:val="en-US" w:eastAsia="zh-CN"/>
              </w:rPr>
              <w:t>边境</w:t>
            </w:r>
            <w:r>
              <w:rPr>
                <w:rFonts w:ascii="宋体" w:hAnsi="宋体" w:eastAsia="宋体"/>
                <w:sz w:val="16"/>
              </w:rPr>
              <w:t>地区转移支付项目资金91.71万元已支出完毕，其中41万元用于保障口岸电力供应，50.71万元用于口岸基础设施的维修维护。效益：保障了口岸基础设施的正常运转，提升了通关效率、优化了口岸营商环境，通关条件得到了改善。</w:t>
            </w:r>
            <w:r>
              <w:rPr>
                <w:rFonts w:ascii="宋体" w:hAnsi="宋体" w:eastAsia="宋体"/>
                <w:sz w:val="16"/>
              </w:rPr>
              <w:br w:type="textWrapping"/>
            </w:r>
          </w:p>
        </w:tc>
      </w:tr>
      <w:tr w14:paraId="3BA061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95A70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7BCB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3E7D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E771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BF85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C484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39DF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8212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23FE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BF99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12DF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42D7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1E31B">
            <w:pPr>
              <w:jc w:val="center"/>
            </w:pPr>
            <w:r>
              <w:rPr>
                <w:rFonts w:ascii="宋体" w:hAnsi="宋体" w:eastAsia="宋体"/>
                <w:sz w:val="16"/>
              </w:rPr>
              <w:t>偏差原因分析及改进措施</w:t>
            </w:r>
          </w:p>
        </w:tc>
      </w:tr>
      <w:tr w14:paraId="409F06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EF658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0CCE4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A030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CB031">
            <w:pPr>
              <w:jc w:val="center"/>
            </w:pPr>
            <w:r>
              <w:rPr>
                <w:rFonts w:ascii="宋体" w:hAnsi="宋体" w:eastAsia="宋体"/>
                <w:sz w:val="16"/>
              </w:rPr>
              <w:t>口岸基础设施维修（护）次数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6AB39">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802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5F4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143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E26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091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44DC4">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277A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50DB7">
            <w:pPr>
              <w:jc w:val="center"/>
            </w:pPr>
            <w:r>
              <w:rPr>
                <w:rFonts w:ascii="宋体" w:hAnsi="宋体" w:eastAsia="宋体"/>
                <w:sz w:val="16"/>
              </w:rPr>
              <w:t>因口岸基础设施维修维护的实际需要，出现了正偏差。</w:t>
            </w:r>
          </w:p>
        </w:tc>
      </w:tr>
      <w:tr w14:paraId="3F6EAD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578C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F596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597A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5AFFF">
            <w:pPr>
              <w:jc w:val="center"/>
            </w:pPr>
            <w:r>
              <w:rPr>
                <w:rFonts w:ascii="宋体" w:hAnsi="宋体" w:eastAsia="宋体"/>
                <w:sz w:val="16"/>
              </w:rPr>
              <w:t>维修验收合格率（%）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4EE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CB1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42E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DD3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C736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03C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6FF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729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8A801">
            <w:pPr>
              <w:jc w:val="center"/>
            </w:pPr>
          </w:p>
        </w:tc>
      </w:tr>
      <w:tr w14:paraId="424A25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CD2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0BB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575F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006F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8122F">
            <w:pPr>
              <w:jc w:val="center"/>
            </w:pPr>
            <w:r>
              <w:rPr>
                <w:rFonts w:ascii="宋体" w:hAnsi="宋体" w:eastAsia="宋体"/>
                <w:sz w:val="16"/>
              </w:rPr>
              <w:t>=2024年6月30日前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EB1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AC3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B404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460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E39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15C5C">
            <w:pPr>
              <w:jc w:val="center"/>
            </w:pPr>
            <w:r>
              <w:rPr>
                <w:rFonts w:ascii="宋体" w:hAnsi="宋体" w:eastAsia="宋体"/>
                <w:sz w:val="16"/>
              </w:rPr>
              <w:t>=2024年6月21日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CACB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9E90D">
            <w:pPr>
              <w:jc w:val="center"/>
            </w:pPr>
          </w:p>
        </w:tc>
      </w:tr>
      <w:tr w14:paraId="12748C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9057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D703E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08390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463A0">
            <w:pPr>
              <w:jc w:val="center"/>
            </w:pPr>
            <w:r>
              <w:rPr>
                <w:rFonts w:ascii="宋体" w:hAnsi="宋体" w:eastAsia="宋体"/>
                <w:sz w:val="16"/>
              </w:rPr>
              <w:t>口岸委电费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1C897">
            <w:pPr>
              <w:jc w:val="center"/>
            </w:pPr>
            <w:r>
              <w:rPr>
                <w:rFonts w:ascii="宋体" w:hAnsi="宋体" w:eastAsia="宋体"/>
                <w:sz w:val="16"/>
              </w:rPr>
              <w:t>&lt;=41万元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DD4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A69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BF7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3C6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B6E1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92BF5">
            <w:pPr>
              <w:jc w:val="center"/>
            </w:pPr>
            <w:r>
              <w:rPr>
                <w:rFonts w:ascii="宋体" w:hAnsi="宋体" w:eastAsia="宋体"/>
                <w:sz w:val="16"/>
              </w:rPr>
              <w:t>=41万元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DC8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E4B6A">
            <w:pPr>
              <w:jc w:val="center"/>
            </w:pPr>
          </w:p>
        </w:tc>
      </w:tr>
      <w:tr w14:paraId="5E3416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75E0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9A0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7FD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8ABB4">
            <w:pPr>
              <w:jc w:val="center"/>
            </w:pPr>
            <w:r>
              <w:rPr>
                <w:rFonts w:ascii="宋体" w:hAnsi="宋体" w:eastAsia="宋体"/>
                <w:sz w:val="16"/>
              </w:rPr>
              <w:t>口岸委维修（护）费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B2040">
            <w:pPr>
              <w:jc w:val="center"/>
            </w:pPr>
            <w:r>
              <w:rPr>
                <w:rFonts w:ascii="宋体" w:hAnsi="宋体" w:eastAsia="宋体"/>
                <w:sz w:val="16"/>
              </w:rPr>
              <w:t>&lt;=50.71万元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68B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C17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927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C83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649B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77454">
            <w:pPr>
              <w:jc w:val="center"/>
            </w:pPr>
            <w:r>
              <w:rPr>
                <w:rFonts w:ascii="宋体" w:hAnsi="宋体" w:eastAsia="宋体"/>
                <w:sz w:val="16"/>
              </w:rPr>
              <w:t>=50.71万元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DCA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2DC9C">
            <w:pPr>
              <w:jc w:val="center"/>
            </w:pPr>
          </w:p>
        </w:tc>
      </w:tr>
      <w:tr w14:paraId="21A899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767E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6778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A521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20158">
            <w:pPr>
              <w:jc w:val="center"/>
            </w:pPr>
            <w:r>
              <w:rPr>
                <w:rFonts w:ascii="宋体" w:hAnsi="宋体" w:eastAsia="宋体"/>
                <w:sz w:val="16"/>
              </w:rPr>
              <w:t>有效增强</w:t>
            </w:r>
            <w:r>
              <w:rPr>
                <w:rFonts w:hint="eastAsia" w:ascii="宋体" w:hAnsi="宋体"/>
                <w:sz w:val="16"/>
                <w:lang w:val="en-US" w:eastAsia="zh-CN"/>
              </w:rPr>
              <w:t>边境</w:t>
            </w:r>
            <w:r>
              <w:rPr>
                <w:rFonts w:ascii="宋体" w:hAnsi="宋体" w:eastAsia="宋体"/>
                <w:sz w:val="16"/>
              </w:rPr>
              <w:t>管控能力增长率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921E4">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D57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65A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EB42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F66A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75B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D6E91">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87A6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9F8D6">
            <w:pPr>
              <w:jc w:val="center"/>
            </w:pPr>
          </w:p>
        </w:tc>
      </w:tr>
      <w:tr w14:paraId="65205F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548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A672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0649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090BE">
            <w:pPr>
              <w:jc w:val="center"/>
            </w:pPr>
            <w:r>
              <w:rPr>
                <w:rFonts w:ascii="宋体" w:hAnsi="宋体" w:eastAsia="宋体"/>
                <w:sz w:val="16"/>
              </w:rPr>
              <w:t>口岸联检单位及进出口涉外企业满意率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8F3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C8C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18C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866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DE0F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D82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BE2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63D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D63D5">
            <w:pPr>
              <w:jc w:val="center"/>
            </w:pPr>
          </w:p>
        </w:tc>
      </w:tr>
      <w:tr w14:paraId="3DE4645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77D94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0B12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BBAD7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2F4D9">
            <w:pPr>
              <w:jc w:val="center"/>
            </w:pPr>
            <w:r>
              <w:rPr>
                <w:rFonts w:ascii="宋体" w:hAnsi="宋体" w:eastAsia="宋体"/>
                <w:sz w:val="16"/>
              </w:rPr>
              <w:t>98分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1BDBCC2"/>
        </w:tc>
      </w:tr>
    </w:tbl>
    <w:p w14:paraId="32A5B5C8">
      <w:r>
        <w:br w:type="page"/>
      </w:r>
    </w:p>
    <w:tbl>
      <w:tblPr>
        <w:tblStyle w:val="9"/>
        <w:tblW w:w="9346" w:type="dxa"/>
        <w:tblInd w:w="0" w:type="dxa"/>
        <w:tblLayout w:type="autofit"/>
        <w:tblCellMar>
          <w:top w:w="0" w:type="dxa"/>
          <w:left w:w="108" w:type="dxa"/>
          <w:bottom w:w="0" w:type="dxa"/>
          <w:right w:w="108" w:type="dxa"/>
        </w:tblCellMar>
      </w:tblPr>
      <w:tblGrid>
        <w:gridCol w:w="623"/>
        <w:gridCol w:w="608"/>
        <w:gridCol w:w="608"/>
        <w:gridCol w:w="696"/>
        <w:gridCol w:w="856"/>
        <w:gridCol w:w="614"/>
        <w:gridCol w:w="612"/>
        <w:gridCol w:w="616"/>
        <w:gridCol w:w="608"/>
        <w:gridCol w:w="608"/>
        <w:gridCol w:w="776"/>
        <w:gridCol w:w="631"/>
        <w:gridCol w:w="577"/>
        <w:gridCol w:w="627"/>
        <w:gridCol w:w="286"/>
      </w:tblGrid>
      <w:tr w14:paraId="471416C3">
        <w:tblPrEx>
          <w:tblCellMar>
            <w:top w:w="0" w:type="dxa"/>
            <w:left w:w="108" w:type="dxa"/>
            <w:bottom w:w="0" w:type="dxa"/>
            <w:right w:w="108" w:type="dxa"/>
          </w:tblCellMar>
        </w:tblPrEx>
        <w:trPr>
          <w:gridAfter w:val="1"/>
          <w:wAfter w:w="286" w:type="dxa"/>
        </w:trPr>
        <w:tc>
          <w:tcPr>
            <w:tcW w:w="9060" w:type="dxa"/>
            <w:gridSpan w:val="14"/>
            <w:vAlign w:val="center"/>
          </w:tcPr>
          <w:p w14:paraId="4EC718C4">
            <w:pPr>
              <w:jc w:val="center"/>
            </w:pPr>
            <w:r>
              <w:rPr>
                <w:rFonts w:ascii="宋体" w:hAnsi="宋体" w:eastAsia="宋体"/>
                <w:sz w:val="24"/>
              </w:rPr>
              <w:t>项目支出绩效自评表</w:t>
            </w:r>
          </w:p>
        </w:tc>
      </w:tr>
      <w:tr w14:paraId="2A3CEDC6">
        <w:tblPrEx>
          <w:tblCellMar>
            <w:top w:w="0" w:type="dxa"/>
            <w:left w:w="108" w:type="dxa"/>
            <w:bottom w:w="0" w:type="dxa"/>
            <w:right w:w="108" w:type="dxa"/>
          </w:tblCellMar>
        </w:tblPrEx>
        <w:trPr>
          <w:gridAfter w:val="1"/>
          <w:wAfter w:w="286" w:type="dxa"/>
        </w:trPr>
        <w:tc>
          <w:tcPr>
            <w:tcW w:w="9060" w:type="dxa"/>
            <w:gridSpan w:val="14"/>
            <w:vAlign w:val="center"/>
          </w:tcPr>
          <w:p w14:paraId="52922C86">
            <w:pPr>
              <w:jc w:val="center"/>
            </w:pPr>
            <w:r>
              <w:rPr>
                <w:rFonts w:ascii="宋体" w:hAnsi="宋体" w:eastAsia="宋体"/>
                <w:sz w:val="24"/>
              </w:rPr>
              <w:t>(2024年度)</w:t>
            </w:r>
          </w:p>
        </w:tc>
      </w:tr>
      <w:tr w14:paraId="4B150949">
        <w:tblPrEx>
          <w:tblCellMar>
            <w:top w:w="0" w:type="dxa"/>
            <w:left w:w="108" w:type="dxa"/>
            <w:bottom w:w="0" w:type="dxa"/>
            <w:right w:w="108" w:type="dxa"/>
          </w:tblCellMar>
        </w:tblPrEx>
        <w:trPr>
          <w:gridAfter w:val="1"/>
          <w:wAfter w:w="286" w:type="dxa"/>
        </w:trPr>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F5BFC65">
            <w:pPr>
              <w:jc w:val="center"/>
            </w:pPr>
            <w:r>
              <w:rPr>
                <w:rFonts w:ascii="宋体" w:hAnsi="宋体" w:eastAsia="宋体"/>
                <w:sz w:val="16"/>
              </w:rPr>
              <w:t>项目名称</w:t>
            </w:r>
          </w:p>
        </w:tc>
        <w:tc>
          <w:tcPr>
            <w:tcW w:w="8437"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B87E1D4">
            <w:pPr>
              <w:jc w:val="center"/>
            </w:pPr>
            <w:r>
              <w:rPr>
                <w:rFonts w:ascii="宋体" w:hAnsi="宋体" w:eastAsia="宋体"/>
                <w:sz w:val="16"/>
              </w:rPr>
              <w:t>2024年保障口岸运转项目</w:t>
            </w:r>
          </w:p>
        </w:tc>
      </w:tr>
      <w:tr w14:paraId="3DBAE72F">
        <w:tblPrEx>
          <w:tblCellMar>
            <w:top w:w="0" w:type="dxa"/>
            <w:left w:w="108" w:type="dxa"/>
            <w:bottom w:w="0" w:type="dxa"/>
            <w:right w:w="108" w:type="dxa"/>
          </w:tblCellMar>
        </w:tblPrEx>
        <w:trPr>
          <w:gridAfter w:val="1"/>
          <w:wAfter w:w="286" w:type="dxa"/>
        </w:trPr>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C43DABB">
            <w:pPr>
              <w:jc w:val="center"/>
            </w:pPr>
            <w:r>
              <w:rPr>
                <w:rFonts w:ascii="宋体" w:hAnsi="宋体" w:eastAsia="宋体"/>
                <w:sz w:val="16"/>
              </w:rPr>
              <w:t>主管部门</w:t>
            </w:r>
          </w:p>
        </w:tc>
        <w:tc>
          <w:tcPr>
            <w:tcW w:w="461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32FA67">
            <w:pPr>
              <w:jc w:val="center"/>
            </w:pPr>
            <w:r>
              <w:rPr>
                <w:rFonts w:ascii="宋体" w:hAnsi="宋体" w:eastAsia="宋体"/>
                <w:sz w:val="16"/>
              </w:rPr>
              <w:t>喀什地区红其拉甫口岸管理委员会</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3C5E94A4">
            <w:pPr>
              <w:jc w:val="center"/>
            </w:pPr>
            <w:r>
              <w:rPr>
                <w:rFonts w:ascii="宋体" w:hAnsi="宋体" w:eastAsia="宋体"/>
                <w:sz w:val="16"/>
              </w:rPr>
              <w:t>实施单位</w:t>
            </w:r>
          </w:p>
        </w:tc>
        <w:tc>
          <w:tcPr>
            <w:tcW w:w="321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A5C8B6">
            <w:pPr>
              <w:jc w:val="center"/>
            </w:pPr>
            <w:r>
              <w:rPr>
                <w:rFonts w:ascii="宋体" w:hAnsi="宋体" w:eastAsia="宋体"/>
                <w:sz w:val="16"/>
              </w:rPr>
              <w:t>喀什地区红其拉甫口岸管理委员会</w:t>
            </w:r>
          </w:p>
        </w:tc>
      </w:tr>
      <w:tr w14:paraId="00E8AF88">
        <w:tblPrEx>
          <w:tblCellMar>
            <w:top w:w="0" w:type="dxa"/>
            <w:left w:w="108" w:type="dxa"/>
            <w:bottom w:w="0" w:type="dxa"/>
            <w:right w:w="108" w:type="dxa"/>
          </w:tblCellMar>
        </w:tblPrEx>
        <w:trPr>
          <w:gridAfter w:val="1"/>
          <w:wAfter w:w="286" w:type="dxa"/>
        </w:trPr>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D18EA9">
            <w:pPr>
              <w:jc w:val="center"/>
            </w:pPr>
            <w:r>
              <w:rPr>
                <w:rFonts w:ascii="宋体" w:hAnsi="宋体" w:eastAsia="宋体"/>
                <w:sz w:val="16"/>
              </w:rPr>
              <w:t>项目资金 （万元）</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1E8C5">
            <w:pPr>
              <w:jc w:val="center"/>
            </w:pP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C96CF">
            <w:pPr>
              <w:jc w:val="center"/>
            </w:pPr>
            <w:r>
              <w:rPr>
                <w:rFonts w:ascii="宋体" w:hAnsi="宋体" w:eastAsia="宋体"/>
                <w:sz w:val="16"/>
              </w:rPr>
              <w:t>年初预算数</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B44A5">
            <w:pPr>
              <w:jc w:val="center"/>
            </w:pPr>
            <w:r>
              <w:rPr>
                <w:rFonts w:ascii="宋体" w:hAnsi="宋体" w:eastAsia="宋体"/>
                <w:sz w:val="16"/>
              </w:rPr>
              <w:t>全年预算数</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7D96C">
            <w:pPr>
              <w:jc w:val="center"/>
            </w:pPr>
            <w:r>
              <w:rPr>
                <w:rFonts w:ascii="宋体" w:hAnsi="宋体" w:eastAsia="宋体"/>
                <w:sz w:val="16"/>
              </w:rPr>
              <w:t>全年执行数</w:t>
            </w:r>
          </w:p>
        </w:tc>
        <w:tc>
          <w:tcPr>
            <w:tcW w:w="13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93EF6">
            <w:pPr>
              <w:jc w:val="center"/>
            </w:pPr>
            <w:r>
              <w:rPr>
                <w:rFonts w:ascii="宋体" w:hAnsi="宋体" w:eastAsia="宋体"/>
                <w:sz w:val="16"/>
              </w:rPr>
              <w:t>分值</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6057C">
            <w:pPr>
              <w:jc w:val="center"/>
            </w:pPr>
            <w:r>
              <w:rPr>
                <w:rFonts w:ascii="宋体" w:hAnsi="宋体" w:eastAsia="宋体"/>
                <w:sz w:val="16"/>
              </w:rPr>
              <w:t>执行率</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5E4F58F1">
            <w:pPr>
              <w:jc w:val="center"/>
            </w:pPr>
            <w:r>
              <w:rPr>
                <w:rFonts w:ascii="宋体" w:hAnsi="宋体" w:eastAsia="宋体"/>
                <w:sz w:val="16"/>
              </w:rPr>
              <w:t>得分</w:t>
            </w:r>
          </w:p>
        </w:tc>
      </w:tr>
      <w:tr w14:paraId="4DDCA8D9">
        <w:tblPrEx>
          <w:tblCellMar>
            <w:top w:w="0" w:type="dxa"/>
            <w:left w:w="108" w:type="dxa"/>
            <w:bottom w:w="0" w:type="dxa"/>
            <w:right w:w="108" w:type="dxa"/>
          </w:tblCellMar>
        </w:tblPrEx>
        <w:trPr>
          <w:gridAfter w:val="1"/>
          <w:wAfter w:w="286" w:type="dxa"/>
        </w:trPr>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22A239C3"/>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68BED">
            <w:pPr>
              <w:jc w:val="center"/>
            </w:pPr>
            <w:r>
              <w:rPr>
                <w:rFonts w:ascii="宋体" w:hAnsi="宋体" w:eastAsia="宋体"/>
                <w:sz w:val="16"/>
              </w:rPr>
              <w:t>年度资金总额</w:t>
            </w: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374C8">
            <w:pPr>
              <w:jc w:val="center"/>
            </w:pPr>
            <w:r>
              <w:rPr>
                <w:rFonts w:ascii="宋体" w:hAnsi="宋体" w:eastAsia="宋体"/>
                <w:sz w:val="16"/>
              </w:rPr>
              <w:t>542.43</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925D7">
            <w:pPr>
              <w:jc w:val="center"/>
            </w:pPr>
            <w:r>
              <w:rPr>
                <w:rFonts w:ascii="宋体" w:hAnsi="宋体" w:eastAsia="宋体"/>
                <w:sz w:val="16"/>
              </w:rPr>
              <w:t>1,101.43</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4A87C">
            <w:pPr>
              <w:jc w:val="center"/>
            </w:pPr>
            <w:r>
              <w:rPr>
                <w:rFonts w:ascii="宋体" w:hAnsi="宋体" w:eastAsia="宋体"/>
                <w:sz w:val="16"/>
              </w:rPr>
              <w:t>777.01</w:t>
            </w:r>
          </w:p>
        </w:tc>
        <w:tc>
          <w:tcPr>
            <w:tcW w:w="13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9A62F">
            <w:pPr>
              <w:jc w:val="center"/>
            </w:pPr>
            <w:r>
              <w:rPr>
                <w:rFonts w:ascii="宋体" w:hAnsi="宋体" w:eastAsia="宋体"/>
                <w:sz w:val="16"/>
              </w:rPr>
              <w:t>10</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437F2">
            <w:pPr>
              <w:jc w:val="center"/>
            </w:pPr>
            <w:r>
              <w:rPr>
                <w:rFonts w:ascii="宋体" w:hAnsi="宋体" w:eastAsia="宋体"/>
                <w:sz w:val="16"/>
              </w:rPr>
              <w:t>70.5%</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11C6BFB3">
            <w:pPr>
              <w:jc w:val="center"/>
            </w:pPr>
            <w:r>
              <w:rPr>
                <w:rFonts w:ascii="宋体" w:hAnsi="宋体" w:eastAsia="宋体"/>
                <w:sz w:val="16"/>
              </w:rPr>
              <w:t>2.64分</w:t>
            </w:r>
          </w:p>
        </w:tc>
      </w:tr>
      <w:tr w14:paraId="68078E10">
        <w:tblPrEx>
          <w:tblCellMar>
            <w:top w:w="0" w:type="dxa"/>
            <w:left w:w="108" w:type="dxa"/>
            <w:bottom w:w="0" w:type="dxa"/>
            <w:right w:w="108" w:type="dxa"/>
          </w:tblCellMar>
        </w:tblPrEx>
        <w:trPr>
          <w:gridAfter w:val="1"/>
          <w:wAfter w:w="286" w:type="dxa"/>
        </w:trPr>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0BCF88E3"/>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96B81">
            <w:pPr>
              <w:jc w:val="center"/>
            </w:pPr>
            <w:r>
              <w:rPr>
                <w:rFonts w:ascii="宋体" w:hAnsi="宋体" w:eastAsia="宋体"/>
                <w:sz w:val="16"/>
              </w:rPr>
              <w:t>其中：当年财政拨款</w:t>
            </w: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947BA">
            <w:pPr>
              <w:jc w:val="center"/>
            </w:pPr>
            <w:r>
              <w:rPr>
                <w:rFonts w:ascii="宋体" w:hAnsi="宋体" w:eastAsia="宋体"/>
                <w:sz w:val="16"/>
              </w:rPr>
              <w:t>542.43</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7D5A5">
            <w:pPr>
              <w:jc w:val="center"/>
            </w:pPr>
            <w:r>
              <w:rPr>
                <w:rFonts w:ascii="宋体" w:hAnsi="宋体" w:eastAsia="宋体"/>
                <w:sz w:val="16"/>
              </w:rPr>
              <w:t>1,101.43</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C0336">
            <w:pPr>
              <w:jc w:val="center"/>
            </w:pPr>
            <w:r>
              <w:rPr>
                <w:rFonts w:ascii="宋体" w:hAnsi="宋体" w:eastAsia="宋体"/>
                <w:sz w:val="16"/>
              </w:rPr>
              <w:t>777.01</w:t>
            </w:r>
          </w:p>
        </w:tc>
        <w:tc>
          <w:tcPr>
            <w:tcW w:w="13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3E647">
            <w:pPr>
              <w:jc w:val="center"/>
            </w:pPr>
            <w:r>
              <w:rPr>
                <w:rFonts w:ascii="宋体" w:hAnsi="宋体" w:eastAsia="宋体"/>
                <w:sz w:val="16"/>
              </w:rPr>
              <w:t>—</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999A2">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368A00B2">
            <w:pPr>
              <w:jc w:val="center"/>
            </w:pPr>
            <w:r>
              <w:rPr>
                <w:rFonts w:ascii="宋体" w:hAnsi="宋体" w:eastAsia="宋体"/>
                <w:sz w:val="16"/>
              </w:rPr>
              <w:t>—</w:t>
            </w:r>
          </w:p>
        </w:tc>
      </w:tr>
      <w:tr w14:paraId="553DE80D">
        <w:tblPrEx>
          <w:tblCellMar>
            <w:top w:w="0" w:type="dxa"/>
            <w:left w:w="108" w:type="dxa"/>
            <w:bottom w:w="0" w:type="dxa"/>
            <w:right w:w="108" w:type="dxa"/>
          </w:tblCellMar>
        </w:tblPrEx>
        <w:trPr>
          <w:gridAfter w:val="1"/>
          <w:wAfter w:w="286" w:type="dxa"/>
        </w:trPr>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39DC1019"/>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C310A">
            <w:pPr>
              <w:jc w:val="center"/>
            </w:pPr>
            <w:r>
              <w:rPr>
                <w:rFonts w:ascii="宋体" w:hAnsi="宋体" w:eastAsia="宋体"/>
                <w:sz w:val="16"/>
              </w:rPr>
              <w:t xml:space="preserve">  其他资金</w:t>
            </w: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54960">
            <w:pPr>
              <w:jc w:val="center"/>
            </w:pPr>
            <w:r>
              <w:rPr>
                <w:rFonts w:ascii="宋体" w:hAnsi="宋体" w:eastAsia="宋体"/>
                <w:sz w:val="16"/>
              </w:rPr>
              <w:t>0.00</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CC228">
            <w:pPr>
              <w:jc w:val="center"/>
            </w:pPr>
            <w:r>
              <w:rPr>
                <w:rFonts w:ascii="宋体" w:hAnsi="宋体" w:eastAsia="宋体"/>
                <w:sz w:val="16"/>
              </w:rPr>
              <w:t>0.00</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864CA">
            <w:pPr>
              <w:jc w:val="center"/>
            </w:pPr>
            <w:r>
              <w:rPr>
                <w:rFonts w:ascii="宋体" w:hAnsi="宋体" w:eastAsia="宋体"/>
                <w:sz w:val="16"/>
              </w:rPr>
              <w:t>0.00</w:t>
            </w:r>
          </w:p>
        </w:tc>
        <w:tc>
          <w:tcPr>
            <w:tcW w:w="13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B9AB9">
            <w:pPr>
              <w:jc w:val="center"/>
            </w:pPr>
            <w:r>
              <w:rPr>
                <w:rFonts w:ascii="宋体" w:hAnsi="宋体" w:eastAsia="宋体"/>
                <w:sz w:val="16"/>
              </w:rPr>
              <w:t>—</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CC0CF">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7ED8DD35">
            <w:pPr>
              <w:jc w:val="center"/>
            </w:pPr>
            <w:r>
              <w:rPr>
                <w:rFonts w:ascii="宋体" w:hAnsi="宋体" w:eastAsia="宋体"/>
                <w:sz w:val="16"/>
              </w:rPr>
              <w:t>—</w:t>
            </w:r>
          </w:p>
        </w:tc>
      </w:tr>
      <w:tr w14:paraId="2178CA5D">
        <w:tblPrEx>
          <w:tblCellMar>
            <w:top w:w="0" w:type="dxa"/>
            <w:left w:w="108" w:type="dxa"/>
            <w:bottom w:w="0" w:type="dxa"/>
            <w:right w:w="108" w:type="dxa"/>
          </w:tblCellMar>
        </w:tblPrEx>
        <w:trPr>
          <w:gridAfter w:val="1"/>
          <w:wAfter w:w="286" w:type="dxa"/>
        </w:trPr>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C5A726">
            <w:pPr>
              <w:jc w:val="center"/>
            </w:pPr>
            <w:r>
              <w:rPr>
                <w:rFonts w:ascii="宋体" w:hAnsi="宋体" w:eastAsia="宋体"/>
                <w:sz w:val="16"/>
              </w:rPr>
              <w:t>三、目标完成情况</w:t>
            </w:r>
          </w:p>
        </w:tc>
        <w:tc>
          <w:tcPr>
            <w:tcW w:w="461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F5B946">
            <w:pPr>
              <w:jc w:val="center"/>
            </w:pPr>
            <w:r>
              <w:rPr>
                <w:rFonts w:ascii="宋体" w:hAnsi="宋体" w:eastAsia="宋体"/>
                <w:sz w:val="16"/>
              </w:rPr>
              <w:t>预期目标</w:t>
            </w:r>
          </w:p>
        </w:tc>
        <w:tc>
          <w:tcPr>
            <w:tcW w:w="382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6FCC97">
            <w:pPr>
              <w:jc w:val="center"/>
            </w:pPr>
            <w:r>
              <w:rPr>
                <w:rFonts w:ascii="宋体" w:hAnsi="宋体" w:eastAsia="宋体"/>
                <w:sz w:val="16"/>
              </w:rPr>
              <w:t>实际完成情况</w:t>
            </w:r>
          </w:p>
        </w:tc>
      </w:tr>
      <w:tr w14:paraId="1374A70F">
        <w:tblPrEx>
          <w:tblCellMar>
            <w:top w:w="0" w:type="dxa"/>
            <w:left w:w="108" w:type="dxa"/>
            <w:bottom w:w="0" w:type="dxa"/>
            <w:right w:w="108" w:type="dxa"/>
          </w:tblCellMar>
        </w:tblPrEx>
        <w:trPr>
          <w:gridAfter w:val="1"/>
          <w:wAfter w:w="286" w:type="dxa"/>
        </w:trPr>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74813688"/>
        </w:tc>
        <w:tc>
          <w:tcPr>
            <w:tcW w:w="461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08AD36">
            <w:pPr>
              <w:jc w:val="both"/>
            </w:pPr>
            <w:r>
              <w:rPr>
                <w:rFonts w:ascii="宋体" w:hAnsi="宋体" w:eastAsia="宋体"/>
                <w:sz w:val="16"/>
              </w:rPr>
              <w:t>保障2024年喀什地区红其拉甫口岸正常运转，各项工作正常开展，保障红其拉甫口岸常年开放，提升通关效率，优化口岸营商环境，保障口岸基础设施正常运转，改善通关条件。一是进一步完善红其拉甫口岸基础设施；二是及时维修维护破损的口岸水电暖及其他基础设施；三是按照地委领导批示，及时做好红其拉甫口岸总体规划，确保口岸未来发展有据可依；四是节假日期间及时慰问走访口岸联检单位，进一步提升对口岸联检单位的协调力度；五是及时购置米面油及肉，蔬菜等，环境整洁及食堂的正常运行，为口岸联检单位提供后勤保障；六是红其拉甫口岸常年开放，提升通关效率，优化口岸营商环境，保障口岸基础设施正常运转，改善通关条件。2024年口岸运转项目预算安排资金1101.43万元，其中：财政拨款1101.43万元，其他资金0万元。用于保障红其拉甫口岸正常运转1101.43万元，其中1.办公经费37.32万元;2.电费166万元；3.邮电费13.5万元；4.物业管理费1.8万元；5.水费1.5万元；6.租赁费5万元；7.其他交通费49.4万元；8.差旅费10万元；9.专用材料费2.5万元；10.劳务费10万元；11.委托业务费38.94万元；12.维修维护费236.21万元；13.其他商品服务和支出29.82万元；14.办公设备购置319.44万元；15.房屋建筑物购建180万元。</w:t>
            </w:r>
          </w:p>
        </w:tc>
        <w:tc>
          <w:tcPr>
            <w:tcW w:w="382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500C62">
            <w:pPr>
              <w:jc w:val="both"/>
            </w:pPr>
            <w:r>
              <w:rPr>
                <w:rFonts w:ascii="宋体" w:hAnsi="宋体" w:eastAsia="宋体"/>
                <w:sz w:val="16"/>
              </w:rPr>
              <w:t>2024年保障口岸运转经费已支出777.01万元，其中1.办公经费19.49万元；2.电费166万元；3.邮电费13.5万元；4.物业管理费1.79万元；5.水费1.5万元；6.租赁费0元；7.其他交通费23.78万元；8.差旅费4万元；9.专用材料费19.44万元、10.劳务费10万元；11.委托业务费38.94万元；12.维修维护费236.21万元；13.其他商品服务和支出29.82万元；14.办公设备购置319.44万元；15.房屋建筑物购建180万元。2024年</w:t>
            </w:r>
            <w:r>
              <w:rPr>
                <w:rFonts w:hint="eastAsia" w:ascii="宋体" w:hAnsi="宋体"/>
                <w:sz w:val="16"/>
                <w:lang w:eastAsia="zh-CN"/>
              </w:rPr>
              <w:t>本部门</w:t>
            </w:r>
            <w:r>
              <w:rPr>
                <w:rFonts w:ascii="宋体" w:hAnsi="宋体" w:eastAsia="宋体"/>
                <w:sz w:val="16"/>
              </w:rPr>
              <w:t>完成红其拉甫口岸从季节性开放到常年开放的全部工作，全年完成10次口岸基础设施维修维护、开展各类活动2次、购置专用材料购置2次，效益：提升了口岸通关效率、保障了口岸基础设施正常运转、优化了口岸营商环境、2024年通关过货量同比增长41.1%。</w:t>
            </w:r>
          </w:p>
        </w:tc>
      </w:tr>
      <w:tr w14:paraId="57DF33E8">
        <w:tblPrEx>
          <w:tblCellMar>
            <w:top w:w="0" w:type="dxa"/>
            <w:left w:w="108" w:type="dxa"/>
            <w:bottom w:w="0" w:type="dxa"/>
            <w:right w:w="108" w:type="dxa"/>
          </w:tblCellMar>
        </w:tblPrEx>
        <w:trPr>
          <w:gridAfter w:val="1"/>
          <w:wAfter w:w="286" w:type="dxa"/>
        </w:trPr>
        <w:tc>
          <w:tcPr>
            <w:tcW w:w="623" w:type="dxa"/>
            <w:tcBorders>
              <w:top w:val="single" w:color="auto" w:sz="10" w:space="0"/>
              <w:left w:val="single" w:color="auto" w:sz="10" w:space="0"/>
              <w:bottom w:val="single" w:color="auto" w:sz="10" w:space="0"/>
              <w:right w:val="single" w:color="auto" w:sz="10" w:space="0"/>
              <w:insideV w:val="single" w:sz="10" w:space="0"/>
            </w:tcBorders>
          </w:tcPr>
          <w:p w14:paraId="230743CE"/>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1BF6BE8E">
            <w:pPr>
              <w:jc w:val="center"/>
            </w:pPr>
            <w:r>
              <w:rPr>
                <w:rFonts w:ascii="宋体" w:hAnsi="宋体" w:eastAsia="宋体"/>
                <w:sz w:val="16"/>
              </w:rPr>
              <w:t>一级指标</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763C9CE3">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926A9D4">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06456FA">
            <w:pPr>
              <w:jc w:val="center"/>
            </w:pPr>
            <w:r>
              <w:rPr>
                <w:rFonts w:ascii="宋体" w:hAnsi="宋体" w:eastAsia="宋体"/>
                <w:sz w:val="16"/>
              </w:rPr>
              <w:t>年度指标值</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56AB08A2">
            <w:pPr>
              <w:jc w:val="center"/>
            </w:pPr>
            <w:r>
              <w:rPr>
                <w:rFonts w:ascii="宋体" w:hAnsi="宋体" w:eastAsia="宋体"/>
                <w:sz w:val="16"/>
              </w:rPr>
              <w:t>指标值设定依据</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0223DB50">
            <w:pPr>
              <w:jc w:val="center"/>
            </w:pPr>
            <w:r>
              <w:rPr>
                <w:rFonts w:ascii="宋体" w:hAnsi="宋体" w:eastAsia="宋体"/>
                <w:sz w:val="16"/>
              </w:rPr>
              <w:t>上年完成情况</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44D9AE1C">
            <w:pPr>
              <w:jc w:val="center"/>
            </w:pPr>
            <w:r>
              <w:rPr>
                <w:rFonts w:ascii="宋体" w:hAnsi="宋体" w:eastAsia="宋体"/>
                <w:sz w:val="16"/>
              </w:rPr>
              <w:t>权重</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30B5728A">
            <w:pPr>
              <w:jc w:val="center"/>
            </w:pPr>
            <w:r>
              <w:rPr>
                <w:rFonts w:ascii="宋体" w:hAnsi="宋体" w:eastAsia="宋体"/>
                <w:sz w:val="16"/>
              </w:rPr>
              <w:t>赋分规则</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1964455A">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97D9D1B">
            <w:pPr>
              <w:jc w:val="center"/>
            </w:pPr>
            <w:r>
              <w:rPr>
                <w:rFonts w:ascii="宋体" w:hAnsi="宋体" w:eastAsia="宋体"/>
                <w:sz w:val="16"/>
              </w:rPr>
              <w:t>实际完成值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9F17BD2">
            <w:pPr>
              <w:jc w:val="center"/>
            </w:pPr>
            <w:r>
              <w:rPr>
                <w:rFonts w:ascii="宋体" w:hAnsi="宋体" w:eastAsia="宋体"/>
                <w:sz w:val="16"/>
              </w:rPr>
              <w:t>得分</w:t>
            </w:r>
          </w:p>
        </w:tc>
        <w:tc>
          <w:tcPr>
            <w:tcW w:w="12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AC5D8">
            <w:pPr>
              <w:jc w:val="center"/>
            </w:pPr>
            <w:r>
              <w:rPr>
                <w:rFonts w:ascii="宋体" w:hAnsi="宋体" w:eastAsia="宋体"/>
                <w:sz w:val="16"/>
              </w:rPr>
              <w:t>偏差原因分析及改进措施</w:t>
            </w:r>
          </w:p>
        </w:tc>
      </w:tr>
      <w:tr w14:paraId="6C5E399F">
        <w:tblPrEx>
          <w:tblCellMar>
            <w:top w:w="0" w:type="dxa"/>
            <w:left w:w="108" w:type="dxa"/>
            <w:bottom w:w="0" w:type="dxa"/>
            <w:right w:w="108" w:type="dxa"/>
          </w:tblCellMar>
        </w:tblPrEx>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853C47">
            <w:pPr>
              <w:jc w:val="center"/>
            </w:pPr>
            <w:r>
              <w:rPr>
                <w:rFonts w:ascii="宋体" w:hAnsi="宋体" w:eastAsia="宋体"/>
                <w:sz w:val="16"/>
              </w:rPr>
              <w:t>年度绩效指标完成情况</w:t>
            </w:r>
          </w:p>
        </w:tc>
        <w:tc>
          <w:tcPr>
            <w:tcW w:w="60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2CF1D4">
            <w:pPr>
              <w:jc w:val="center"/>
            </w:pPr>
            <w:r>
              <w:rPr>
                <w:rFonts w:ascii="宋体" w:hAnsi="宋体" w:eastAsia="宋体"/>
                <w:sz w:val="16"/>
              </w:rPr>
              <w:t>产出指标</w:t>
            </w:r>
          </w:p>
        </w:tc>
        <w:tc>
          <w:tcPr>
            <w:tcW w:w="60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F92F70">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EB97339">
            <w:pPr>
              <w:jc w:val="center"/>
            </w:pPr>
            <w:r>
              <w:rPr>
                <w:rFonts w:ascii="宋体" w:hAnsi="宋体" w:eastAsia="宋体"/>
                <w:sz w:val="16"/>
              </w:rPr>
              <w:t>口岸开展各类活动次数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4CE5062">
            <w:pPr>
              <w:jc w:val="center"/>
            </w:pPr>
            <w:r>
              <w:rPr>
                <w:rFonts w:ascii="宋体" w:hAnsi="宋体" w:eastAsia="宋体"/>
                <w:sz w:val="16"/>
              </w:rPr>
              <w:t>&gt;=2次</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0A004621">
            <w:pPr>
              <w:jc w:val="center"/>
            </w:pPr>
            <w:r>
              <w:rPr>
                <w:rFonts w:ascii="宋体" w:hAnsi="宋体" w:eastAsia="宋体"/>
                <w:sz w:val="16"/>
              </w:rPr>
              <w:t>计划标准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1ACA6FC2">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65802EE">
            <w:pPr>
              <w:jc w:val="center"/>
            </w:pPr>
            <w:r>
              <w:rPr>
                <w:rFonts w:ascii="宋体" w:hAnsi="宋体" w:eastAsia="宋体"/>
                <w:sz w:val="16"/>
              </w:rPr>
              <w:t>10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484B7BE7">
            <w:pPr>
              <w:jc w:val="center"/>
            </w:pPr>
            <w:r>
              <w:rPr>
                <w:rFonts w:ascii="宋体" w:hAnsi="宋体" w:eastAsia="宋体"/>
                <w:sz w:val="16"/>
              </w:rPr>
              <w:t>按照完成比例赋分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0EB9D23B">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623063F">
            <w:pPr>
              <w:jc w:val="center"/>
            </w:pPr>
            <w:r>
              <w:rPr>
                <w:rFonts w:ascii="宋体" w:hAnsi="宋体" w:eastAsia="宋体"/>
                <w:sz w:val="16"/>
              </w:rPr>
              <w:t>=2次</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62B539D">
            <w:pPr>
              <w:jc w:val="center"/>
            </w:pPr>
            <w:r>
              <w:rPr>
                <w:rFonts w:ascii="宋体" w:hAnsi="宋体" w:eastAsia="宋体"/>
                <w:sz w:val="16"/>
              </w:rPr>
              <w:t>10</w:t>
            </w:r>
          </w:p>
        </w:tc>
        <w:tc>
          <w:tcPr>
            <w:tcW w:w="149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D131573">
            <w:pPr>
              <w:jc w:val="center"/>
            </w:pPr>
          </w:p>
        </w:tc>
      </w:tr>
      <w:tr w14:paraId="6009BBE2">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20DCF768"/>
        </w:tc>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14:paraId="269A8654"/>
        </w:tc>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14:paraId="2D26CB79"/>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C6426A5">
            <w:pPr>
              <w:jc w:val="center"/>
            </w:pPr>
            <w:r>
              <w:rPr>
                <w:rFonts w:ascii="宋体" w:hAnsi="宋体" w:eastAsia="宋体"/>
                <w:sz w:val="16"/>
              </w:rPr>
              <w:t>租用口岸运转保障公务用车数量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483682D">
            <w:pPr>
              <w:jc w:val="center"/>
            </w:pPr>
            <w:r>
              <w:rPr>
                <w:rFonts w:ascii="宋体" w:hAnsi="宋体" w:eastAsia="宋体"/>
                <w:sz w:val="16"/>
              </w:rPr>
              <w:t>&gt;=1辆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613C2DB">
            <w:pPr>
              <w:jc w:val="center"/>
            </w:pPr>
            <w:r>
              <w:rPr>
                <w:rFonts w:ascii="宋体" w:hAnsi="宋体" w:eastAsia="宋体"/>
                <w:sz w:val="16"/>
              </w:rPr>
              <w:t>计划标准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A604A82">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1C73A690">
            <w:pPr>
              <w:jc w:val="center"/>
            </w:pPr>
            <w:r>
              <w:rPr>
                <w:rFonts w:ascii="宋体" w:hAnsi="宋体" w:eastAsia="宋体"/>
                <w:sz w:val="16"/>
              </w:rPr>
              <w:t>10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737036DC">
            <w:pPr>
              <w:jc w:val="center"/>
            </w:pPr>
            <w:r>
              <w:rPr>
                <w:rFonts w:ascii="宋体" w:hAnsi="宋体" w:eastAsia="宋体"/>
                <w:sz w:val="16"/>
              </w:rPr>
              <w:t>按照完成比例赋分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1A5F04A0">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37E4BC3">
            <w:pPr>
              <w:jc w:val="center"/>
            </w:pPr>
            <w:r>
              <w:rPr>
                <w:rFonts w:ascii="宋体" w:hAnsi="宋体" w:eastAsia="宋体"/>
                <w:sz w:val="16"/>
              </w:rPr>
              <w:t>=1辆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80EE085">
            <w:pPr>
              <w:jc w:val="center"/>
            </w:pPr>
            <w:r>
              <w:rPr>
                <w:rFonts w:ascii="宋体" w:hAnsi="宋体" w:eastAsia="宋体"/>
                <w:sz w:val="16"/>
              </w:rPr>
              <w:t>10</w:t>
            </w:r>
          </w:p>
        </w:tc>
        <w:tc>
          <w:tcPr>
            <w:tcW w:w="149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B92A7A2">
            <w:pPr>
              <w:jc w:val="center"/>
            </w:pPr>
          </w:p>
        </w:tc>
      </w:tr>
      <w:tr w14:paraId="23DF5A18">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61E21C54"/>
        </w:tc>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14:paraId="2FC90745"/>
        </w:tc>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14:paraId="2EA66B44"/>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4C56721">
            <w:pPr>
              <w:jc w:val="center"/>
            </w:pPr>
            <w:r>
              <w:rPr>
                <w:rFonts w:ascii="宋体" w:hAnsi="宋体" w:eastAsia="宋体"/>
                <w:sz w:val="16"/>
              </w:rPr>
              <w:t>口岸材料购置次数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C0887BD">
            <w:pPr>
              <w:jc w:val="center"/>
            </w:pPr>
            <w:r>
              <w:rPr>
                <w:rFonts w:ascii="宋体" w:hAnsi="宋体" w:eastAsia="宋体"/>
                <w:sz w:val="16"/>
              </w:rPr>
              <w:t>&gt;=2次</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0C4E4C9B">
            <w:pPr>
              <w:jc w:val="center"/>
            </w:pPr>
            <w:r>
              <w:rPr>
                <w:rFonts w:ascii="宋体" w:hAnsi="宋体" w:eastAsia="宋体"/>
                <w:sz w:val="16"/>
              </w:rPr>
              <w:t>计划标准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354B3260">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48A57C9">
            <w:pPr>
              <w:jc w:val="center"/>
            </w:pPr>
            <w:r>
              <w:rPr>
                <w:rFonts w:ascii="宋体" w:hAnsi="宋体" w:eastAsia="宋体"/>
                <w:sz w:val="16"/>
              </w:rPr>
              <w:t>5</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3E955DF3">
            <w:pPr>
              <w:jc w:val="center"/>
            </w:pPr>
            <w:r>
              <w:rPr>
                <w:rFonts w:ascii="宋体" w:hAnsi="宋体" w:eastAsia="宋体"/>
                <w:sz w:val="16"/>
              </w:rPr>
              <w:t>按照完成比例赋分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06DDE5C2">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1311381">
            <w:pPr>
              <w:jc w:val="center"/>
            </w:pPr>
            <w:r>
              <w:rPr>
                <w:rFonts w:ascii="宋体" w:hAnsi="宋体" w:eastAsia="宋体"/>
                <w:sz w:val="16"/>
              </w:rPr>
              <w:t>=2次</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3AA32E4">
            <w:pPr>
              <w:jc w:val="center"/>
            </w:pPr>
            <w:r>
              <w:rPr>
                <w:rFonts w:ascii="宋体" w:hAnsi="宋体" w:eastAsia="宋体"/>
                <w:sz w:val="16"/>
              </w:rPr>
              <w:t>5</w:t>
            </w:r>
          </w:p>
        </w:tc>
        <w:tc>
          <w:tcPr>
            <w:tcW w:w="149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6490F84">
            <w:pPr>
              <w:jc w:val="center"/>
            </w:pPr>
          </w:p>
        </w:tc>
      </w:tr>
      <w:tr w14:paraId="78DBD4C3">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0DEB6632"/>
        </w:tc>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14:paraId="6F167A3D"/>
        </w:tc>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14:paraId="5FF41F9D"/>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7280EAE">
            <w:pPr>
              <w:jc w:val="center"/>
            </w:pPr>
            <w:r>
              <w:rPr>
                <w:rFonts w:ascii="宋体" w:hAnsi="宋体" w:eastAsia="宋体"/>
                <w:sz w:val="16"/>
              </w:rPr>
              <w:t>口岸基础设施维修</w:t>
            </w:r>
            <w:r>
              <w:rPr>
                <w:rFonts w:hint="eastAsia" w:ascii="宋体" w:hAnsi="宋体"/>
                <w:sz w:val="16"/>
                <w:lang w:val="en-US" w:eastAsia="zh-CN"/>
              </w:rPr>
              <w:t>维</w:t>
            </w:r>
            <w:r>
              <w:rPr>
                <w:rFonts w:ascii="宋体" w:hAnsi="宋体" w:eastAsia="宋体"/>
                <w:sz w:val="16"/>
              </w:rPr>
              <w:t>护次数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BF7F8D9">
            <w:pPr>
              <w:jc w:val="center"/>
            </w:pPr>
            <w:r>
              <w:rPr>
                <w:rFonts w:ascii="宋体" w:hAnsi="宋体" w:eastAsia="宋体"/>
                <w:sz w:val="16"/>
              </w:rPr>
              <w:t>&gt;=10次</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7A41F45B">
            <w:pPr>
              <w:jc w:val="center"/>
            </w:pPr>
            <w:r>
              <w:rPr>
                <w:rFonts w:ascii="宋体" w:hAnsi="宋体" w:eastAsia="宋体"/>
                <w:sz w:val="16"/>
              </w:rPr>
              <w:t>计划标准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26A9702C">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71FD323C">
            <w:pPr>
              <w:jc w:val="center"/>
            </w:pPr>
            <w:r>
              <w:rPr>
                <w:rFonts w:ascii="宋体" w:hAnsi="宋体" w:eastAsia="宋体"/>
                <w:sz w:val="16"/>
              </w:rPr>
              <w:t>5</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5D7C3934">
            <w:pPr>
              <w:jc w:val="center"/>
            </w:pPr>
            <w:r>
              <w:rPr>
                <w:rFonts w:ascii="宋体" w:hAnsi="宋体" w:eastAsia="宋体"/>
                <w:sz w:val="16"/>
              </w:rPr>
              <w:t>按照完成比例赋分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508EF455">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02ED193">
            <w:pPr>
              <w:jc w:val="center"/>
            </w:pPr>
            <w:r>
              <w:rPr>
                <w:rFonts w:ascii="宋体" w:hAnsi="宋体" w:eastAsia="宋体"/>
                <w:sz w:val="16"/>
              </w:rPr>
              <w:t>=10次</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9510898">
            <w:pPr>
              <w:jc w:val="center"/>
            </w:pPr>
            <w:r>
              <w:rPr>
                <w:rFonts w:ascii="宋体" w:hAnsi="宋体" w:eastAsia="宋体"/>
                <w:sz w:val="16"/>
              </w:rPr>
              <w:t>5</w:t>
            </w:r>
          </w:p>
        </w:tc>
        <w:tc>
          <w:tcPr>
            <w:tcW w:w="149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663EE9F">
            <w:pPr>
              <w:jc w:val="center"/>
            </w:pPr>
          </w:p>
        </w:tc>
      </w:tr>
      <w:tr w14:paraId="457EB527">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70A899E0"/>
        </w:tc>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14:paraId="2A1D53CB"/>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6B789B48">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F7DBD50">
            <w:pPr>
              <w:jc w:val="center"/>
            </w:pPr>
            <w:r>
              <w:rPr>
                <w:rFonts w:ascii="宋体" w:hAnsi="宋体" w:eastAsia="宋体"/>
                <w:sz w:val="16"/>
              </w:rPr>
              <w:t>工程及采购验收合格率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90A74A4">
            <w:pPr>
              <w:jc w:val="center"/>
            </w:pPr>
            <w:r>
              <w:rPr>
                <w:rFonts w:ascii="宋体" w:hAnsi="宋体" w:eastAsia="宋体"/>
                <w:sz w:val="16"/>
              </w:rPr>
              <w:t>=100%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605BA385">
            <w:pPr>
              <w:jc w:val="center"/>
            </w:pPr>
            <w:r>
              <w:rPr>
                <w:rFonts w:ascii="宋体" w:hAnsi="宋体" w:eastAsia="宋体"/>
                <w:sz w:val="16"/>
              </w:rPr>
              <w:t>计划标准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4A65C38D">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1A6AF215">
            <w:pPr>
              <w:jc w:val="center"/>
            </w:pPr>
            <w:r>
              <w:rPr>
                <w:rFonts w:ascii="宋体" w:hAnsi="宋体" w:eastAsia="宋体"/>
                <w:sz w:val="16"/>
              </w:rPr>
              <w:t>5</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1EC28A61">
            <w:pPr>
              <w:jc w:val="center"/>
            </w:pPr>
            <w:r>
              <w:rPr>
                <w:rFonts w:ascii="宋体" w:hAnsi="宋体" w:eastAsia="宋体"/>
                <w:sz w:val="16"/>
              </w:rPr>
              <w:t>直接赋分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23F8A1C6">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D30C2A0">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C061890">
            <w:pPr>
              <w:jc w:val="center"/>
            </w:pPr>
            <w:r>
              <w:rPr>
                <w:rFonts w:ascii="宋体" w:hAnsi="宋体" w:eastAsia="宋体"/>
                <w:sz w:val="16"/>
              </w:rPr>
              <w:t>5</w:t>
            </w:r>
          </w:p>
        </w:tc>
        <w:tc>
          <w:tcPr>
            <w:tcW w:w="149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DC98D07">
            <w:pPr>
              <w:jc w:val="center"/>
            </w:pPr>
          </w:p>
        </w:tc>
      </w:tr>
      <w:tr w14:paraId="0360E3A5">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4A4558A7"/>
        </w:tc>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14:paraId="3F44E786"/>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7798F11A">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6DD163A">
            <w:pPr>
              <w:jc w:val="center"/>
            </w:pPr>
            <w:r>
              <w:rPr>
                <w:rFonts w:ascii="宋体" w:hAnsi="宋体" w:eastAsia="宋体"/>
                <w:sz w:val="16"/>
              </w:rPr>
              <w:t>项目完成时间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F71015F">
            <w:pPr>
              <w:jc w:val="center"/>
            </w:pPr>
            <w:r>
              <w:rPr>
                <w:rFonts w:ascii="宋体" w:hAnsi="宋体" w:eastAsia="宋体"/>
                <w:sz w:val="16"/>
              </w:rPr>
              <w:t>=2024年12月25日前</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50206714">
            <w:pPr>
              <w:jc w:val="center"/>
            </w:pPr>
            <w:r>
              <w:rPr>
                <w:rFonts w:ascii="宋体" w:hAnsi="宋体" w:eastAsia="宋体"/>
                <w:sz w:val="16"/>
              </w:rPr>
              <w:t>计划标准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4B31EB4C">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1C1CA0ED">
            <w:pPr>
              <w:jc w:val="center"/>
            </w:pPr>
            <w:r>
              <w:rPr>
                <w:rFonts w:ascii="宋体" w:hAnsi="宋体" w:eastAsia="宋体"/>
                <w:sz w:val="16"/>
              </w:rPr>
              <w:t>5</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34050CBD">
            <w:pPr>
              <w:jc w:val="center"/>
            </w:pPr>
            <w:r>
              <w:rPr>
                <w:rFonts w:ascii="宋体" w:hAnsi="宋体" w:eastAsia="宋体"/>
                <w:sz w:val="16"/>
              </w:rPr>
              <w:t>按照完成比例赋分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5B7B94E7">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FF68CC2">
            <w:pPr>
              <w:jc w:val="center"/>
            </w:pPr>
            <w:r>
              <w:rPr>
                <w:rFonts w:ascii="宋体" w:hAnsi="宋体" w:eastAsia="宋体"/>
                <w:sz w:val="16"/>
              </w:rPr>
              <w:t>2024年12月23日</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431E674">
            <w:pPr>
              <w:jc w:val="center"/>
            </w:pPr>
            <w:r>
              <w:rPr>
                <w:rFonts w:ascii="宋体" w:hAnsi="宋体" w:eastAsia="宋体"/>
                <w:sz w:val="16"/>
              </w:rPr>
              <w:t>5</w:t>
            </w:r>
          </w:p>
        </w:tc>
        <w:tc>
          <w:tcPr>
            <w:tcW w:w="149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797BA4F">
            <w:pPr>
              <w:jc w:val="center"/>
            </w:pPr>
          </w:p>
        </w:tc>
      </w:tr>
      <w:tr w14:paraId="40A596B5">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62556869"/>
        </w:tc>
        <w:tc>
          <w:tcPr>
            <w:tcW w:w="60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250E38">
            <w:pPr>
              <w:jc w:val="center"/>
            </w:pPr>
            <w:r>
              <w:rPr>
                <w:rFonts w:ascii="宋体" w:hAnsi="宋体" w:eastAsia="宋体"/>
                <w:sz w:val="16"/>
              </w:rPr>
              <w:t>成本指标</w:t>
            </w:r>
          </w:p>
        </w:tc>
        <w:tc>
          <w:tcPr>
            <w:tcW w:w="60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D76BD2">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63ED51D">
            <w:pPr>
              <w:jc w:val="center"/>
            </w:pPr>
            <w:r>
              <w:rPr>
                <w:rFonts w:ascii="宋体" w:hAnsi="宋体" w:eastAsia="宋体"/>
                <w:sz w:val="16"/>
              </w:rPr>
              <w:t>口岸委办公经费</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69730A1">
            <w:pPr>
              <w:jc w:val="center"/>
            </w:pPr>
            <w:r>
              <w:rPr>
                <w:rFonts w:ascii="宋体" w:hAnsi="宋体" w:eastAsia="宋体"/>
                <w:sz w:val="16"/>
              </w:rPr>
              <w:t>&lt;=284.52万元</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249DC3CC">
            <w:pPr>
              <w:jc w:val="center"/>
            </w:pPr>
            <w:r>
              <w:rPr>
                <w:rFonts w:ascii="宋体" w:hAnsi="宋体" w:eastAsia="宋体"/>
                <w:sz w:val="16"/>
              </w:rPr>
              <w:t>计划标准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0D806EB0">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26D087B7">
            <w:pPr>
              <w:jc w:val="center"/>
            </w:pPr>
            <w:r>
              <w:rPr>
                <w:rFonts w:ascii="宋体" w:hAnsi="宋体" w:eastAsia="宋体"/>
                <w:sz w:val="16"/>
              </w:rPr>
              <w:t>8</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3FA99F91">
            <w:pPr>
              <w:jc w:val="center"/>
            </w:pPr>
            <w:r>
              <w:rPr>
                <w:rFonts w:ascii="宋体" w:hAnsi="宋体" w:eastAsia="宋体"/>
                <w:sz w:val="16"/>
              </w:rPr>
              <w:t>按照完成比例赋分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5776104E">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3AA14A0">
            <w:pPr>
              <w:jc w:val="center"/>
            </w:pPr>
            <w:r>
              <w:rPr>
                <w:rFonts w:ascii="宋体" w:hAnsi="宋体" w:eastAsia="宋体"/>
                <w:sz w:val="16"/>
              </w:rPr>
              <w:t>=230.07万元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8A742ED">
            <w:pPr>
              <w:jc w:val="center"/>
            </w:pPr>
            <w:r>
              <w:rPr>
                <w:rFonts w:ascii="宋体" w:hAnsi="宋体" w:eastAsia="宋体"/>
                <w:sz w:val="16"/>
              </w:rPr>
              <w:t>4.17</w:t>
            </w:r>
          </w:p>
        </w:tc>
        <w:tc>
          <w:tcPr>
            <w:tcW w:w="149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6C064CA">
            <w:pPr>
              <w:jc w:val="center"/>
            </w:pPr>
            <w:r>
              <w:rPr>
                <w:rFonts w:ascii="宋体" w:hAnsi="宋体" w:eastAsia="宋体"/>
                <w:sz w:val="16"/>
              </w:rPr>
              <w:t>偏差原因：1.因大批量采购价格会有折扣导致。提高资金合理分配能力，提前了解需采购物品的市场价格。</w:t>
            </w:r>
          </w:p>
        </w:tc>
      </w:tr>
      <w:tr w14:paraId="18572B56">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17FE929A"/>
        </w:tc>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14:paraId="67B392B1"/>
        </w:tc>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14:paraId="457BAB15"/>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D888445">
            <w:pPr>
              <w:jc w:val="center"/>
            </w:pPr>
            <w:r>
              <w:rPr>
                <w:rFonts w:ascii="宋体" w:hAnsi="宋体" w:eastAsia="宋体"/>
                <w:sz w:val="16"/>
              </w:rPr>
              <w:t>口岸委维修（护）费</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96B65F4">
            <w:pPr>
              <w:jc w:val="center"/>
            </w:pPr>
            <w:r>
              <w:rPr>
                <w:rFonts w:ascii="宋体" w:hAnsi="宋体" w:eastAsia="宋体"/>
                <w:sz w:val="16"/>
              </w:rPr>
              <w:t>&lt;=236.21万元</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2455006D">
            <w:pPr>
              <w:jc w:val="center"/>
            </w:pPr>
            <w:r>
              <w:rPr>
                <w:rFonts w:ascii="宋体" w:hAnsi="宋体" w:eastAsia="宋体"/>
                <w:sz w:val="16"/>
              </w:rPr>
              <w:t>计划标准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1063653">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A11DDFD">
            <w:pPr>
              <w:jc w:val="center"/>
            </w:pPr>
            <w:r>
              <w:rPr>
                <w:rFonts w:ascii="宋体" w:hAnsi="宋体" w:eastAsia="宋体"/>
                <w:sz w:val="16"/>
              </w:rPr>
              <w:t>2</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234CEBF5">
            <w:pPr>
              <w:jc w:val="center"/>
            </w:pPr>
            <w:r>
              <w:rPr>
                <w:rFonts w:ascii="宋体" w:hAnsi="宋体" w:eastAsia="宋体"/>
                <w:sz w:val="16"/>
              </w:rPr>
              <w:t>按照完成比例赋分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43E6765A">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768FA6A">
            <w:pPr>
              <w:jc w:val="center"/>
            </w:pPr>
            <w:r>
              <w:rPr>
                <w:rFonts w:ascii="宋体" w:hAnsi="宋体" w:eastAsia="宋体"/>
                <w:sz w:val="16"/>
              </w:rPr>
              <w:t>=71.05万元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4F8E30F">
            <w:pPr>
              <w:jc w:val="center"/>
            </w:pPr>
            <w:r>
              <w:rPr>
                <w:rFonts w:ascii="宋体" w:hAnsi="宋体" w:eastAsia="宋体"/>
                <w:sz w:val="16"/>
              </w:rPr>
              <w:t>0</w:t>
            </w:r>
          </w:p>
        </w:tc>
        <w:tc>
          <w:tcPr>
            <w:tcW w:w="149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B080D0C">
            <w:pPr>
              <w:jc w:val="center"/>
            </w:pPr>
            <w:r>
              <w:rPr>
                <w:rFonts w:ascii="宋体" w:hAnsi="宋体" w:eastAsia="宋体"/>
                <w:sz w:val="16"/>
              </w:rPr>
              <w:t>偏差原因：1.年初资金分配不合理；2.因口岸联检区即将搬迁，所以减少了维修维护力度。整改措施：在项目前期规划阶段，应该更加注重可行性，提高提前规划能力，提高资金合理分配能力。</w:t>
            </w:r>
          </w:p>
        </w:tc>
      </w:tr>
      <w:tr w14:paraId="60FE8524">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0DA2A1F3"/>
        </w:tc>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14:paraId="4F8FA4DD"/>
        </w:tc>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14:paraId="1FCD498F"/>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7F41A49">
            <w:pPr>
              <w:jc w:val="center"/>
            </w:pPr>
            <w:r>
              <w:rPr>
                <w:rFonts w:ascii="宋体" w:hAnsi="宋体" w:eastAsia="宋体"/>
                <w:sz w:val="16"/>
              </w:rPr>
              <w:t>口岸委购置费</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3A294DB">
            <w:pPr>
              <w:jc w:val="center"/>
            </w:pPr>
            <w:r>
              <w:rPr>
                <w:rFonts w:ascii="宋体" w:hAnsi="宋体" w:eastAsia="宋体"/>
                <w:sz w:val="16"/>
              </w:rPr>
              <w:t>&lt;=400.7万元</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3C19270">
            <w:pPr>
              <w:jc w:val="center"/>
            </w:pPr>
            <w:r>
              <w:rPr>
                <w:rFonts w:ascii="宋体" w:hAnsi="宋体" w:eastAsia="宋体"/>
                <w:sz w:val="16"/>
              </w:rPr>
              <w:t>计划标准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4066DCE5">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7DE79A40">
            <w:pPr>
              <w:jc w:val="center"/>
            </w:pPr>
            <w:r>
              <w:rPr>
                <w:rFonts w:ascii="宋体" w:hAnsi="宋体" w:eastAsia="宋体"/>
                <w:sz w:val="16"/>
              </w:rPr>
              <w:t>8</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411677F2">
            <w:pPr>
              <w:jc w:val="center"/>
            </w:pPr>
            <w:r>
              <w:rPr>
                <w:rFonts w:ascii="宋体" w:hAnsi="宋体" w:eastAsia="宋体"/>
                <w:sz w:val="16"/>
              </w:rPr>
              <w:t>按照完成比例赋分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0C54D2A0">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F1A3D06">
            <w:pPr>
              <w:jc w:val="center"/>
            </w:pPr>
            <w:r>
              <w:rPr>
                <w:rFonts w:ascii="宋体" w:hAnsi="宋体" w:eastAsia="宋体"/>
                <w:sz w:val="16"/>
              </w:rPr>
              <w:t>=390.11万元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CE6AFD6">
            <w:pPr>
              <w:jc w:val="center"/>
            </w:pPr>
            <w:r>
              <w:rPr>
                <w:rFonts w:ascii="宋体" w:hAnsi="宋体" w:eastAsia="宋体"/>
                <w:sz w:val="16"/>
              </w:rPr>
              <w:t>7.47</w:t>
            </w:r>
          </w:p>
        </w:tc>
        <w:tc>
          <w:tcPr>
            <w:tcW w:w="149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631B074">
            <w:pPr>
              <w:jc w:val="center"/>
            </w:pPr>
            <w:r>
              <w:rPr>
                <w:rFonts w:ascii="宋体" w:hAnsi="宋体" w:eastAsia="宋体"/>
                <w:sz w:val="16"/>
              </w:rPr>
              <w:t>偏差原因：1.因大批量采购价格会有折扣导致。整改措施：提高资金合理分配能力，提前了解需采购物品的市场价格。</w:t>
            </w:r>
          </w:p>
        </w:tc>
      </w:tr>
      <w:tr w14:paraId="27087A44">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786A8FD9"/>
        </w:tc>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14:paraId="3FC2171F"/>
        </w:tc>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14:paraId="5178FBCA"/>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33B322F">
            <w:pPr>
              <w:jc w:val="center"/>
            </w:pPr>
            <w:r>
              <w:rPr>
                <w:rFonts w:ascii="宋体" w:hAnsi="宋体" w:eastAsia="宋体"/>
                <w:sz w:val="16"/>
              </w:rPr>
              <w:t>口岸委房屋建筑物购建</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5E648F5">
            <w:pPr>
              <w:jc w:val="center"/>
            </w:pPr>
            <w:r>
              <w:rPr>
                <w:rFonts w:ascii="宋体" w:hAnsi="宋体" w:eastAsia="宋体"/>
                <w:sz w:val="16"/>
              </w:rPr>
              <w:t>&lt;=180万元</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2D16662">
            <w:pPr>
              <w:jc w:val="center"/>
            </w:pPr>
            <w:r>
              <w:rPr>
                <w:rFonts w:ascii="宋体" w:hAnsi="宋体" w:eastAsia="宋体"/>
                <w:sz w:val="16"/>
              </w:rPr>
              <w:t>计划标准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1F65FE64">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36BE552">
            <w:pPr>
              <w:jc w:val="center"/>
            </w:pPr>
            <w:r>
              <w:rPr>
                <w:rFonts w:ascii="宋体" w:hAnsi="宋体" w:eastAsia="宋体"/>
                <w:sz w:val="16"/>
              </w:rPr>
              <w:t>2</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7D12F4CE">
            <w:pPr>
              <w:jc w:val="center"/>
            </w:pPr>
            <w:r>
              <w:rPr>
                <w:rFonts w:ascii="宋体" w:hAnsi="宋体" w:eastAsia="宋体"/>
                <w:sz w:val="16"/>
              </w:rPr>
              <w:t>按照完成比例赋分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517DFEED">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82F3458">
            <w:pPr>
              <w:jc w:val="center"/>
            </w:pPr>
            <w:r>
              <w:rPr>
                <w:rFonts w:ascii="宋体" w:hAnsi="宋体" w:eastAsia="宋体"/>
                <w:sz w:val="16"/>
              </w:rPr>
              <w:t>=85.79万元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7A57F1C">
            <w:pPr>
              <w:jc w:val="center"/>
            </w:pPr>
            <w:r>
              <w:rPr>
                <w:rFonts w:ascii="宋体" w:hAnsi="宋体" w:eastAsia="宋体"/>
                <w:sz w:val="16"/>
              </w:rPr>
              <w:t>0</w:t>
            </w:r>
          </w:p>
        </w:tc>
        <w:tc>
          <w:tcPr>
            <w:tcW w:w="149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51F1331">
            <w:pPr>
              <w:jc w:val="center"/>
            </w:pPr>
            <w:r>
              <w:rPr>
                <w:rFonts w:ascii="宋体" w:hAnsi="宋体" w:eastAsia="宋体"/>
                <w:sz w:val="16"/>
              </w:rPr>
              <w:t>偏差原因：1.房屋构建为红其拉甫口岸（国门）综合检查室旅检通道扩建项目，目前项目进</w:t>
            </w:r>
            <w:bookmarkStart w:id="0" w:name="_GoBack"/>
            <w:bookmarkEnd w:id="0"/>
            <w:r>
              <w:rPr>
                <w:rFonts w:ascii="宋体" w:hAnsi="宋体" w:eastAsia="宋体"/>
                <w:sz w:val="16"/>
              </w:rPr>
              <w:t>度达80%。整改措施：加快工程进度，加快审批流程，合法合规尽早支出剩余款项。</w:t>
            </w:r>
          </w:p>
        </w:tc>
      </w:tr>
      <w:tr w14:paraId="55D67C09">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5CC5F9EB"/>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5CD81E14">
            <w:pPr>
              <w:jc w:val="center"/>
            </w:pPr>
            <w:r>
              <w:rPr>
                <w:rFonts w:ascii="宋体" w:hAnsi="宋体" w:eastAsia="宋体"/>
                <w:sz w:val="16"/>
              </w:rPr>
              <w:t>效益指标</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44F620A4">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267476B">
            <w:pPr>
              <w:jc w:val="center"/>
            </w:pPr>
            <w:r>
              <w:rPr>
                <w:rFonts w:ascii="宋体" w:hAnsi="宋体" w:eastAsia="宋体"/>
                <w:sz w:val="16"/>
              </w:rPr>
              <w:t>有效增强</w:t>
            </w:r>
            <w:r>
              <w:rPr>
                <w:rFonts w:hint="eastAsia" w:ascii="宋体" w:hAnsi="宋体"/>
                <w:sz w:val="16"/>
                <w:lang w:val="en-US" w:eastAsia="zh-CN"/>
              </w:rPr>
              <w:t>边境</w:t>
            </w:r>
            <w:r>
              <w:rPr>
                <w:rFonts w:ascii="宋体" w:hAnsi="宋体" w:eastAsia="宋体"/>
                <w:sz w:val="16"/>
              </w:rPr>
              <w:t>管控能力增长率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2D95BF1">
            <w:pPr>
              <w:jc w:val="center"/>
            </w:pPr>
            <w:r>
              <w:rPr>
                <w:rFonts w:ascii="宋体" w:hAnsi="宋体" w:eastAsia="宋体"/>
                <w:sz w:val="16"/>
              </w:rPr>
              <w:t>增强</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0F1B87EF">
            <w:pPr>
              <w:jc w:val="center"/>
            </w:pPr>
            <w:r>
              <w:rPr>
                <w:rFonts w:ascii="宋体" w:hAnsi="宋体" w:eastAsia="宋体"/>
                <w:sz w:val="16"/>
              </w:rPr>
              <w:t>计划标准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172689C7">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43379C3">
            <w:pPr>
              <w:jc w:val="center"/>
            </w:pPr>
            <w:r>
              <w:rPr>
                <w:rFonts w:ascii="宋体" w:hAnsi="宋体" w:eastAsia="宋体"/>
                <w:sz w:val="16"/>
              </w:rPr>
              <w:t>20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62BFA286">
            <w:pPr>
              <w:jc w:val="center"/>
            </w:pPr>
            <w:r>
              <w:rPr>
                <w:rFonts w:ascii="宋体" w:hAnsi="宋体" w:eastAsia="宋体"/>
                <w:sz w:val="16"/>
              </w:rPr>
              <w:t>按评判等级赋分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35BA3436">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C4E3AD3">
            <w:pPr>
              <w:jc w:val="center"/>
            </w:pPr>
            <w:r>
              <w:rPr>
                <w:rFonts w:ascii="宋体" w:hAnsi="宋体" w:eastAsia="宋体"/>
                <w:sz w:val="16"/>
              </w:rPr>
              <w:t>增强</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AEBEC3F">
            <w:pPr>
              <w:jc w:val="center"/>
            </w:pPr>
            <w:r>
              <w:rPr>
                <w:rFonts w:ascii="宋体" w:hAnsi="宋体" w:eastAsia="宋体"/>
                <w:sz w:val="16"/>
              </w:rPr>
              <w:t>20</w:t>
            </w:r>
          </w:p>
        </w:tc>
        <w:tc>
          <w:tcPr>
            <w:tcW w:w="149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AD3F811">
            <w:pPr>
              <w:jc w:val="center"/>
            </w:pPr>
          </w:p>
        </w:tc>
      </w:tr>
      <w:tr w14:paraId="3FD95B91">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3343D3DD"/>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1DE254D1">
            <w:pPr>
              <w:jc w:val="center"/>
            </w:pPr>
            <w:r>
              <w:rPr>
                <w:rFonts w:ascii="宋体" w:hAnsi="宋体" w:eastAsia="宋体"/>
                <w:sz w:val="16"/>
              </w:rPr>
              <w:t>满意度指标</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0F8E5109">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32AAA9A">
            <w:pPr>
              <w:jc w:val="center"/>
            </w:pPr>
            <w:r>
              <w:rPr>
                <w:rFonts w:ascii="宋体" w:hAnsi="宋体" w:eastAsia="宋体"/>
                <w:sz w:val="16"/>
              </w:rPr>
              <w:t>口岸联检单位及进出口涉外贸易企业满意率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9C452E7">
            <w:pPr>
              <w:jc w:val="center"/>
            </w:pPr>
            <w:r>
              <w:rPr>
                <w:rFonts w:ascii="宋体" w:hAnsi="宋体" w:eastAsia="宋体"/>
                <w:sz w:val="16"/>
              </w:rPr>
              <w:t>=100%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26ACE2EE">
            <w:pPr>
              <w:jc w:val="center"/>
            </w:pPr>
            <w:r>
              <w:rPr>
                <w:rFonts w:ascii="宋体" w:hAnsi="宋体" w:eastAsia="宋体"/>
                <w:sz w:val="16"/>
              </w:rPr>
              <w:t>计划标准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205388AD">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2784AB5F">
            <w:pPr>
              <w:jc w:val="center"/>
            </w:pPr>
            <w:r>
              <w:rPr>
                <w:rFonts w:ascii="宋体" w:hAnsi="宋体" w:eastAsia="宋体"/>
                <w:sz w:val="16"/>
              </w:rPr>
              <w:t>10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1CB374B3">
            <w:pPr>
              <w:jc w:val="center"/>
            </w:pPr>
            <w:r>
              <w:rPr>
                <w:rFonts w:ascii="宋体" w:hAnsi="宋体" w:eastAsia="宋体"/>
                <w:sz w:val="16"/>
              </w:rPr>
              <w:t>满意度赋分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27C0EF95">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0B40BF0">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36E03E5">
            <w:pPr>
              <w:jc w:val="center"/>
            </w:pPr>
            <w:r>
              <w:rPr>
                <w:rFonts w:ascii="宋体" w:hAnsi="宋体" w:eastAsia="宋体"/>
                <w:sz w:val="16"/>
              </w:rPr>
              <w:t>10</w:t>
            </w:r>
          </w:p>
        </w:tc>
        <w:tc>
          <w:tcPr>
            <w:tcW w:w="149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10C6285">
            <w:pPr>
              <w:jc w:val="center"/>
            </w:pPr>
          </w:p>
        </w:tc>
      </w:tr>
      <w:tr w14:paraId="6C44C271">
        <w:tblPrEx>
          <w:tblCellMar>
            <w:top w:w="0" w:type="dxa"/>
            <w:left w:w="108" w:type="dxa"/>
            <w:bottom w:w="0" w:type="dxa"/>
            <w:right w:w="108" w:type="dxa"/>
          </w:tblCellMar>
        </w:tblPrEx>
        <w:tc>
          <w:tcPr>
            <w:tcW w:w="461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535C50">
            <w:pPr>
              <w:jc w:val="center"/>
            </w:pPr>
            <w:r>
              <w:rPr>
                <w:rFonts w:ascii="宋体" w:hAnsi="宋体" w:eastAsia="宋体"/>
                <w:sz w:val="16"/>
              </w:rPr>
              <w:t>总分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42B584F9">
            <w:pPr>
              <w:jc w:val="center"/>
            </w:pPr>
            <w:r>
              <w:rPr>
                <w:rFonts w:ascii="宋体" w:hAnsi="宋体" w:eastAsia="宋体"/>
                <w:sz w:val="16"/>
              </w:rPr>
              <w:t>100</w:t>
            </w:r>
          </w:p>
        </w:tc>
        <w:tc>
          <w:tcPr>
            <w:tcW w:w="1992" w:type="dxa"/>
            <w:gridSpan w:val="3"/>
            <w:tcBorders>
              <w:top w:val="single" w:color="auto" w:sz="10" w:space="0"/>
              <w:left w:val="single" w:color="auto" w:sz="10" w:space="0"/>
              <w:bottom w:val="single" w:color="auto" w:sz="10" w:space="0"/>
              <w:right w:val="single" w:color="auto" w:sz="10" w:space="0"/>
              <w:insideV w:val="single" w:sz="10" w:space="0"/>
            </w:tcBorders>
          </w:tcPr>
          <w:p w14:paraId="3C4FC104"/>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3AC89A6">
            <w:pPr>
              <w:jc w:val="center"/>
            </w:pPr>
            <w:r>
              <w:rPr>
                <w:rFonts w:ascii="宋体" w:hAnsi="宋体" w:eastAsia="宋体"/>
                <w:sz w:val="16"/>
              </w:rPr>
              <w:t>84.28分</w:t>
            </w:r>
          </w:p>
        </w:tc>
        <w:tc>
          <w:tcPr>
            <w:tcW w:w="1490" w:type="dxa"/>
            <w:gridSpan w:val="3"/>
            <w:tcBorders>
              <w:top w:val="single" w:color="auto" w:sz="10" w:space="0"/>
              <w:left w:val="single" w:color="auto" w:sz="10" w:space="0"/>
              <w:bottom w:val="single" w:color="auto" w:sz="10" w:space="0"/>
              <w:right w:val="single" w:color="auto" w:sz="10" w:space="0"/>
              <w:insideV w:val="single" w:sz="10" w:space="0"/>
            </w:tcBorders>
          </w:tcPr>
          <w:p w14:paraId="052258E5"/>
        </w:tc>
      </w:tr>
    </w:tbl>
    <w:p w14:paraId="7832FE5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A0A08F8">
        <w:tblPrEx>
          <w:tblCellMar>
            <w:top w:w="0" w:type="dxa"/>
            <w:left w:w="108" w:type="dxa"/>
            <w:bottom w:w="0" w:type="dxa"/>
            <w:right w:w="108" w:type="dxa"/>
          </w:tblCellMar>
        </w:tblPrEx>
        <w:tc>
          <w:tcPr>
            <w:tcW w:w="8848" w:type="dxa"/>
            <w:gridSpan w:val="14"/>
            <w:vAlign w:val="center"/>
          </w:tcPr>
          <w:p w14:paraId="76F98B7C">
            <w:pPr>
              <w:jc w:val="center"/>
            </w:pPr>
            <w:r>
              <w:rPr>
                <w:rFonts w:ascii="宋体" w:hAnsi="宋体" w:eastAsia="宋体"/>
                <w:sz w:val="24"/>
              </w:rPr>
              <w:t>项目支出绩效自评表</w:t>
            </w:r>
          </w:p>
        </w:tc>
      </w:tr>
      <w:tr w14:paraId="790F47F3">
        <w:tblPrEx>
          <w:tblCellMar>
            <w:top w:w="0" w:type="dxa"/>
            <w:left w:w="108" w:type="dxa"/>
            <w:bottom w:w="0" w:type="dxa"/>
            <w:right w:w="108" w:type="dxa"/>
          </w:tblCellMar>
        </w:tblPrEx>
        <w:tc>
          <w:tcPr>
            <w:tcW w:w="8848" w:type="dxa"/>
            <w:gridSpan w:val="14"/>
            <w:vAlign w:val="center"/>
          </w:tcPr>
          <w:p w14:paraId="0939427E">
            <w:pPr>
              <w:jc w:val="center"/>
            </w:pPr>
            <w:r>
              <w:rPr>
                <w:rFonts w:ascii="宋体" w:hAnsi="宋体" w:eastAsia="宋体"/>
                <w:sz w:val="24"/>
              </w:rPr>
              <w:t>(2024年度)</w:t>
            </w:r>
          </w:p>
        </w:tc>
      </w:tr>
      <w:tr w14:paraId="1437B2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5222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994EDB8">
            <w:pPr>
              <w:jc w:val="center"/>
            </w:pPr>
            <w:r>
              <w:rPr>
                <w:rFonts w:ascii="宋体" w:hAnsi="宋体" w:eastAsia="宋体"/>
                <w:sz w:val="16"/>
              </w:rPr>
              <w:t>关爱干部职工项目</w:t>
            </w:r>
          </w:p>
        </w:tc>
      </w:tr>
      <w:tr w14:paraId="4FB43E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CC1E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269D2E">
            <w:pPr>
              <w:jc w:val="center"/>
            </w:pPr>
            <w:r>
              <w:rPr>
                <w:rFonts w:ascii="宋体" w:hAnsi="宋体" w:eastAsia="宋体"/>
                <w:sz w:val="16"/>
              </w:rPr>
              <w:t>喀什地区红其拉甫口岸管理委员会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5B8C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8B7D5E">
            <w:pPr>
              <w:jc w:val="center"/>
            </w:pPr>
            <w:r>
              <w:rPr>
                <w:rFonts w:ascii="宋体" w:hAnsi="宋体" w:eastAsia="宋体"/>
                <w:sz w:val="16"/>
              </w:rPr>
              <w:t>喀什地区红其拉甫口岸管理委员会</w:t>
            </w:r>
          </w:p>
        </w:tc>
      </w:tr>
      <w:tr w14:paraId="514EF19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C62DA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5EE1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C629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3245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124B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9E23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31BA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E26F7">
            <w:pPr>
              <w:jc w:val="center"/>
            </w:pPr>
            <w:r>
              <w:rPr>
                <w:rFonts w:ascii="宋体" w:hAnsi="宋体" w:eastAsia="宋体"/>
                <w:sz w:val="16"/>
              </w:rPr>
              <w:t>得分</w:t>
            </w:r>
          </w:p>
        </w:tc>
      </w:tr>
      <w:tr w14:paraId="0081E1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56F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5909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4028E">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30566">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121AE">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351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98C4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E9C3D">
            <w:pPr>
              <w:jc w:val="center"/>
            </w:pPr>
            <w:r>
              <w:rPr>
                <w:rFonts w:ascii="宋体" w:hAnsi="宋体" w:eastAsia="宋体"/>
                <w:sz w:val="16"/>
              </w:rPr>
              <w:t>10.00分</w:t>
            </w:r>
          </w:p>
        </w:tc>
      </w:tr>
      <w:tr w14:paraId="3EA6CF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326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70EE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B6184">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9B453">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7F416">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548A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81A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20883">
            <w:pPr>
              <w:jc w:val="center"/>
            </w:pPr>
            <w:r>
              <w:rPr>
                <w:rFonts w:ascii="宋体" w:hAnsi="宋体" w:eastAsia="宋体"/>
                <w:sz w:val="16"/>
              </w:rPr>
              <w:t>—</w:t>
            </w:r>
          </w:p>
        </w:tc>
      </w:tr>
      <w:tr w14:paraId="0FFE24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C68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11E1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99DF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78B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9DF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2604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B8D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C5821">
            <w:pPr>
              <w:jc w:val="center"/>
            </w:pPr>
            <w:r>
              <w:rPr>
                <w:rFonts w:ascii="宋体" w:hAnsi="宋体" w:eastAsia="宋体"/>
                <w:sz w:val="16"/>
              </w:rPr>
              <w:t>—</w:t>
            </w:r>
          </w:p>
        </w:tc>
      </w:tr>
      <w:tr w14:paraId="61051D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69485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48A2F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B600F7">
            <w:pPr>
              <w:jc w:val="center"/>
            </w:pPr>
            <w:r>
              <w:rPr>
                <w:rFonts w:ascii="宋体" w:hAnsi="宋体" w:eastAsia="宋体"/>
                <w:sz w:val="16"/>
              </w:rPr>
              <w:t>实际完成情况</w:t>
            </w:r>
          </w:p>
        </w:tc>
      </w:tr>
      <w:tr w14:paraId="056EBB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C7D2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D39E2F">
            <w:pPr>
              <w:jc w:val="both"/>
            </w:pPr>
            <w:r>
              <w:rPr>
                <w:rFonts w:ascii="宋体" w:hAnsi="宋体" w:eastAsia="宋体"/>
                <w:sz w:val="16"/>
              </w:rPr>
              <w:t>根据自治区人民政府颁发《关于加强边远，艰苦地区干部保健工作的试行办法》的通知（新政发</w:t>
            </w:r>
            <w:r>
              <w:rPr>
                <w:rFonts w:hint="eastAsia" w:ascii="宋体" w:hAnsi="宋体"/>
                <w:sz w:val="16"/>
                <w:lang w:eastAsia="zh-CN"/>
              </w:rPr>
              <w:t>〔1980〕203号</w:t>
            </w:r>
            <w:r>
              <w:rPr>
                <w:rFonts w:ascii="宋体" w:hAnsi="宋体" w:eastAsia="宋体"/>
                <w:sz w:val="16"/>
              </w:rPr>
              <w:t>）的文件精神，由地区财政拨付1.2万元安排口岸职工每年一次体检，体检人数</w:t>
            </w:r>
            <w:r>
              <w:rPr>
                <w:rFonts w:hint="eastAsia" w:ascii="宋体" w:hAnsi="宋体"/>
                <w:sz w:val="16"/>
                <w:lang w:eastAsia="zh-CN"/>
              </w:rPr>
              <w:t>大于</w:t>
            </w:r>
            <w:r>
              <w:rPr>
                <w:rFonts w:ascii="宋体" w:hAnsi="宋体" w:eastAsia="宋体"/>
                <w:sz w:val="16"/>
              </w:rPr>
              <w:t>等于6人。及时发现干部职工患大病可能，降低干部发病率。确保干部职工身体健康。</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730D73">
            <w:pPr>
              <w:jc w:val="both"/>
            </w:pPr>
            <w:r>
              <w:rPr>
                <w:rFonts w:ascii="宋体" w:hAnsi="宋体" w:eastAsia="宋体"/>
                <w:sz w:val="16"/>
              </w:rPr>
              <w:t>财政拨款1.2万元，已实际支出1.2万元，我委6名干部完成了7项体检项目，及时发现了干部职工患大病可能，降低了干部发病率。确保干部职工身体健康，已完成目标。</w:t>
            </w:r>
          </w:p>
        </w:tc>
      </w:tr>
      <w:tr w14:paraId="202AFF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5E5F9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F8C1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5CAB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1230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6439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5FB6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62AF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C8FA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E566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33F8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909C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BD40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F188C">
            <w:pPr>
              <w:jc w:val="center"/>
            </w:pPr>
            <w:r>
              <w:rPr>
                <w:rFonts w:ascii="宋体" w:hAnsi="宋体" w:eastAsia="宋体"/>
                <w:sz w:val="16"/>
              </w:rPr>
              <w:t>偏差原因分析及改进措施</w:t>
            </w:r>
          </w:p>
        </w:tc>
      </w:tr>
      <w:tr w14:paraId="43C441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ACA19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C7F9D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DB696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10693">
            <w:pPr>
              <w:jc w:val="center"/>
            </w:pPr>
            <w:r>
              <w:rPr>
                <w:rFonts w:ascii="宋体" w:hAnsi="宋体" w:eastAsia="宋体"/>
                <w:sz w:val="16"/>
              </w:rPr>
              <w:t>体检项目数量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7CF81">
            <w:pPr>
              <w:jc w:val="center"/>
            </w:pPr>
            <w:r>
              <w:rPr>
                <w:rFonts w:ascii="宋体" w:hAnsi="宋体" w:eastAsia="宋体"/>
                <w:sz w:val="16"/>
              </w:rPr>
              <w:t>&gt;=5项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35A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441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65E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413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AE3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FC5EC">
            <w:pPr>
              <w:jc w:val="center"/>
            </w:pPr>
            <w:r>
              <w:rPr>
                <w:rFonts w:ascii="宋体" w:hAnsi="宋体" w:eastAsia="宋体"/>
                <w:sz w:val="16"/>
              </w:rPr>
              <w:t>=7项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3AD6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4BCF6">
            <w:pPr>
              <w:jc w:val="center"/>
            </w:pPr>
            <w:r>
              <w:rPr>
                <w:rFonts w:ascii="宋体" w:hAnsi="宋体" w:eastAsia="宋体"/>
                <w:sz w:val="16"/>
              </w:rPr>
              <w:t>偏差原因：年初指标值设置不合理，改进措施：加强与相关部门的沟通协作，共同制定更为细致、量化的指标值。</w:t>
            </w:r>
          </w:p>
        </w:tc>
      </w:tr>
      <w:tr w14:paraId="0D65B7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B38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46F8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528A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1A66F">
            <w:pPr>
              <w:jc w:val="center"/>
            </w:pPr>
            <w:r>
              <w:rPr>
                <w:rFonts w:ascii="宋体" w:hAnsi="宋体" w:eastAsia="宋体"/>
                <w:sz w:val="16"/>
              </w:rPr>
              <w:t>参加体检人数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FAEE6">
            <w:pPr>
              <w:jc w:val="center"/>
            </w:pPr>
            <w:r>
              <w:rPr>
                <w:rFonts w:ascii="宋体" w:hAnsi="宋体" w:eastAsia="宋体"/>
                <w:sz w:val="16"/>
              </w:rPr>
              <w:t>&gt;=6人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CE0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DF6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A99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C18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0C1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10A0D">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22D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C8E4B">
            <w:pPr>
              <w:jc w:val="center"/>
            </w:pPr>
          </w:p>
        </w:tc>
      </w:tr>
      <w:tr w14:paraId="0DB57D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BB2B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0576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83C0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3F51A">
            <w:pPr>
              <w:jc w:val="center"/>
            </w:pPr>
            <w:r>
              <w:rPr>
                <w:rFonts w:ascii="宋体" w:hAnsi="宋体" w:eastAsia="宋体"/>
                <w:sz w:val="16"/>
              </w:rPr>
              <w:t>在职在编人员体检覆盖率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621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8D4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1ED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155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9A72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A44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6E2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602F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DC338">
            <w:pPr>
              <w:jc w:val="center"/>
            </w:pPr>
          </w:p>
        </w:tc>
      </w:tr>
      <w:tr w14:paraId="3C6222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348D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327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D18A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F9B7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00DF4">
            <w:pPr>
              <w:jc w:val="center"/>
            </w:pPr>
            <w:r>
              <w:rPr>
                <w:rFonts w:ascii="宋体" w:hAnsi="宋体" w:eastAsia="宋体"/>
                <w:sz w:val="16"/>
              </w:rPr>
              <w:t>=2024年12月前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274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2BA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2F6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9B83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C8D6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793C2">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62A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05432">
            <w:pPr>
              <w:jc w:val="center"/>
            </w:pPr>
          </w:p>
        </w:tc>
      </w:tr>
      <w:tr w14:paraId="11243E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799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988D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26D1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4CDDD">
            <w:pPr>
              <w:jc w:val="center"/>
            </w:pPr>
            <w:r>
              <w:rPr>
                <w:rFonts w:ascii="宋体" w:hAnsi="宋体" w:eastAsia="宋体"/>
                <w:sz w:val="16"/>
              </w:rPr>
              <w:t>体检资金人均标准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85956">
            <w:pPr>
              <w:jc w:val="center"/>
            </w:pPr>
            <w:r>
              <w:rPr>
                <w:rFonts w:ascii="宋体" w:hAnsi="宋体" w:eastAsia="宋体"/>
                <w:sz w:val="16"/>
              </w:rPr>
              <w:t>&lt;=2000元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C7A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852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B571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F7A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BCA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B201D">
            <w:pPr>
              <w:jc w:val="center"/>
            </w:pPr>
            <w:r>
              <w:rPr>
                <w:rFonts w:ascii="宋体" w:hAnsi="宋体" w:eastAsia="宋体"/>
                <w:sz w:val="16"/>
              </w:rPr>
              <w:t>=2000元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4F9D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93275">
            <w:pPr>
              <w:jc w:val="center"/>
            </w:pPr>
          </w:p>
        </w:tc>
      </w:tr>
      <w:tr w14:paraId="3A3C03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FC2FC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9927E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9E133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10543">
            <w:pPr>
              <w:jc w:val="center"/>
            </w:pPr>
            <w:r>
              <w:rPr>
                <w:rFonts w:ascii="宋体" w:hAnsi="宋体" w:eastAsia="宋体"/>
                <w:sz w:val="16"/>
              </w:rPr>
              <w:t>发现干部职工疾病及时率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23DD7">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1D9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EBA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1CE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A69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55C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C7F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B2ED4">
            <w:pPr>
              <w:jc w:val="center"/>
            </w:pPr>
            <w:r>
              <w:rPr>
                <w:rFonts w:ascii="宋体" w:hAnsi="宋体" w:eastAsia="宋体"/>
                <w:sz w:val="16"/>
              </w:rPr>
              <w:t>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282D9">
            <w:pPr>
              <w:jc w:val="center"/>
            </w:pPr>
            <w:r>
              <w:rPr>
                <w:rFonts w:ascii="宋体" w:hAnsi="宋体" w:eastAsia="宋体"/>
                <w:sz w:val="16"/>
              </w:rPr>
              <w:t>偏差原因：年初指标值设置不合理，改进措施：加强与相关部门的沟通协作，共同制定更为细致、量化的指标值。</w:t>
            </w:r>
          </w:p>
        </w:tc>
      </w:tr>
      <w:tr w14:paraId="5755F8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88E3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C0CB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810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6F7EE">
            <w:pPr>
              <w:jc w:val="center"/>
            </w:pPr>
            <w:r>
              <w:rPr>
                <w:rFonts w:ascii="宋体" w:hAnsi="宋体" w:eastAsia="宋体"/>
                <w:sz w:val="16"/>
              </w:rPr>
              <w:t>口岸工作人员工作效率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160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48D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C91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158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97A6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222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C27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C2B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61EE0">
            <w:pPr>
              <w:jc w:val="center"/>
            </w:pPr>
          </w:p>
        </w:tc>
      </w:tr>
      <w:tr w14:paraId="2BE7C2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D1BA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1AF3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A36F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57AAA">
            <w:pPr>
              <w:jc w:val="center"/>
            </w:pPr>
            <w:r>
              <w:rPr>
                <w:rFonts w:ascii="宋体" w:hAnsi="宋体" w:eastAsia="宋体"/>
                <w:sz w:val="16"/>
              </w:rPr>
              <w:t>参加体检人员满意度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19D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B2F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E17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E44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33A0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75A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D6D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C25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DC9B5">
            <w:pPr>
              <w:jc w:val="center"/>
            </w:pPr>
          </w:p>
        </w:tc>
      </w:tr>
      <w:tr w14:paraId="6D27769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C6BFA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1E8A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98353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99A52">
            <w:pPr>
              <w:jc w:val="center"/>
            </w:pPr>
            <w:r>
              <w:rPr>
                <w:rFonts w:ascii="宋体" w:hAnsi="宋体" w:eastAsia="宋体"/>
                <w:sz w:val="16"/>
              </w:rPr>
              <w:t>95.8分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030E2BC"/>
        </w:tc>
      </w:tr>
    </w:tbl>
    <w:p w14:paraId="554720C1">
      <w:r>
        <w:br w:type="page"/>
      </w:r>
    </w:p>
    <w:p w14:paraId="0BEE61CD">
      <w:pPr>
        <w:spacing w:line="640" w:lineRule="exact"/>
        <w:ind w:firstLine="640"/>
        <w:jc w:val="both"/>
        <w:outlineLvl w:val="2"/>
      </w:pPr>
      <w:r>
        <w:rPr>
          <w:rFonts w:ascii="黑体" w:hAnsi="黑体" w:eastAsia="黑体"/>
          <w:sz w:val="32"/>
        </w:rPr>
        <w:t>十二、其他需说明的事项</w:t>
      </w:r>
    </w:p>
    <w:p w14:paraId="33714E99">
      <w:pPr>
        <w:spacing w:line="580" w:lineRule="exact"/>
        <w:ind w:firstLine="640"/>
        <w:jc w:val="both"/>
      </w:pPr>
      <w:r>
        <w:rPr>
          <w:rFonts w:ascii="仿宋_GB2312" w:hAnsi="仿宋_GB2312" w:eastAsia="仿宋_GB2312"/>
          <w:b w:val="0"/>
          <w:sz w:val="32"/>
        </w:rPr>
        <w:t>本部门无其他需说明的事项。</w:t>
      </w:r>
    </w:p>
    <w:p w14:paraId="23622E06">
      <w:r>
        <w:br w:type="page"/>
      </w:r>
    </w:p>
    <w:p w14:paraId="7135AA43">
      <w:pPr>
        <w:spacing w:line="240" w:lineRule="auto"/>
        <w:jc w:val="center"/>
        <w:outlineLvl w:val="1"/>
      </w:pPr>
      <w:r>
        <w:rPr>
          <w:rFonts w:ascii="黑体" w:hAnsi="黑体" w:eastAsia="黑体"/>
          <w:sz w:val="32"/>
        </w:rPr>
        <w:t>第三部分 专业名词解释</w:t>
      </w:r>
    </w:p>
    <w:p w14:paraId="0B5A511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32C762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C09D26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84F53C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98FB0C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93C456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063DCB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624BA6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8B3328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7C759F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FCA42E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A46D49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3EEA22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E979DE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633D3B9">
      <w:r>
        <w:br w:type="page"/>
      </w:r>
    </w:p>
    <w:p w14:paraId="7E5B1B2F">
      <w:pPr>
        <w:spacing w:line="240" w:lineRule="auto"/>
        <w:jc w:val="center"/>
        <w:outlineLvl w:val="1"/>
      </w:pPr>
      <w:r>
        <w:rPr>
          <w:rFonts w:ascii="黑体" w:hAnsi="黑体" w:eastAsia="黑体"/>
          <w:sz w:val="32"/>
        </w:rPr>
        <w:t>第四部分 部门决算报表（见附表）</w:t>
      </w:r>
    </w:p>
    <w:p w14:paraId="33D03026">
      <w:pPr>
        <w:spacing w:line="240" w:lineRule="auto"/>
        <w:ind w:firstLine="640"/>
        <w:jc w:val="both"/>
      </w:pPr>
      <w:r>
        <w:rPr>
          <w:rFonts w:ascii="仿宋_GB2312" w:hAnsi="仿宋_GB2312" w:eastAsia="仿宋_GB2312"/>
          <w:b w:val="0"/>
          <w:sz w:val="32"/>
        </w:rPr>
        <w:t>一、《收入支出决算总表》</w:t>
      </w:r>
    </w:p>
    <w:p w14:paraId="77AB7695">
      <w:pPr>
        <w:spacing w:line="240" w:lineRule="auto"/>
        <w:ind w:firstLine="640"/>
        <w:jc w:val="both"/>
      </w:pPr>
      <w:r>
        <w:rPr>
          <w:rFonts w:ascii="仿宋_GB2312" w:hAnsi="仿宋_GB2312" w:eastAsia="仿宋_GB2312"/>
          <w:b w:val="0"/>
          <w:sz w:val="32"/>
        </w:rPr>
        <w:t>二、《收入决算表》</w:t>
      </w:r>
    </w:p>
    <w:p w14:paraId="1D693F5A">
      <w:pPr>
        <w:spacing w:line="240" w:lineRule="auto"/>
        <w:ind w:firstLine="640"/>
        <w:jc w:val="both"/>
      </w:pPr>
      <w:r>
        <w:rPr>
          <w:rFonts w:ascii="仿宋_GB2312" w:hAnsi="仿宋_GB2312" w:eastAsia="仿宋_GB2312"/>
          <w:b w:val="0"/>
          <w:sz w:val="32"/>
        </w:rPr>
        <w:t>三、《支出决算表》</w:t>
      </w:r>
    </w:p>
    <w:p w14:paraId="3619A85D">
      <w:pPr>
        <w:spacing w:line="240" w:lineRule="auto"/>
        <w:ind w:firstLine="640"/>
        <w:jc w:val="both"/>
      </w:pPr>
      <w:r>
        <w:rPr>
          <w:rFonts w:ascii="仿宋_GB2312" w:hAnsi="仿宋_GB2312" w:eastAsia="仿宋_GB2312"/>
          <w:b w:val="0"/>
          <w:sz w:val="32"/>
        </w:rPr>
        <w:t>四、《财政拨款收入支出决算总表》</w:t>
      </w:r>
    </w:p>
    <w:p w14:paraId="7C88D3BA">
      <w:pPr>
        <w:spacing w:line="240" w:lineRule="auto"/>
        <w:ind w:firstLine="640"/>
        <w:jc w:val="both"/>
      </w:pPr>
      <w:r>
        <w:rPr>
          <w:rFonts w:ascii="仿宋_GB2312" w:hAnsi="仿宋_GB2312" w:eastAsia="仿宋_GB2312"/>
          <w:b w:val="0"/>
          <w:sz w:val="32"/>
        </w:rPr>
        <w:t>五、《一般公共预算财政拨款支出决算表》</w:t>
      </w:r>
    </w:p>
    <w:p w14:paraId="0A1E023B">
      <w:pPr>
        <w:spacing w:line="240" w:lineRule="auto"/>
        <w:ind w:firstLine="640"/>
        <w:jc w:val="both"/>
      </w:pPr>
      <w:r>
        <w:rPr>
          <w:rFonts w:ascii="仿宋_GB2312" w:hAnsi="仿宋_GB2312" w:eastAsia="仿宋_GB2312"/>
          <w:b w:val="0"/>
          <w:sz w:val="32"/>
        </w:rPr>
        <w:t>六、《一般公共预算财政拨款基本支出决算表》</w:t>
      </w:r>
    </w:p>
    <w:p w14:paraId="5725FE88">
      <w:pPr>
        <w:spacing w:line="240" w:lineRule="auto"/>
        <w:ind w:firstLine="640"/>
        <w:jc w:val="both"/>
      </w:pPr>
      <w:r>
        <w:rPr>
          <w:rFonts w:ascii="仿宋_GB2312" w:hAnsi="仿宋_GB2312" w:eastAsia="仿宋_GB2312"/>
          <w:b w:val="0"/>
          <w:sz w:val="32"/>
        </w:rPr>
        <w:t>七、《政府性基金预算财政拨款收入支出决算表》</w:t>
      </w:r>
    </w:p>
    <w:p w14:paraId="6AE21C96">
      <w:pPr>
        <w:spacing w:line="240" w:lineRule="auto"/>
        <w:ind w:firstLine="640"/>
        <w:jc w:val="both"/>
      </w:pPr>
      <w:r>
        <w:rPr>
          <w:rFonts w:ascii="仿宋_GB2312" w:hAnsi="仿宋_GB2312" w:eastAsia="仿宋_GB2312"/>
          <w:b w:val="0"/>
          <w:sz w:val="32"/>
        </w:rPr>
        <w:t>八、《国有资本经营预算财政拨款收入支出决算表》</w:t>
      </w:r>
    </w:p>
    <w:p w14:paraId="7C5893AA">
      <w:pPr>
        <w:spacing w:line="240" w:lineRule="auto"/>
        <w:ind w:firstLine="640"/>
        <w:jc w:val="both"/>
      </w:pPr>
      <w:r>
        <w:rPr>
          <w:rFonts w:ascii="仿宋_GB2312" w:hAnsi="仿宋_GB2312" w:eastAsia="仿宋_GB2312"/>
          <w:b w:val="0"/>
          <w:sz w:val="32"/>
        </w:rPr>
        <w:t>九、《财政拨款“三公”经费支出决算表》</w:t>
      </w:r>
    </w:p>
    <w:p w14:paraId="020FAEC9">
      <w:pPr>
        <w:spacing w:line="240" w:lineRule="auto"/>
        <w:ind w:firstLine="640"/>
        <w:jc w:val="both"/>
      </w:pPr>
    </w:p>
    <w:p w14:paraId="395B398E">
      <w:pPr>
        <w:spacing w:line="240" w:lineRule="auto"/>
        <w:ind w:firstLine="640"/>
        <w:jc w:val="both"/>
      </w:pPr>
    </w:p>
    <w:p w14:paraId="160748FF">
      <w:pPr>
        <w:spacing w:line="240" w:lineRule="auto"/>
        <w:ind w:firstLine="640"/>
        <w:jc w:val="both"/>
      </w:pPr>
    </w:p>
    <w:p w14:paraId="6BEDF0D5">
      <w:pPr>
        <w:spacing w:line="240" w:lineRule="auto"/>
        <w:ind w:firstLine="640"/>
        <w:jc w:val="both"/>
      </w:pPr>
    </w:p>
    <w:p w14:paraId="488F744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16531A0-637D-4733-84B2-EA0F4820332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6E79F56E-40D4-4006-A0B5-D0DA1C56F831}"/>
  </w:font>
  <w:font w:name="方正小标宋_GBK">
    <w:panose1 w:val="02000000000000000000"/>
    <w:charset w:val="86"/>
    <w:family w:val="script"/>
    <w:pitch w:val="default"/>
    <w:sig w:usb0="A00002BF" w:usb1="38CF7CFA" w:usb2="00082016" w:usb3="00000000" w:csb0="00040001" w:csb1="00000000"/>
    <w:embedRegular r:id="rId3" w:fontKey="{4BE8D358-E233-400E-AE41-01EF0DAE8FBE}"/>
  </w:font>
  <w:font w:name="楷体_GB2312">
    <w:panose1 w:val="02010609030101010101"/>
    <w:charset w:val="86"/>
    <w:family w:val="auto"/>
    <w:pitch w:val="default"/>
    <w:sig w:usb0="00000001" w:usb1="080E0000" w:usb2="00000000" w:usb3="00000000" w:csb0="00040000" w:csb1="00000000"/>
    <w:embedRegular r:id="rId4" w:fontKey="{25C4C61D-AC07-4F41-BB76-616221F6345D}"/>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4C5723"/>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AA52D4F"/>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9D864D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5165</Words>
  <Characters>6039</Characters>
  <Lines>0</Lines>
  <Paragraphs>0</Paragraphs>
  <TotalTime>3</TotalTime>
  <ScaleCrop>false</ScaleCrop>
  <LinksUpToDate>false</LinksUpToDate>
  <CharactersWithSpaces>6048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2025-09-29T04:32:20Z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