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喀什地区纤维检验所2024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67E4913">
      <w:r>
        <w:br w:type="page"/>
      </w:r>
    </w:p>
    <w:p w14:paraId="3A0A9BE6">
      <w:pPr>
        <w:spacing w:line="640" w:lineRule="exact"/>
        <w:jc w:val="center"/>
        <w:outlineLvl w:val="1"/>
      </w:pPr>
      <w:r>
        <w:rPr>
          <w:rFonts w:ascii="黑体" w:hAnsi="黑体" w:eastAsia="黑体"/>
          <w:sz w:val="32"/>
        </w:rPr>
        <w:t>第一部分 部门概况</w:t>
      </w:r>
    </w:p>
    <w:p w14:paraId="7385BC79">
      <w:pPr>
        <w:spacing w:line="640" w:lineRule="exact"/>
        <w:ind w:firstLine="640"/>
        <w:jc w:val="both"/>
        <w:outlineLvl w:val="2"/>
      </w:pPr>
      <w:r>
        <w:rPr>
          <w:rFonts w:ascii="黑体" w:hAnsi="黑体" w:eastAsia="黑体"/>
          <w:sz w:val="32"/>
        </w:rPr>
        <w:t>一、主要职能</w:t>
      </w:r>
    </w:p>
    <w:p w14:paraId="3BA8A5E3">
      <w:pPr>
        <w:spacing w:line="580" w:lineRule="exact"/>
        <w:ind w:firstLine="640"/>
        <w:jc w:val="both"/>
      </w:pPr>
      <w:r>
        <w:rPr>
          <w:rFonts w:ascii="仿宋_GB2312" w:hAnsi="仿宋_GB2312" w:eastAsia="仿宋_GB2312"/>
          <w:sz w:val="32"/>
        </w:rPr>
        <w:t>喀什地区纤维检验所在本行政区域内推行国家纤维质量公证检验制度，依据国家标准、行业标准、地方标准、技术规范承担纤维及纤维制品的公证检验、仲裁、监督检验、</w:t>
      </w:r>
      <w:r>
        <w:rPr>
          <w:rFonts w:hint="eastAsia" w:ascii="仿宋_GB2312" w:hAnsi="仿宋_GB2312" w:eastAsia="仿宋_GB2312"/>
          <w:sz w:val="32"/>
          <w:lang w:eastAsia="zh-CN"/>
        </w:rPr>
        <w:t>委托检验</w:t>
      </w:r>
      <w:r>
        <w:rPr>
          <w:rFonts w:ascii="仿宋_GB2312" w:hAnsi="仿宋_GB2312" w:eastAsia="仿宋_GB2312"/>
          <w:sz w:val="32"/>
        </w:rPr>
        <w:t>、复核检验等技术工作任务。向国家、自治区、喀什地区纤维质量监督行政管理部门报告本地区纤维及其制品公证检验、监督抽查的质量状况，反映纤维产品质量信息。贯彻执行国家、自治区、喀什地区纤维及制品质量检验工作管理规章、办法和各类技术标准、规程、规范，承担辖区纤维生产、经销企业质量管理、检验技术人员的技术培训。依据国家工业产品生产许可证管理制度的相关规定，协助参与棉花加工企业基本生产技术条件、质量管理体系的现场审查工作，协助、指导企业建立健全质量管理制度，正确执行产品技术法规规定的检测方法。为纤维质量监督管理行政主管部门针对本行政区域纤维及制品质量违法案件的查处提供技术支撑。</w:t>
      </w:r>
    </w:p>
    <w:p w14:paraId="0A1D2091">
      <w:pPr>
        <w:spacing w:line="640" w:lineRule="exact"/>
        <w:ind w:firstLine="640"/>
        <w:jc w:val="both"/>
        <w:outlineLvl w:val="2"/>
      </w:pPr>
      <w:r>
        <w:rPr>
          <w:rFonts w:ascii="黑体" w:hAnsi="黑体" w:eastAsia="黑体"/>
          <w:sz w:val="32"/>
        </w:rPr>
        <w:t>二、机构设置及人员情况</w:t>
      </w:r>
    </w:p>
    <w:p w14:paraId="53774994">
      <w:pPr>
        <w:spacing w:line="580" w:lineRule="exact"/>
        <w:ind w:firstLine="640"/>
        <w:jc w:val="both"/>
      </w:pPr>
      <w:r>
        <w:rPr>
          <w:rFonts w:ascii="仿宋_GB2312" w:hAnsi="仿宋_GB2312" w:eastAsia="仿宋_GB2312"/>
          <w:sz w:val="32"/>
        </w:rPr>
        <w:t>喀什地区纤维检验所2024年度，实有人数37人，其中：在职人员30人，增加4人；离休人员0人，增加0人；退休人员7人,减少1人。</w:t>
      </w:r>
    </w:p>
    <w:p w14:paraId="413A832A">
      <w:pPr>
        <w:spacing w:line="580" w:lineRule="exact"/>
        <w:ind w:firstLine="640"/>
        <w:jc w:val="both"/>
      </w:pPr>
      <w:r>
        <w:rPr>
          <w:rFonts w:ascii="仿宋_GB2312" w:hAnsi="仿宋_GB2312" w:eastAsia="仿宋_GB2312"/>
          <w:sz w:val="32"/>
        </w:rPr>
        <w:t>喀什地区纤维检验所无下属预算单位，下设6个科室，分别是：办公室、综合业务室、质保室、技术管理室、检验检测中心、纺织品检验检测中心。</w:t>
      </w:r>
    </w:p>
    <w:p w14:paraId="07EBBAB2">
      <w:r>
        <w:br w:type="page"/>
      </w:r>
    </w:p>
    <w:p w14:paraId="6403A199">
      <w:pPr>
        <w:spacing w:line="240" w:lineRule="auto"/>
        <w:jc w:val="center"/>
        <w:outlineLvl w:val="1"/>
      </w:pPr>
      <w:r>
        <w:rPr>
          <w:rFonts w:ascii="黑体" w:hAnsi="黑体" w:eastAsia="黑体"/>
          <w:sz w:val="32"/>
        </w:rPr>
        <w:t>第二部分 部门决算情况说明</w:t>
      </w:r>
    </w:p>
    <w:p w14:paraId="69F52E89">
      <w:pPr>
        <w:spacing w:line="640" w:lineRule="exact"/>
        <w:ind w:firstLine="640"/>
        <w:jc w:val="both"/>
        <w:outlineLvl w:val="2"/>
      </w:pPr>
      <w:r>
        <w:rPr>
          <w:rFonts w:ascii="黑体" w:hAnsi="黑体" w:eastAsia="黑体"/>
          <w:sz w:val="32"/>
        </w:rPr>
        <w:t>一、收入支出决算总体情况说明</w:t>
      </w:r>
    </w:p>
    <w:p w14:paraId="3DF09947">
      <w:pPr>
        <w:spacing w:line="580" w:lineRule="exact"/>
        <w:ind w:firstLine="640"/>
        <w:jc w:val="both"/>
      </w:pPr>
      <w:r>
        <w:rPr>
          <w:rFonts w:ascii="仿宋_GB2312" w:hAnsi="仿宋_GB2312" w:eastAsia="仿宋_GB2312"/>
          <w:b/>
          <w:sz w:val="32"/>
        </w:rPr>
        <w:t>2024年度收入总计5,920.72万元，</w:t>
      </w:r>
      <w:r>
        <w:rPr>
          <w:rFonts w:ascii="仿宋_GB2312" w:hAnsi="仿宋_GB2312" w:eastAsia="仿宋_GB2312"/>
          <w:b w:val="0"/>
          <w:sz w:val="32"/>
        </w:rPr>
        <w:t>其中：本年收入合计5,920.72万元，使用非财政拨款结余（含专用结余）0.00万元，年初结转和结余0.00万元。</w:t>
      </w:r>
    </w:p>
    <w:p w14:paraId="5FCE0458">
      <w:pPr>
        <w:spacing w:line="580" w:lineRule="exact"/>
        <w:ind w:firstLine="640"/>
        <w:jc w:val="both"/>
      </w:pPr>
      <w:r>
        <w:rPr>
          <w:rFonts w:ascii="仿宋_GB2312" w:hAnsi="仿宋_GB2312" w:eastAsia="仿宋_GB2312"/>
          <w:b/>
          <w:sz w:val="32"/>
        </w:rPr>
        <w:t>2024年度支出总计5,920.72万元，</w:t>
      </w:r>
      <w:r>
        <w:rPr>
          <w:rFonts w:ascii="仿宋_GB2312" w:hAnsi="仿宋_GB2312" w:eastAsia="仿宋_GB2312"/>
          <w:b w:val="0"/>
          <w:sz w:val="32"/>
        </w:rPr>
        <w:t>其中：本年支出合计5,920.72万元，结余分配0.00万元，年末结转和结余0.00万元。</w:t>
      </w:r>
    </w:p>
    <w:p w14:paraId="24E1651D">
      <w:pPr>
        <w:spacing w:line="580" w:lineRule="exact"/>
        <w:ind w:firstLine="640"/>
        <w:jc w:val="both"/>
      </w:pPr>
      <w:r>
        <w:rPr>
          <w:rFonts w:ascii="仿宋_GB2312" w:hAnsi="仿宋_GB2312" w:eastAsia="仿宋_GB2312"/>
          <w:b w:val="0"/>
          <w:sz w:val="32"/>
        </w:rPr>
        <w:t>收入支出总体与上年相比，增加2,521.34万元，增长74.17%，主要原因是：本年在职人员增加，在职人员工资调增、社保、公积金基数调增，人员经费增加。本年巴楚棉花公证检验实验室扩建项目工程款增加。</w:t>
      </w:r>
    </w:p>
    <w:p w14:paraId="4F6E488D">
      <w:pPr>
        <w:spacing w:line="640" w:lineRule="exact"/>
        <w:ind w:firstLine="640"/>
        <w:jc w:val="both"/>
        <w:outlineLvl w:val="2"/>
      </w:pPr>
      <w:r>
        <w:rPr>
          <w:rFonts w:ascii="黑体" w:hAnsi="黑体" w:eastAsia="黑体"/>
          <w:sz w:val="32"/>
        </w:rPr>
        <w:t>二、收入决算情况说明</w:t>
      </w:r>
    </w:p>
    <w:p w14:paraId="512B97C6">
      <w:pPr>
        <w:spacing w:line="580" w:lineRule="exact"/>
        <w:ind w:firstLine="640"/>
        <w:jc w:val="both"/>
      </w:pPr>
      <w:r>
        <w:rPr>
          <w:rFonts w:ascii="仿宋_GB2312" w:hAnsi="仿宋_GB2312" w:eastAsia="仿宋_GB2312"/>
          <w:b/>
          <w:sz w:val="32"/>
        </w:rPr>
        <w:t>本年收入5,920.72万元，</w:t>
      </w:r>
      <w:r>
        <w:rPr>
          <w:rFonts w:ascii="仿宋_GB2312" w:hAnsi="仿宋_GB2312" w:eastAsia="仿宋_GB2312"/>
          <w:b w:val="0"/>
          <w:sz w:val="32"/>
        </w:rPr>
        <w:t>其中：财政拨款收入4,700.17万元，占79.39%；上级补助收入0.00万元，占0.00%；事业收入0.00万元，占0.00%；经营收入0.00万元，占0.00%；附属单位上缴收入0.00万元，占0.00%；其他收入1,220.55万元，占20.61%。</w:t>
      </w:r>
    </w:p>
    <w:p w14:paraId="77BAEF17">
      <w:pPr>
        <w:spacing w:line="640" w:lineRule="exact"/>
        <w:ind w:firstLine="640"/>
        <w:jc w:val="both"/>
        <w:outlineLvl w:val="2"/>
      </w:pPr>
      <w:r>
        <w:rPr>
          <w:rFonts w:ascii="黑体" w:hAnsi="黑体" w:eastAsia="黑体"/>
          <w:sz w:val="32"/>
        </w:rPr>
        <w:t>三、支出决算情况说明</w:t>
      </w:r>
    </w:p>
    <w:p w14:paraId="4EC251C1">
      <w:pPr>
        <w:spacing w:line="580" w:lineRule="exact"/>
        <w:ind w:firstLine="640"/>
        <w:jc w:val="both"/>
      </w:pPr>
      <w:r>
        <w:rPr>
          <w:rFonts w:ascii="仿宋_GB2312" w:hAnsi="仿宋_GB2312" w:eastAsia="仿宋_GB2312"/>
          <w:b/>
          <w:sz w:val="32"/>
        </w:rPr>
        <w:t>本年支出5,920.72万元，</w:t>
      </w:r>
      <w:r>
        <w:rPr>
          <w:rFonts w:ascii="仿宋_GB2312" w:hAnsi="仿宋_GB2312" w:eastAsia="仿宋_GB2312"/>
          <w:b w:val="0"/>
          <w:sz w:val="32"/>
        </w:rPr>
        <w:t>其中：基本支出620.09万元，占10.47%；项目支出5,300.63万元，占89.53%；上缴上级支出0.00万元，占0.00%；经营支出0.00万元，占0.00%；对附属单位补助支出0.00万元，占0.00%。</w:t>
      </w:r>
    </w:p>
    <w:p w14:paraId="17B0E2B5">
      <w:pPr>
        <w:spacing w:line="640" w:lineRule="exact"/>
        <w:ind w:firstLine="640"/>
        <w:jc w:val="both"/>
        <w:outlineLvl w:val="2"/>
      </w:pPr>
      <w:r>
        <w:rPr>
          <w:rFonts w:ascii="黑体" w:hAnsi="黑体" w:eastAsia="黑体"/>
          <w:sz w:val="32"/>
        </w:rPr>
        <w:t>四、财政拨款收入支出决算总体情况说明</w:t>
      </w:r>
    </w:p>
    <w:p w14:paraId="471655D6">
      <w:pPr>
        <w:spacing w:line="580" w:lineRule="exact"/>
        <w:ind w:firstLine="640"/>
        <w:jc w:val="both"/>
      </w:pPr>
      <w:r>
        <w:rPr>
          <w:rFonts w:ascii="仿宋_GB2312" w:hAnsi="仿宋_GB2312" w:eastAsia="仿宋_GB2312"/>
          <w:b/>
          <w:sz w:val="32"/>
        </w:rPr>
        <w:t>2024年度财政拨款收入总计4,700.17万元，</w:t>
      </w:r>
      <w:r>
        <w:rPr>
          <w:rFonts w:ascii="仿宋_GB2312" w:hAnsi="仿宋_GB2312" w:eastAsia="仿宋_GB2312"/>
          <w:b w:val="0"/>
          <w:sz w:val="32"/>
        </w:rPr>
        <w:t>其中：年初财政拨款结转和结余0.00万元，本年财政拨款收入4,700.17万元。</w:t>
      </w:r>
      <w:r>
        <w:rPr>
          <w:rFonts w:ascii="仿宋_GB2312" w:hAnsi="仿宋_GB2312" w:eastAsia="仿宋_GB2312"/>
          <w:b/>
          <w:sz w:val="32"/>
        </w:rPr>
        <w:t>财政拨款支出总计4,700.17万元，</w:t>
      </w:r>
      <w:r>
        <w:rPr>
          <w:rFonts w:ascii="仿宋_GB2312" w:hAnsi="仿宋_GB2312" w:eastAsia="仿宋_GB2312"/>
          <w:b w:val="0"/>
          <w:sz w:val="32"/>
        </w:rPr>
        <w:t>其中：年末财政拨款结转和结余0.00万元，本年财政拨款支出4,700.17万元。</w:t>
      </w:r>
    </w:p>
    <w:p w14:paraId="0484964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增加1,300.79万元，增长38.27%，主要原因是：本年在职人员增加，在职人员工资调增、社保、公积金基数调增，人员经费增加。本年巴楚棉花公证检验实验室扩建项目工程款增加。</w:t>
      </w:r>
      <w:r>
        <w:rPr>
          <w:rFonts w:ascii="仿宋_GB2312" w:hAnsi="仿宋_GB2312" w:eastAsia="仿宋_GB2312"/>
          <w:b/>
          <w:sz w:val="32"/>
        </w:rPr>
        <w:t>与年初预算相比，</w:t>
      </w:r>
      <w:r>
        <w:rPr>
          <w:rFonts w:ascii="仿宋_GB2312" w:hAnsi="仿宋_GB2312" w:eastAsia="仿宋_GB2312"/>
          <w:b w:val="0"/>
          <w:sz w:val="32"/>
        </w:rPr>
        <w:t>年初预算数4,307.88万元，决算数4,700.17万元，预决算差异率9.11%，主要原因是：年中追加2024年度纤维公证检验项目；本年在职人员增加，年中追加人员工资、社保、公积金基数调增部分资金，导致预决算存在差异。</w:t>
      </w:r>
    </w:p>
    <w:p w14:paraId="585D9D48">
      <w:pPr>
        <w:spacing w:line="640" w:lineRule="exact"/>
        <w:ind w:firstLine="640"/>
        <w:jc w:val="both"/>
        <w:outlineLvl w:val="2"/>
      </w:pPr>
      <w:r>
        <w:rPr>
          <w:rFonts w:ascii="黑体" w:hAnsi="黑体" w:eastAsia="黑体"/>
          <w:sz w:val="32"/>
        </w:rPr>
        <w:t>五、一般公共预算财政拨款支出决算情况说明</w:t>
      </w:r>
    </w:p>
    <w:p w14:paraId="105691F1">
      <w:pPr>
        <w:spacing w:line="640" w:lineRule="exact"/>
        <w:ind w:firstLine="640"/>
        <w:jc w:val="both"/>
        <w:outlineLvl w:val="3"/>
      </w:pPr>
      <w:r>
        <w:rPr>
          <w:rFonts w:ascii="楷体_GB2312" w:hAnsi="楷体_GB2312" w:eastAsia="楷体_GB2312"/>
          <w:b/>
          <w:sz w:val="32"/>
        </w:rPr>
        <w:t>（一）一般公共预算财政拨款支出决算总体情况</w:t>
      </w:r>
    </w:p>
    <w:p w14:paraId="4B036C36">
      <w:pPr>
        <w:spacing w:line="580" w:lineRule="exact"/>
        <w:ind w:firstLine="640"/>
        <w:jc w:val="both"/>
      </w:pPr>
      <w:r>
        <w:rPr>
          <w:rFonts w:ascii="仿宋_GB2312" w:hAnsi="仿宋_GB2312" w:eastAsia="仿宋_GB2312"/>
          <w:b/>
          <w:sz w:val="32"/>
        </w:rPr>
        <w:t>2024年度一般公共预算财政拨款支出4,700.17万元，</w:t>
      </w:r>
      <w:r>
        <w:rPr>
          <w:rFonts w:ascii="仿宋_GB2312" w:hAnsi="仿宋_GB2312" w:eastAsia="仿宋_GB2312"/>
          <w:b w:val="0"/>
          <w:sz w:val="32"/>
        </w:rPr>
        <w:t>占本年支出合计的79.39%。</w:t>
      </w:r>
      <w:r>
        <w:rPr>
          <w:rFonts w:ascii="仿宋_GB2312" w:hAnsi="仿宋_GB2312" w:eastAsia="仿宋_GB2312"/>
          <w:b/>
          <w:sz w:val="32"/>
        </w:rPr>
        <w:t>与上年相比，</w:t>
      </w:r>
      <w:r>
        <w:rPr>
          <w:rFonts w:ascii="仿宋_GB2312" w:hAnsi="仿宋_GB2312" w:eastAsia="仿宋_GB2312"/>
          <w:b w:val="0"/>
          <w:sz w:val="32"/>
        </w:rPr>
        <w:t>增加1,300.79万元，增长38.27%，主要原因是：本年在职人员增加，在职人员工资调增、社保、公积金基数调增，人员经费增加。本年巴楚棉花公证检验实验室扩建项目工程款增加。</w:t>
      </w:r>
      <w:r>
        <w:rPr>
          <w:rFonts w:ascii="仿宋_GB2312" w:hAnsi="仿宋_GB2312" w:eastAsia="仿宋_GB2312"/>
          <w:b/>
          <w:sz w:val="32"/>
        </w:rPr>
        <w:t>与年初预算相比,</w:t>
      </w:r>
      <w:r>
        <w:rPr>
          <w:rFonts w:ascii="仿宋_GB2312" w:hAnsi="仿宋_GB2312" w:eastAsia="仿宋_GB2312"/>
          <w:b w:val="0"/>
          <w:sz w:val="32"/>
        </w:rPr>
        <w:t>年初预算数4,307.88万元，决算数4,700.17万元，预决算差异率9.11%，主要原因是：年中追加2024年度纤维公证检验项目；本年在职人员增加，年中追加人员工资、社保、公积金基数调增部分资金，导致预决算存在差异。</w:t>
      </w:r>
    </w:p>
    <w:p w14:paraId="316E3556">
      <w:pPr>
        <w:spacing w:line="640" w:lineRule="exact"/>
        <w:ind w:firstLine="640"/>
        <w:jc w:val="both"/>
        <w:outlineLvl w:val="3"/>
      </w:pPr>
      <w:r>
        <w:rPr>
          <w:rFonts w:ascii="楷体_GB2312" w:hAnsi="楷体_GB2312" w:eastAsia="楷体_GB2312"/>
          <w:b/>
          <w:sz w:val="32"/>
        </w:rPr>
        <w:t>（二）一般公共预算财政拨款支出决算结构情况</w:t>
      </w:r>
    </w:p>
    <w:p w14:paraId="44323C86">
      <w:pPr>
        <w:spacing w:line="580" w:lineRule="exact"/>
        <w:ind w:firstLine="640"/>
        <w:jc w:val="both"/>
      </w:pPr>
      <w:r>
        <w:rPr>
          <w:rFonts w:ascii="仿宋_GB2312" w:hAnsi="仿宋_GB2312" w:eastAsia="仿宋_GB2312"/>
          <w:b w:val="0"/>
          <w:sz w:val="32"/>
        </w:rPr>
        <w:t>1.一般公共服务支出(类)4,554.53万元,占96.90%。</w:t>
      </w:r>
    </w:p>
    <w:p w14:paraId="742D50BA">
      <w:pPr>
        <w:spacing w:line="580" w:lineRule="exact"/>
        <w:ind w:firstLine="640"/>
        <w:jc w:val="both"/>
      </w:pPr>
      <w:r>
        <w:rPr>
          <w:rFonts w:ascii="仿宋_GB2312" w:hAnsi="仿宋_GB2312" w:eastAsia="仿宋_GB2312"/>
          <w:b w:val="0"/>
          <w:sz w:val="32"/>
        </w:rPr>
        <w:t>2.社会保障和就业支出(类)75.12万元,占1.60%。</w:t>
      </w:r>
    </w:p>
    <w:p w14:paraId="4DE060A3">
      <w:pPr>
        <w:spacing w:line="580" w:lineRule="exact"/>
        <w:ind w:firstLine="640"/>
        <w:jc w:val="both"/>
      </w:pPr>
      <w:r>
        <w:rPr>
          <w:rFonts w:ascii="仿宋_GB2312" w:hAnsi="仿宋_GB2312" w:eastAsia="仿宋_GB2312"/>
          <w:b w:val="0"/>
          <w:sz w:val="32"/>
        </w:rPr>
        <w:t>3.卫生健康支出(类)23.39万元,占0.50%。</w:t>
      </w:r>
    </w:p>
    <w:p w14:paraId="265EF2CD">
      <w:pPr>
        <w:spacing w:line="580" w:lineRule="exact"/>
        <w:ind w:firstLine="640"/>
        <w:jc w:val="both"/>
      </w:pPr>
      <w:r>
        <w:rPr>
          <w:rFonts w:ascii="仿宋_GB2312" w:hAnsi="仿宋_GB2312" w:eastAsia="仿宋_GB2312"/>
          <w:b w:val="0"/>
          <w:sz w:val="32"/>
        </w:rPr>
        <w:t>4.住房保障支出(类)47.14万元,占1.00%。</w:t>
      </w:r>
    </w:p>
    <w:p w14:paraId="4D05AB83">
      <w:pPr>
        <w:spacing w:line="640" w:lineRule="exact"/>
        <w:ind w:firstLine="640"/>
        <w:jc w:val="both"/>
        <w:outlineLvl w:val="3"/>
      </w:pPr>
      <w:r>
        <w:rPr>
          <w:rFonts w:ascii="楷体_GB2312" w:hAnsi="楷体_GB2312" w:eastAsia="楷体_GB2312"/>
          <w:b/>
          <w:sz w:val="32"/>
        </w:rPr>
        <w:t>（三）一般公共预算财政拨款支出决算具体情况</w:t>
      </w:r>
    </w:p>
    <w:p w14:paraId="0AF07A8C">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1.一般公共服务支出(类)统战事务(款)宗教事务(项):支出决算数为2.20万元，比上年决算增加2.20万元，增长100.00%,主要原因是：本年为民办实事补助经费增加。</w:t>
      </w:r>
    </w:p>
    <w:p w14:paraId="70EDBB10">
      <w:pPr>
        <w:spacing w:line="580" w:lineRule="exact"/>
        <w:ind w:firstLine="640"/>
        <w:jc w:val="both"/>
      </w:pPr>
      <w:r>
        <w:rPr>
          <w:rFonts w:ascii="仿宋_GB2312" w:hAnsi="仿宋_GB2312" w:eastAsia="仿宋_GB2312"/>
          <w:b w:val="0"/>
          <w:sz w:val="32"/>
        </w:rPr>
        <w:t>2.一般公共服务支出(类)市场监督管理事务(款)质量基础(项):支出决算数为4,080.08万元，比上年决算增加1,240.79万元，增长43.70%,主要原因是：本年巴楚棉花公证检验实验室扩建项目工程款增加。</w:t>
      </w:r>
    </w:p>
    <w:p w14:paraId="75757658">
      <w:pPr>
        <w:spacing w:line="580" w:lineRule="exact"/>
        <w:ind w:firstLine="640"/>
        <w:jc w:val="both"/>
      </w:pPr>
      <w:r>
        <w:rPr>
          <w:rFonts w:ascii="仿宋_GB2312" w:hAnsi="仿宋_GB2312" w:eastAsia="仿宋_GB2312"/>
          <w:b w:val="0"/>
          <w:sz w:val="32"/>
        </w:rPr>
        <w:t>3.一般公共服务支出(类)市场监督管理事务(款)事业运行(项):支出决算数为472.25万元，比上年决算增加34.50万元，增长7.88%,主要原因是：本年新增在职人员，在职人员工资调增，导致相关人员经费较上年有所增加。</w:t>
      </w:r>
    </w:p>
    <w:p w14:paraId="6C10CA23">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4.社会保障和就业支出(类)行政事业单位养老支出(款)事业单位离退休(项):支出决算数为12.05万元，比上年决算增加2.12万元，增长21.35%,主要原因是：本年增加退休人员基础绩效奖，退休费支出增加。</w:t>
      </w:r>
    </w:p>
    <w:p w14:paraId="427FC33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55.11万元，比上年决算增加5.33万元，增长10.71%,主要原因是：本年新增在职人员，在职人员工资调增，养老缴费基数上涨，相应支出增加。</w:t>
      </w:r>
    </w:p>
    <w:p w14:paraId="5E4ACB2D">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1.24万元，比上年决算增加1.24万元，增长100.00%,主要原因是：本年支付往年调出人员经费，职业年金缴费支出增加。</w:t>
      </w:r>
    </w:p>
    <w:p w14:paraId="0EBD4945">
      <w:pPr>
        <w:spacing w:line="580" w:lineRule="exact"/>
        <w:ind w:firstLine="640"/>
        <w:jc w:val="both"/>
      </w:pPr>
      <w:r>
        <w:rPr>
          <w:rFonts w:ascii="仿宋_GB2312" w:hAnsi="仿宋_GB2312" w:eastAsia="仿宋_GB2312"/>
          <w:b w:val="0"/>
          <w:sz w:val="32"/>
        </w:rPr>
        <w:t>7.社会保障和就业支出(类)抚恤(款)死亡抚恤(项):支出决算数为6.72万元，比上年决算增加6.72万元，增长100.00%,主要原因是：本年新增死亡人员，死亡抚恤支出增加。</w:t>
      </w:r>
    </w:p>
    <w:p w14:paraId="065FE9A7">
      <w:pPr>
        <w:spacing w:line="580" w:lineRule="exact"/>
        <w:ind w:firstLine="640"/>
        <w:jc w:val="both"/>
      </w:pPr>
      <w:r>
        <w:rPr>
          <w:rFonts w:ascii="仿宋_GB2312" w:hAnsi="仿宋_GB2312" w:eastAsia="仿宋_GB2312"/>
          <w:b w:val="0"/>
          <w:sz w:val="32"/>
        </w:rPr>
        <w:t>8.卫生健康支出(类)行政事业单位医疗(款)事业单位医疗(项):支出决算数为23.39万元，比上年决算增加2.23万元，增长10.54%,主要原因是：本年在职人员增加，在职人员工资基数调增，医疗缴费基数上涨，相应支出增加。</w:t>
      </w:r>
    </w:p>
    <w:p w14:paraId="30335CBB">
      <w:pPr>
        <w:spacing w:line="580" w:lineRule="exact"/>
        <w:ind w:firstLine="640"/>
        <w:jc w:val="both"/>
      </w:pPr>
      <w:r>
        <w:rPr>
          <w:rFonts w:ascii="仿宋_GB2312" w:hAnsi="仿宋_GB2312" w:eastAsia="仿宋_GB2312"/>
          <w:b w:val="0"/>
          <w:sz w:val="32"/>
        </w:rPr>
        <w:t>9.住房保障支出(类)住房改革支出(款)住房公积金(项):支出决算数为47.14万元，比上年决算增加5.66万元，增长13.65%,主要原因是：本年在职人员增加，在职人员工资基数调增，公积金缴费基数上涨，相应支出增加。</w:t>
      </w:r>
    </w:p>
    <w:p w14:paraId="5D1E68C9">
      <w:pPr>
        <w:spacing w:line="640" w:lineRule="exact"/>
        <w:ind w:firstLine="640"/>
        <w:jc w:val="both"/>
        <w:outlineLvl w:val="2"/>
      </w:pPr>
      <w:r>
        <w:rPr>
          <w:rFonts w:ascii="黑体" w:hAnsi="黑体" w:eastAsia="黑体"/>
          <w:sz w:val="32"/>
        </w:rPr>
        <w:t>六、一般公共预算财政拨款基本支出决算情况说明</w:t>
      </w:r>
    </w:p>
    <w:p w14:paraId="149EC8BE">
      <w:pPr>
        <w:spacing w:line="580" w:lineRule="exact"/>
        <w:ind w:firstLine="640"/>
        <w:jc w:val="both"/>
      </w:pPr>
      <w:r>
        <w:rPr>
          <w:rFonts w:ascii="仿宋_GB2312" w:hAnsi="仿宋_GB2312" w:eastAsia="仿宋_GB2312"/>
          <w:b w:val="0"/>
          <w:sz w:val="32"/>
        </w:rPr>
        <w:t>2024年度一般公共预算财政拨款基本支出620.09万元，其中：</w:t>
      </w:r>
      <w:r>
        <w:rPr>
          <w:rFonts w:ascii="仿宋_GB2312" w:hAnsi="仿宋_GB2312" w:eastAsia="仿宋_GB2312"/>
          <w:b/>
          <w:sz w:val="32"/>
        </w:rPr>
        <w:t>人员经费571.81万元，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包括：基本工资、津贴补贴、奖金、绩效工资、机关事业单位基本养老保险缴费、职业年金缴费、职工基本医疗保险缴费、其他社会保障缴费、住房公积金、退休费、抚恤金、奖励金、其他对个人和家庭的补助。</w:t>
      </w:r>
    </w:p>
    <w:p w14:paraId="6BDEABF2">
      <w:pPr>
        <w:spacing w:line="580" w:lineRule="exact"/>
        <w:ind w:firstLine="640"/>
        <w:jc w:val="both"/>
      </w:pPr>
      <w:r>
        <w:rPr>
          <w:rFonts w:ascii="仿宋_GB2312" w:hAnsi="仿宋_GB2312" w:eastAsia="仿宋_GB2312"/>
          <w:b/>
          <w:sz w:val="32"/>
        </w:rPr>
        <w:t>公用经费48.27万元，</w:t>
      </w:r>
      <w:r>
        <w:rPr>
          <w:rFonts w:ascii="仿宋_GB2312" w:hAnsi="仿宋_GB2312" w:eastAsia="仿宋_GB2312"/>
          <w:b w:val="0"/>
          <w:sz w:val="32"/>
        </w:rPr>
        <w:t>包括：办公费、水费、电费、邮电费、取暖费、差旅费、专用材料费、工会经费、公务用车运行维护费、其他交通费用、其他商品和服务支出。</w:t>
      </w:r>
    </w:p>
    <w:p w14:paraId="75E48DEC">
      <w:pPr>
        <w:spacing w:line="640" w:lineRule="exact"/>
        <w:ind w:firstLine="640"/>
        <w:jc w:val="both"/>
        <w:outlineLvl w:val="2"/>
      </w:pPr>
      <w:r>
        <w:rPr>
          <w:rFonts w:ascii="黑体" w:hAnsi="黑体" w:eastAsia="黑体"/>
          <w:sz w:val="32"/>
        </w:rPr>
        <w:t>七、政府性基金预算财政拨款收入支出决算情况说明</w:t>
      </w:r>
    </w:p>
    <w:p w14:paraId="33EB63F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75C495E">
      <w:pPr>
        <w:spacing w:line="640" w:lineRule="exact"/>
        <w:ind w:firstLine="640"/>
        <w:jc w:val="both"/>
        <w:outlineLvl w:val="2"/>
      </w:pPr>
      <w:r>
        <w:rPr>
          <w:rFonts w:ascii="黑体" w:hAnsi="黑体" w:eastAsia="黑体"/>
          <w:sz w:val="32"/>
        </w:rPr>
        <w:t>八、国有资本经营预算财政拨款收入支出决算情况说明</w:t>
      </w:r>
    </w:p>
    <w:p w14:paraId="09BA4DD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B5E6007">
      <w:pPr>
        <w:spacing w:line="640" w:lineRule="exact"/>
        <w:ind w:firstLine="640"/>
        <w:jc w:val="both"/>
        <w:outlineLvl w:val="2"/>
      </w:pPr>
      <w:r>
        <w:rPr>
          <w:rFonts w:ascii="黑体" w:hAnsi="黑体" w:eastAsia="黑体"/>
          <w:sz w:val="32"/>
        </w:rPr>
        <w:t>九、财政拨款“三公”经费支出决算情况说明</w:t>
      </w:r>
    </w:p>
    <w:p w14:paraId="563E25F2">
      <w:pPr>
        <w:spacing w:line="580" w:lineRule="exact"/>
        <w:ind w:firstLine="640"/>
        <w:jc w:val="both"/>
      </w:pPr>
      <w:r>
        <w:rPr>
          <w:rFonts w:ascii="仿宋_GB2312" w:hAnsi="仿宋_GB2312" w:eastAsia="仿宋_GB2312"/>
          <w:b/>
          <w:sz w:val="32"/>
        </w:rPr>
        <w:t>2024年度财政拨款“三公”经费支出2.60万元，</w:t>
      </w:r>
      <w:r>
        <w:rPr>
          <w:rFonts w:ascii="仿宋_GB2312" w:hAnsi="仿宋_GB2312" w:eastAsia="仿宋_GB2312"/>
          <w:b w:val="0"/>
          <w:sz w:val="32"/>
        </w:rPr>
        <w:t>比上年增加0.00万元，增长0.00%，主要原因是：本部门“三公”经费与上年一致无变化。其中：因公出国（境）费支出0.00万元，占0.00%，比上年增加0.00万元，增长0.00%，主要原因是：2023年与2024年均未安排因公出国（境）费支出。公务用车购置及运行维护费支出2.60万元，占100.00%，比上年增加0.00万元，增长0.00%，主要原因是：本部门公务用车运行维护费与上年一致无变化。公务接待费支出0.00万元，占0.00%，比上年增加0.00万元，增长0.00%，主要原因是：2023年与2024年均未安排公务接待费支出。</w:t>
      </w:r>
    </w:p>
    <w:p w14:paraId="5F70C13D">
      <w:pPr>
        <w:spacing w:line="580" w:lineRule="exact"/>
        <w:ind w:firstLine="640"/>
        <w:jc w:val="both"/>
      </w:pPr>
      <w:r>
        <w:rPr>
          <w:rFonts w:ascii="仿宋_GB2312" w:hAnsi="仿宋_GB2312" w:eastAsia="仿宋_GB2312"/>
          <w:b/>
          <w:sz w:val="32"/>
        </w:rPr>
        <w:t>具体情况如下：</w:t>
      </w:r>
    </w:p>
    <w:p w14:paraId="6172E00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2688DF3">
      <w:pPr>
        <w:spacing w:line="580" w:lineRule="exact"/>
        <w:ind w:firstLine="640"/>
        <w:jc w:val="both"/>
      </w:pPr>
      <w:r>
        <w:rPr>
          <w:rFonts w:ascii="仿宋_GB2312" w:hAnsi="仿宋_GB2312" w:eastAsia="仿宋_GB2312"/>
          <w:b w:val="0"/>
          <w:sz w:val="32"/>
        </w:rPr>
        <w:t>公务用车购置及运行维护费2.60万元，其中：公务用车购置费0.00万元，公务用车运行维护费2.60万元。公务用车运行维护费开支内容包括车辆加油费、维修费、保险费、审车费、过路费等。公务用车购置数0辆，公务用车保有量2辆。国有资产占用情况中固定资产车辆2辆，与公务用车保有量差异原因是：本部门固定资产车辆与公务用车保有量一致无差异。</w:t>
      </w:r>
    </w:p>
    <w:p w14:paraId="17C5517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708438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2.60万元，决算数2.60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2.60万元，决算数2.60万元，预决算差异率0.00%，主要原因是：严格按照预算执行，预决算无差异。公务接待费全年预算数0.00万元，决算数0.00万元，预决算差异率0.00%，主要原因是：本部门无公务接待费。</w:t>
      </w:r>
    </w:p>
    <w:p w14:paraId="3C91DBD9">
      <w:pPr>
        <w:spacing w:line="640" w:lineRule="exact"/>
        <w:ind w:firstLine="640"/>
        <w:jc w:val="both"/>
        <w:outlineLvl w:val="2"/>
      </w:pPr>
      <w:r>
        <w:rPr>
          <w:rFonts w:ascii="黑体" w:hAnsi="黑体" w:eastAsia="黑体"/>
          <w:sz w:val="32"/>
        </w:rPr>
        <w:t>十、其他重要事项的情况说明</w:t>
      </w:r>
    </w:p>
    <w:p w14:paraId="1B5BF530">
      <w:pPr>
        <w:spacing w:line="640" w:lineRule="exact"/>
        <w:ind w:firstLine="640"/>
        <w:jc w:val="both"/>
        <w:outlineLvl w:val="3"/>
      </w:pPr>
      <w:r>
        <w:rPr>
          <w:rFonts w:ascii="楷体_GB2312" w:hAnsi="楷体_GB2312" w:eastAsia="楷体_GB2312"/>
          <w:b/>
          <w:sz w:val="32"/>
        </w:rPr>
        <w:t>（一）机关运行经费及公用经费支出情况</w:t>
      </w:r>
    </w:p>
    <w:p w14:paraId="398C0A72">
      <w:pPr>
        <w:spacing w:line="580" w:lineRule="exact"/>
        <w:ind w:firstLine="640"/>
        <w:jc w:val="both"/>
      </w:pPr>
      <w:r>
        <w:rPr>
          <w:rFonts w:ascii="仿宋_GB2312" w:hAnsi="仿宋_GB2312" w:eastAsia="仿宋_GB2312"/>
          <w:b w:val="0"/>
          <w:sz w:val="32"/>
        </w:rPr>
        <w:t>2024年度喀什地区纤维检验所（事业单位）公用经费支出48.27万元，比上年增加8.40万元，增长21.07%，主要原因是：本年在职人员增加，办公费用增加。本年增加联谊活动经费，导致公用经费增加。</w:t>
      </w:r>
    </w:p>
    <w:p w14:paraId="30BC42E1">
      <w:pPr>
        <w:spacing w:line="640" w:lineRule="exact"/>
        <w:ind w:firstLine="640"/>
        <w:jc w:val="both"/>
        <w:outlineLvl w:val="3"/>
      </w:pPr>
      <w:r>
        <w:rPr>
          <w:rFonts w:ascii="楷体_GB2312" w:hAnsi="楷体_GB2312" w:eastAsia="楷体_GB2312"/>
          <w:b/>
          <w:sz w:val="32"/>
        </w:rPr>
        <w:t>（二）政府采购情况</w:t>
      </w:r>
    </w:p>
    <w:p w14:paraId="461206A5">
      <w:pPr>
        <w:spacing w:line="580" w:lineRule="exact"/>
        <w:ind w:firstLine="640"/>
        <w:jc w:val="both"/>
      </w:pPr>
      <w:r>
        <w:rPr>
          <w:rFonts w:ascii="仿宋_GB2312" w:hAnsi="仿宋_GB2312" w:eastAsia="仿宋_GB2312"/>
          <w:b w:val="0"/>
          <w:sz w:val="32"/>
        </w:rPr>
        <w:t>2024年度政府采购支出总额3,723.71万元，其中：政府采购货物支出3,290.45万元、政府采购工程支出2.84万元、政府采购服务支出430.42万元。</w:t>
      </w:r>
    </w:p>
    <w:p w14:paraId="241B54D3">
      <w:pPr>
        <w:spacing w:line="580" w:lineRule="exact"/>
        <w:ind w:firstLine="640"/>
        <w:jc w:val="both"/>
      </w:pPr>
      <w:r>
        <w:rPr>
          <w:rFonts w:ascii="仿宋_GB2312" w:hAnsi="仿宋_GB2312" w:eastAsia="仿宋_GB2312"/>
          <w:b w:val="0"/>
          <w:sz w:val="32"/>
        </w:rPr>
        <w:t>授予中小企业合同金额757.24万元，占政府采购支出总额的20.34%，其中：授予小微企业合同金额253.26万元，占政府采购支出总额的6.80%。</w:t>
      </w:r>
    </w:p>
    <w:p w14:paraId="4370584E">
      <w:pPr>
        <w:spacing w:line="640" w:lineRule="exact"/>
        <w:ind w:firstLine="640"/>
        <w:jc w:val="both"/>
        <w:outlineLvl w:val="3"/>
      </w:pPr>
      <w:r>
        <w:rPr>
          <w:rFonts w:ascii="楷体_GB2312" w:hAnsi="楷体_GB2312" w:eastAsia="楷体_GB2312"/>
          <w:b/>
          <w:sz w:val="32"/>
        </w:rPr>
        <w:t>（三）国有资产占用情况说明</w:t>
      </w:r>
    </w:p>
    <w:p w14:paraId="4D68D3F7">
      <w:pPr>
        <w:spacing w:line="580" w:lineRule="exact"/>
        <w:ind w:firstLine="640"/>
        <w:jc w:val="both"/>
      </w:pPr>
      <w:r>
        <w:rPr>
          <w:rFonts w:ascii="仿宋_GB2312" w:hAnsi="仿宋_GB2312" w:eastAsia="仿宋_GB2312"/>
          <w:b w:val="0"/>
          <w:sz w:val="32"/>
        </w:rPr>
        <w:t>截至2024年12月31日，房屋12,024.00平方米，价值5,558.99万元。车辆2辆，价值43.61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34台（套）。</w:t>
      </w:r>
    </w:p>
    <w:p w14:paraId="43A1D021">
      <w:pPr>
        <w:spacing w:line="640" w:lineRule="exact"/>
        <w:ind w:firstLine="640"/>
        <w:jc w:val="both"/>
        <w:outlineLvl w:val="2"/>
      </w:pPr>
      <w:r>
        <w:rPr>
          <w:rFonts w:ascii="黑体" w:hAnsi="黑体" w:eastAsia="黑体"/>
          <w:sz w:val="32"/>
        </w:rPr>
        <w:t>十一、预算绩效的情况说明</w:t>
      </w:r>
    </w:p>
    <w:p w14:paraId="3697F4A2">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8,428.81万元，实际执行总额5,920.21万元；预算绩效评价项目3个，全年预算数6,550.74万元，全年执行数4,042.65万元。预算绩效管理取得的成效：一是确保资金使用合规性和安全性；二是通过项目管理及创新，实现了资金的节约；二是各项计划工作均按期完成，绩效管理得到极大提升。发现的问题及原因：一是时间紧任务重，绩效监管人员配备不齐，相关绩效培训学习不够，可参考资料较少；二是相关制度不够健全。下一步改进措施：一是合理规划绩效工作，成立专项绩效小组；二是明确工作职责和分工，积极参加各项监管培训。具体附部门整体支出绩效自评表，项目支出绩效自评表和部门评价报告。</w:t>
      </w:r>
    </w:p>
    <w:p w14:paraId="197DACA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D5353FC">
        <w:tblPrEx>
          <w:tblCellMar>
            <w:top w:w="0" w:type="dxa"/>
            <w:left w:w="108" w:type="dxa"/>
            <w:bottom w:w="0" w:type="dxa"/>
            <w:right w:w="108" w:type="dxa"/>
          </w:tblCellMar>
        </w:tblPrEx>
        <w:tc>
          <w:tcPr>
            <w:tcW w:w="8847" w:type="dxa"/>
            <w:gridSpan w:val="9"/>
            <w:vAlign w:val="center"/>
          </w:tcPr>
          <w:p w14:paraId="16EC4E39">
            <w:pPr>
              <w:jc w:val="center"/>
            </w:pPr>
            <w:r>
              <w:rPr>
                <w:rFonts w:ascii="宋体" w:hAnsi="宋体" w:eastAsia="宋体"/>
                <w:sz w:val="24"/>
              </w:rPr>
              <w:t>部门整体支出绩效自评表</w:t>
            </w:r>
          </w:p>
        </w:tc>
      </w:tr>
      <w:tr w14:paraId="1F6F8B2A">
        <w:tblPrEx>
          <w:tblCellMar>
            <w:top w:w="0" w:type="dxa"/>
            <w:left w:w="108" w:type="dxa"/>
            <w:bottom w:w="0" w:type="dxa"/>
            <w:right w:w="108" w:type="dxa"/>
          </w:tblCellMar>
        </w:tblPrEx>
        <w:tc>
          <w:tcPr>
            <w:tcW w:w="8847" w:type="dxa"/>
            <w:gridSpan w:val="9"/>
            <w:vAlign w:val="center"/>
          </w:tcPr>
          <w:p w14:paraId="00E85C59">
            <w:pPr>
              <w:jc w:val="center"/>
            </w:pPr>
            <w:r>
              <w:rPr>
                <w:rFonts w:ascii="宋体" w:hAnsi="宋体" w:eastAsia="宋体"/>
                <w:sz w:val="24"/>
              </w:rPr>
              <w:t>（2024年度）</w:t>
            </w:r>
          </w:p>
        </w:tc>
      </w:tr>
      <w:tr w14:paraId="31F402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9CEA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4C5EA34">
            <w:pPr>
              <w:jc w:val="center"/>
            </w:pPr>
            <w:r>
              <w:rPr>
                <w:rFonts w:ascii="宋体" w:hAnsi="宋体" w:eastAsia="宋体"/>
                <w:sz w:val="16"/>
              </w:rPr>
              <w:t>喀什地区纤维检验所</w:t>
            </w:r>
          </w:p>
        </w:tc>
      </w:tr>
      <w:tr w14:paraId="26E49F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0738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842D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4441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0A37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CDBA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7DA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965E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928B0">
            <w:pPr>
              <w:jc w:val="center"/>
            </w:pPr>
            <w:r>
              <w:rPr>
                <w:rFonts w:ascii="宋体" w:hAnsi="宋体" w:eastAsia="宋体"/>
                <w:sz w:val="16"/>
              </w:rPr>
              <w:t>得分</w:t>
            </w:r>
          </w:p>
        </w:tc>
      </w:tr>
      <w:tr w14:paraId="0D3F19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59B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2AD8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44C6D">
            <w:pPr>
              <w:jc w:val="center"/>
            </w:pPr>
            <w:r>
              <w:rPr>
                <w:rFonts w:ascii="宋体" w:hAnsi="宋体" w:eastAsia="宋体"/>
                <w:sz w:val="16"/>
              </w:rPr>
              <w:t>4,307.88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CCF67">
            <w:pPr>
              <w:jc w:val="center"/>
            </w:pPr>
            <w:r>
              <w:rPr>
                <w:rFonts w:ascii="宋体" w:hAnsi="宋体" w:eastAsia="宋体"/>
                <w:sz w:val="16"/>
              </w:rPr>
              <w:t>8,428.81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A71BC">
            <w:pPr>
              <w:jc w:val="center"/>
            </w:pPr>
            <w:r>
              <w:rPr>
                <w:rFonts w:ascii="宋体" w:hAnsi="宋体" w:eastAsia="宋体"/>
                <w:sz w:val="16"/>
              </w:rPr>
              <w:t>5,920.21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124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FEA71">
            <w:pPr>
              <w:jc w:val="center"/>
            </w:pPr>
            <w:r>
              <w:rPr>
                <w:rFonts w:ascii="宋体" w:hAnsi="宋体" w:eastAsia="宋体"/>
                <w:sz w:val="16"/>
              </w:rPr>
              <w:t>70.24%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F43FE">
            <w:pPr>
              <w:jc w:val="center"/>
            </w:pPr>
            <w:r>
              <w:rPr>
                <w:rFonts w:ascii="宋体" w:hAnsi="宋体" w:eastAsia="宋体"/>
                <w:sz w:val="16"/>
              </w:rPr>
              <w:t>7.02</w:t>
            </w:r>
          </w:p>
        </w:tc>
      </w:tr>
      <w:tr w14:paraId="67052E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D73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F426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FF77">
            <w:pPr>
              <w:jc w:val="center"/>
            </w:pPr>
            <w:r>
              <w:rPr>
                <w:rFonts w:ascii="宋体" w:hAnsi="宋体" w:eastAsia="宋体"/>
                <w:sz w:val="16"/>
              </w:rPr>
              <w:t>3,702.14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EE7A9">
            <w:pPr>
              <w:jc w:val="center"/>
            </w:pPr>
            <w:r>
              <w:rPr>
                <w:rFonts w:ascii="宋体" w:hAnsi="宋体" w:eastAsia="宋体"/>
                <w:sz w:val="16"/>
              </w:rPr>
              <w:t>6,475.69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1239A">
            <w:pPr>
              <w:jc w:val="center"/>
            </w:pPr>
            <w:r>
              <w:rPr>
                <w:rFonts w:ascii="宋体" w:hAnsi="宋体" w:eastAsia="宋体"/>
                <w:sz w:val="16"/>
              </w:rPr>
              <w:t>4,092.28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C3B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4252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AC25">
            <w:pPr>
              <w:jc w:val="center"/>
            </w:pPr>
            <w:r>
              <w:rPr>
                <w:rFonts w:ascii="宋体" w:hAnsi="宋体" w:eastAsia="宋体"/>
                <w:sz w:val="16"/>
              </w:rPr>
              <w:t>—</w:t>
            </w:r>
          </w:p>
        </w:tc>
      </w:tr>
      <w:tr w14:paraId="4D370A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E279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D80C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D40AC">
            <w:pPr>
              <w:jc w:val="center"/>
            </w:pPr>
            <w:r>
              <w:rPr>
                <w:rFonts w:ascii="宋体" w:hAnsi="宋体" w:eastAsia="宋体"/>
                <w:sz w:val="16"/>
              </w:rPr>
              <w:t>605.74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429AA">
            <w:pPr>
              <w:jc w:val="center"/>
            </w:pPr>
            <w:r>
              <w:rPr>
                <w:rFonts w:ascii="宋体" w:hAnsi="宋体" w:eastAsia="宋体"/>
                <w:sz w:val="16"/>
              </w:rPr>
              <w:t>1,953.12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9BC41">
            <w:pPr>
              <w:jc w:val="center"/>
            </w:pPr>
            <w:r>
              <w:rPr>
                <w:rFonts w:ascii="宋体" w:hAnsi="宋体" w:eastAsia="宋体"/>
                <w:sz w:val="16"/>
              </w:rPr>
              <w:t>1,827.93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30F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793B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AB662">
            <w:pPr>
              <w:jc w:val="center"/>
            </w:pPr>
            <w:r>
              <w:rPr>
                <w:rFonts w:ascii="宋体" w:hAnsi="宋体" w:eastAsia="宋体"/>
                <w:sz w:val="16"/>
              </w:rPr>
              <w:t>—</w:t>
            </w:r>
          </w:p>
        </w:tc>
      </w:tr>
      <w:tr w14:paraId="258968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032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FC1B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AA5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4AC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CF1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2C5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B131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5242">
            <w:pPr>
              <w:jc w:val="center"/>
            </w:pPr>
            <w:r>
              <w:rPr>
                <w:rFonts w:ascii="宋体" w:hAnsi="宋体" w:eastAsia="宋体"/>
                <w:sz w:val="16"/>
              </w:rPr>
              <w:t>—</w:t>
            </w:r>
          </w:p>
        </w:tc>
      </w:tr>
      <w:tr w14:paraId="7AFE39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ECA0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0135A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9F48D7">
            <w:pPr>
              <w:jc w:val="center"/>
            </w:pPr>
            <w:r>
              <w:rPr>
                <w:rFonts w:ascii="宋体" w:hAnsi="宋体" w:eastAsia="宋体"/>
                <w:sz w:val="16"/>
              </w:rPr>
              <w:t>实际完成情况</w:t>
            </w:r>
          </w:p>
        </w:tc>
      </w:tr>
      <w:tr w14:paraId="4BD07E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9DD3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13B5AB">
            <w:pPr>
              <w:jc w:val="both"/>
            </w:pPr>
            <w:r>
              <w:rPr>
                <w:rFonts w:ascii="宋体" w:hAnsi="宋体" w:eastAsia="宋体"/>
                <w:sz w:val="16"/>
              </w:rPr>
              <w:t>目标：棉花大容量测试仪专用设备的采购，棉花大容量测试仪专用设备均安装调试完毕并已投入使用，保障了棉花公证检验为棉花交易各方提供了科学公正的数据，为喀什地区棉花目标价格改革的重要数据，对喀什地区实行棉花价格补贴提供了重要依据，并为各环节的改进提供技术支持，促进了本辖区棉花进入市场交易，为新疆棉花目标价格改革提供了有力的数据支撑，对核定喀什地区的棉花产量、维护国家补贴资金的安全，为最终发放方面发挥了关键作用，有力推动了喀什地区棉花质量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789C3E">
            <w:pPr>
              <w:jc w:val="both"/>
            </w:pPr>
            <w:r>
              <w:rPr>
                <w:rFonts w:ascii="宋体" w:hAnsi="宋体" w:eastAsia="宋体"/>
                <w:sz w:val="16"/>
              </w:rPr>
              <w:t>已完成在职30人和退休7人的工资正常发放及五险一金的缴纳；保障单位正常运转，水，电，采暖，办公费，邮寄费，公务用车运行维护费支出；项目巴楚棉花仪器化公证检验实验室扩建工程2024年3月15日开工，6月完成工程主体60%，9月完成工程主体70%，11月30日竣工，验收完成，扩建的巴楚棉花仪器化公证检验实验室预计在</w:t>
            </w:r>
            <w:r>
              <w:rPr>
                <w:rFonts w:hint="eastAsia" w:ascii="宋体" w:hAnsi="宋体"/>
                <w:sz w:val="16"/>
                <w:lang w:eastAsia="zh-CN"/>
              </w:rPr>
              <w:t>2025年9月</w:t>
            </w:r>
            <w:r>
              <w:rPr>
                <w:rFonts w:ascii="宋体" w:hAnsi="宋体" w:eastAsia="宋体"/>
                <w:sz w:val="16"/>
              </w:rPr>
              <w:t>运转。纤维检验机构成本运行，完成棉花仪器化公证检验73.72万吨。纺织品、服装、絮用纤维制品免费检测185批。通过项目的实施，提升了纤维检验检测能力，更好</w:t>
            </w:r>
            <w:r>
              <w:rPr>
                <w:rFonts w:hint="eastAsia" w:ascii="宋体" w:hAnsi="宋体"/>
                <w:sz w:val="16"/>
                <w:lang w:eastAsia="zh-CN"/>
              </w:rPr>
              <w:t>地</w:t>
            </w:r>
            <w:r>
              <w:rPr>
                <w:rFonts w:ascii="宋体" w:hAnsi="宋体" w:eastAsia="宋体"/>
                <w:sz w:val="16"/>
              </w:rPr>
              <w:t>完成纤维公证检验工作。巴楚棉花仪器化公证检验实验室扩建项目，预计在</w:t>
            </w:r>
            <w:r>
              <w:rPr>
                <w:rFonts w:hint="eastAsia" w:ascii="宋体" w:hAnsi="宋体"/>
                <w:sz w:val="16"/>
                <w:lang w:eastAsia="zh-CN"/>
              </w:rPr>
              <w:t>2025年9月</w:t>
            </w:r>
            <w:r>
              <w:rPr>
                <w:rFonts w:ascii="宋体" w:hAnsi="宋体" w:eastAsia="宋体"/>
                <w:sz w:val="16"/>
              </w:rPr>
              <w:t>运行，检验量将会在现有的基础上增加一倍。</w:t>
            </w:r>
          </w:p>
        </w:tc>
      </w:tr>
      <w:tr w14:paraId="313F88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624D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86E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53F9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0DDB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00DF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6C49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54E4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A0C0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C9502">
            <w:pPr>
              <w:jc w:val="center"/>
            </w:pPr>
            <w:r>
              <w:rPr>
                <w:rFonts w:ascii="宋体" w:hAnsi="宋体" w:eastAsia="宋体"/>
                <w:sz w:val="16"/>
              </w:rPr>
              <w:t>得分</w:t>
            </w:r>
          </w:p>
        </w:tc>
      </w:tr>
      <w:tr w14:paraId="2C260C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3968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6016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92853">
            <w:pPr>
              <w:jc w:val="center"/>
            </w:pPr>
            <w:r>
              <w:rPr>
                <w:rFonts w:ascii="宋体" w:hAnsi="宋体" w:eastAsia="宋体"/>
                <w:sz w:val="16"/>
              </w:rPr>
              <w:t>纺织品服装检验数量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3F12A">
            <w:pPr>
              <w:jc w:val="center"/>
            </w:pPr>
            <w:r>
              <w:rPr>
                <w:rFonts w:ascii="宋体" w:hAnsi="宋体" w:eastAsia="宋体"/>
                <w:sz w:val="16"/>
              </w:rPr>
              <w:t>&gt;=185批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BA520">
            <w:pPr>
              <w:jc w:val="center"/>
            </w:pPr>
            <w:r>
              <w:rPr>
                <w:rFonts w:ascii="宋体" w:hAnsi="宋体" w:eastAsia="宋体"/>
                <w:sz w:val="16"/>
              </w:rPr>
              <w:t>喀什地区纤维检验所2024年工作计划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E46B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776E5">
            <w:pPr>
              <w:jc w:val="center"/>
            </w:pPr>
            <w:r>
              <w:rPr>
                <w:rFonts w:ascii="宋体" w:hAnsi="宋体" w:eastAsia="宋体"/>
                <w:sz w:val="16"/>
              </w:rPr>
              <w:t>185批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446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101B4">
            <w:pPr>
              <w:jc w:val="center"/>
            </w:pPr>
            <w:r>
              <w:rPr>
                <w:rFonts w:ascii="宋体" w:hAnsi="宋体" w:eastAsia="宋体"/>
                <w:sz w:val="16"/>
              </w:rPr>
              <w:t>18</w:t>
            </w:r>
          </w:p>
        </w:tc>
      </w:tr>
      <w:tr w14:paraId="511428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BC3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5AA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CB98F">
            <w:pPr>
              <w:jc w:val="center"/>
            </w:pPr>
            <w:r>
              <w:rPr>
                <w:rFonts w:ascii="宋体" w:hAnsi="宋体" w:eastAsia="宋体"/>
                <w:sz w:val="16"/>
              </w:rPr>
              <w:t>絮用纤维制品检验批数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394E0">
            <w:pPr>
              <w:jc w:val="center"/>
            </w:pPr>
            <w:r>
              <w:rPr>
                <w:rFonts w:ascii="宋体" w:hAnsi="宋体" w:eastAsia="宋体"/>
                <w:sz w:val="16"/>
              </w:rPr>
              <w:t>&gt;=22批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6E4A6">
            <w:pPr>
              <w:jc w:val="center"/>
            </w:pPr>
            <w:r>
              <w:rPr>
                <w:rFonts w:ascii="宋体" w:hAnsi="宋体" w:eastAsia="宋体"/>
                <w:sz w:val="16"/>
              </w:rPr>
              <w:t>喀什地区纤维检验所2024年工作计划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76AC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47CE4">
            <w:pPr>
              <w:jc w:val="center"/>
            </w:pPr>
            <w:r>
              <w:rPr>
                <w:rFonts w:ascii="宋体" w:hAnsi="宋体" w:eastAsia="宋体"/>
                <w:sz w:val="16"/>
              </w:rPr>
              <w:t>22批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8D9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FFB7">
            <w:pPr>
              <w:jc w:val="center"/>
            </w:pPr>
            <w:r>
              <w:rPr>
                <w:rFonts w:ascii="宋体" w:hAnsi="宋体" w:eastAsia="宋体"/>
                <w:sz w:val="16"/>
              </w:rPr>
              <w:t>18</w:t>
            </w:r>
          </w:p>
        </w:tc>
      </w:tr>
      <w:tr w14:paraId="000F68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BF0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30D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56C53">
            <w:pPr>
              <w:jc w:val="center"/>
            </w:pPr>
            <w:r>
              <w:rPr>
                <w:rFonts w:ascii="宋体" w:hAnsi="宋体" w:eastAsia="宋体"/>
                <w:sz w:val="16"/>
              </w:rPr>
              <w:t>中小学生校服和絮用纤维制品质量检测数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D28C1">
            <w:pPr>
              <w:jc w:val="center"/>
            </w:pPr>
            <w:r>
              <w:rPr>
                <w:rFonts w:ascii="宋体" w:hAnsi="宋体" w:eastAsia="宋体"/>
                <w:sz w:val="16"/>
              </w:rPr>
              <w:t>&gt;=33批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76B87">
            <w:pPr>
              <w:jc w:val="center"/>
            </w:pPr>
            <w:r>
              <w:rPr>
                <w:rFonts w:ascii="宋体" w:hAnsi="宋体" w:eastAsia="宋体"/>
                <w:sz w:val="16"/>
              </w:rPr>
              <w:t>喀什地区纤维检验所2024年工作计划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B516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5236E">
            <w:pPr>
              <w:jc w:val="center"/>
            </w:pPr>
            <w:r>
              <w:rPr>
                <w:rFonts w:ascii="宋体" w:hAnsi="宋体" w:eastAsia="宋体"/>
                <w:sz w:val="16"/>
              </w:rPr>
              <w:t>33批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41B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987B5">
            <w:pPr>
              <w:jc w:val="center"/>
            </w:pPr>
            <w:r>
              <w:rPr>
                <w:rFonts w:ascii="宋体" w:hAnsi="宋体" w:eastAsia="宋体"/>
                <w:sz w:val="16"/>
              </w:rPr>
              <w:t>18</w:t>
            </w:r>
          </w:p>
        </w:tc>
      </w:tr>
      <w:tr w14:paraId="505376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0FA7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FAD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E25CD">
            <w:pPr>
              <w:jc w:val="center"/>
            </w:pPr>
            <w:r>
              <w:rPr>
                <w:rFonts w:ascii="宋体" w:hAnsi="宋体" w:eastAsia="宋体"/>
                <w:sz w:val="16"/>
              </w:rPr>
              <w:t>疆内，外参与提高检验检测人员数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FC0A6">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C2B02">
            <w:pPr>
              <w:jc w:val="center"/>
            </w:pPr>
            <w:r>
              <w:rPr>
                <w:rFonts w:ascii="宋体" w:hAnsi="宋体" w:eastAsia="宋体"/>
                <w:sz w:val="16"/>
              </w:rPr>
              <w:t>喀什地区纤维检验所2024年工作计划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11DF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2AFB3">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BBE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E6FA3">
            <w:pPr>
              <w:jc w:val="center"/>
            </w:pPr>
            <w:r>
              <w:rPr>
                <w:rFonts w:ascii="宋体" w:hAnsi="宋体" w:eastAsia="宋体"/>
                <w:sz w:val="16"/>
              </w:rPr>
              <w:t>18</w:t>
            </w:r>
          </w:p>
        </w:tc>
      </w:tr>
      <w:tr w14:paraId="5D4872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4FE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C1C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E08C4">
            <w:pPr>
              <w:jc w:val="center"/>
            </w:pPr>
            <w:r>
              <w:rPr>
                <w:rFonts w:ascii="宋体" w:hAnsi="宋体" w:eastAsia="宋体"/>
                <w:sz w:val="16"/>
              </w:rPr>
              <w:t>经济作物质量仪器化公证检验量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DF322">
            <w:pPr>
              <w:jc w:val="center"/>
            </w:pPr>
            <w:r>
              <w:rPr>
                <w:rFonts w:ascii="宋体" w:hAnsi="宋体" w:eastAsia="宋体"/>
                <w:sz w:val="16"/>
              </w:rPr>
              <w:t>&gt;=737200吨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0F13F">
            <w:pPr>
              <w:jc w:val="center"/>
            </w:pPr>
            <w:r>
              <w:rPr>
                <w:rFonts w:ascii="宋体" w:hAnsi="宋体" w:eastAsia="宋体"/>
                <w:sz w:val="16"/>
              </w:rPr>
              <w:t>喀什地区纤维检验所2024年工作计划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427C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ECCF1">
            <w:pPr>
              <w:jc w:val="center"/>
            </w:pPr>
            <w:r>
              <w:rPr>
                <w:rFonts w:ascii="宋体" w:hAnsi="宋体" w:eastAsia="宋体"/>
                <w:sz w:val="16"/>
              </w:rPr>
              <w:t>737200吨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006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55170">
            <w:pPr>
              <w:jc w:val="center"/>
            </w:pPr>
            <w:r>
              <w:rPr>
                <w:rFonts w:ascii="宋体" w:hAnsi="宋体" w:eastAsia="宋体"/>
                <w:sz w:val="16"/>
              </w:rPr>
              <w:t>18</w:t>
            </w:r>
          </w:p>
        </w:tc>
      </w:tr>
    </w:tbl>
    <w:p w14:paraId="47579438">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501"/>
        <w:gridCol w:w="131"/>
        <w:gridCol w:w="632"/>
        <w:gridCol w:w="632"/>
      </w:tblGrid>
      <w:tr w14:paraId="28BF16AF">
        <w:tblPrEx>
          <w:tblCellMar>
            <w:top w:w="0" w:type="dxa"/>
            <w:left w:w="108" w:type="dxa"/>
            <w:bottom w:w="0" w:type="dxa"/>
            <w:right w:w="108" w:type="dxa"/>
          </w:tblCellMar>
        </w:tblPrEx>
        <w:tc>
          <w:tcPr>
            <w:tcW w:w="9056" w:type="dxa"/>
            <w:gridSpan w:val="15"/>
            <w:vAlign w:val="center"/>
          </w:tcPr>
          <w:p w14:paraId="3B83CAD1">
            <w:pPr>
              <w:jc w:val="center"/>
            </w:pPr>
            <w:r>
              <w:rPr>
                <w:rFonts w:ascii="宋体" w:hAnsi="宋体" w:eastAsia="宋体"/>
                <w:sz w:val="24"/>
              </w:rPr>
              <w:t>项目支出绩效自评表</w:t>
            </w:r>
          </w:p>
        </w:tc>
      </w:tr>
      <w:tr w14:paraId="04FB701D">
        <w:tblPrEx>
          <w:tblCellMar>
            <w:top w:w="0" w:type="dxa"/>
            <w:left w:w="108" w:type="dxa"/>
            <w:bottom w:w="0" w:type="dxa"/>
            <w:right w:w="108" w:type="dxa"/>
          </w:tblCellMar>
        </w:tblPrEx>
        <w:tc>
          <w:tcPr>
            <w:tcW w:w="9056" w:type="dxa"/>
            <w:gridSpan w:val="15"/>
            <w:vAlign w:val="center"/>
          </w:tcPr>
          <w:p w14:paraId="74E15BC0">
            <w:pPr>
              <w:jc w:val="center"/>
            </w:pPr>
            <w:r>
              <w:rPr>
                <w:rFonts w:ascii="宋体" w:hAnsi="宋体" w:eastAsia="宋体"/>
                <w:sz w:val="24"/>
              </w:rPr>
              <w:t>(2024年度)</w:t>
            </w:r>
          </w:p>
        </w:tc>
      </w:tr>
      <w:tr w14:paraId="0F8A8D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48AC">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32D9965">
            <w:pPr>
              <w:jc w:val="center"/>
            </w:pPr>
            <w:r>
              <w:rPr>
                <w:rFonts w:ascii="宋体" w:hAnsi="宋体" w:eastAsia="宋体"/>
                <w:sz w:val="16"/>
              </w:rPr>
              <w:t>2024年度纤维公证检验经费</w:t>
            </w:r>
          </w:p>
        </w:tc>
      </w:tr>
      <w:tr w14:paraId="783693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64D1">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1927D">
            <w:pPr>
              <w:jc w:val="center"/>
            </w:pPr>
            <w:r>
              <w:rPr>
                <w:rFonts w:ascii="宋体" w:hAnsi="宋体" w:eastAsia="宋体"/>
                <w:sz w:val="16"/>
              </w:rPr>
              <w:t>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8B2D">
            <w:pPr>
              <w:jc w:val="center"/>
            </w:pPr>
            <w:r>
              <w:rPr>
                <w:rFonts w:ascii="宋体" w:hAnsi="宋体" w:eastAsia="宋体"/>
                <w:sz w:val="16"/>
              </w:rPr>
              <w:t>实施单位</w:t>
            </w:r>
          </w:p>
        </w:tc>
        <w:tc>
          <w:tcPr>
            <w:tcW w:w="33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2B6FC9">
            <w:pPr>
              <w:jc w:val="center"/>
            </w:pPr>
            <w:r>
              <w:rPr>
                <w:rFonts w:ascii="宋体" w:hAnsi="宋体" w:eastAsia="宋体"/>
                <w:sz w:val="16"/>
              </w:rPr>
              <w:t>喀什地区纤维检验所</w:t>
            </w:r>
          </w:p>
        </w:tc>
      </w:tr>
      <w:tr w14:paraId="327742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438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D701">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4F8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FB6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3539F">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35731">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5695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A394">
            <w:pPr>
              <w:jc w:val="center"/>
            </w:pPr>
            <w:r>
              <w:rPr>
                <w:rFonts w:ascii="宋体" w:hAnsi="宋体" w:eastAsia="宋体"/>
                <w:sz w:val="16"/>
              </w:rPr>
              <w:t>得分</w:t>
            </w:r>
          </w:p>
        </w:tc>
      </w:tr>
      <w:tr w14:paraId="58DE0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12C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379D6">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F1026">
            <w:pPr>
              <w:jc w:val="center"/>
            </w:pPr>
            <w:r>
              <w:rPr>
                <w:rFonts w:ascii="宋体" w:hAnsi="宋体" w:eastAsia="宋体"/>
                <w:sz w:val="16"/>
              </w:rPr>
              <w:t>2,763.00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27E7">
            <w:pPr>
              <w:jc w:val="center"/>
            </w:pPr>
            <w:r>
              <w:rPr>
                <w:rFonts w:ascii="宋体" w:hAnsi="宋体" w:eastAsia="宋体"/>
                <w:sz w:val="16"/>
              </w:rPr>
              <w:t>2,763.00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91F11">
            <w:pPr>
              <w:jc w:val="center"/>
            </w:pPr>
            <w:r>
              <w:rPr>
                <w:rFonts w:ascii="宋体" w:hAnsi="宋体" w:eastAsia="宋体"/>
                <w:sz w:val="16"/>
              </w:rPr>
              <w:t>999.43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4C025">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B37532">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D5A0">
            <w:pPr>
              <w:jc w:val="center"/>
            </w:pPr>
            <w:r>
              <w:rPr>
                <w:rFonts w:ascii="宋体" w:hAnsi="宋体" w:eastAsia="宋体"/>
                <w:sz w:val="16"/>
              </w:rPr>
              <w:t>0.00分</w:t>
            </w:r>
          </w:p>
        </w:tc>
      </w:tr>
      <w:tr w14:paraId="188B8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9B5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6BBB9">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C664A">
            <w:pPr>
              <w:jc w:val="center"/>
            </w:pPr>
            <w:r>
              <w:rPr>
                <w:rFonts w:ascii="宋体" w:hAnsi="宋体" w:eastAsia="宋体"/>
                <w:sz w:val="16"/>
              </w:rPr>
              <w:t>2,763.00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9F043">
            <w:pPr>
              <w:jc w:val="center"/>
            </w:pPr>
            <w:r>
              <w:rPr>
                <w:rFonts w:ascii="宋体" w:hAnsi="宋体" w:eastAsia="宋体"/>
                <w:sz w:val="16"/>
              </w:rPr>
              <w:t>2,763.00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4FC11">
            <w:pPr>
              <w:jc w:val="center"/>
            </w:pPr>
            <w:r>
              <w:rPr>
                <w:rFonts w:ascii="宋体" w:hAnsi="宋体" w:eastAsia="宋体"/>
                <w:sz w:val="16"/>
              </w:rPr>
              <w:t>999.43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FFD2">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9B8B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D00B">
            <w:pPr>
              <w:jc w:val="center"/>
            </w:pPr>
            <w:r>
              <w:rPr>
                <w:rFonts w:ascii="宋体" w:hAnsi="宋体" w:eastAsia="宋体"/>
                <w:sz w:val="16"/>
              </w:rPr>
              <w:t>—</w:t>
            </w:r>
          </w:p>
        </w:tc>
      </w:tr>
      <w:tr w14:paraId="28D4C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317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B12C4">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58F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3FF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2FF28">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A059">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31E1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825D">
            <w:pPr>
              <w:jc w:val="center"/>
            </w:pPr>
            <w:r>
              <w:rPr>
                <w:rFonts w:ascii="宋体" w:hAnsi="宋体" w:eastAsia="宋体"/>
                <w:sz w:val="16"/>
              </w:rPr>
              <w:t>—</w:t>
            </w:r>
          </w:p>
        </w:tc>
      </w:tr>
      <w:tr w14:paraId="576EC6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35D37">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5A50D">
            <w:pPr>
              <w:jc w:val="center"/>
            </w:pPr>
            <w:r>
              <w:rPr>
                <w:rFonts w:ascii="宋体" w:hAnsi="宋体" w:eastAsia="宋体"/>
                <w:sz w:val="16"/>
              </w:rPr>
              <w:t>预期目标</w:t>
            </w:r>
          </w:p>
        </w:tc>
        <w:tc>
          <w:tcPr>
            <w:tcW w:w="39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99489">
            <w:pPr>
              <w:jc w:val="center"/>
            </w:pPr>
            <w:r>
              <w:rPr>
                <w:rFonts w:ascii="宋体" w:hAnsi="宋体" w:eastAsia="宋体"/>
                <w:sz w:val="16"/>
              </w:rPr>
              <w:t>实际完成情况</w:t>
            </w:r>
          </w:p>
        </w:tc>
      </w:tr>
      <w:tr w14:paraId="6F82D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997C"/>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96CAA">
            <w:pPr>
              <w:jc w:val="both"/>
            </w:pPr>
            <w:r>
              <w:rPr>
                <w:rFonts w:ascii="宋体" w:hAnsi="宋体" w:eastAsia="宋体"/>
                <w:sz w:val="16"/>
              </w:rPr>
              <w:t>项目总投资2763万元，其中：巴楚棉花公检实验室扩建项目费用2122万元，设备购置成本150万元，纤维检验机构成本运行费用491万元，主要用于巴楚棉花公检实验室扩建项目1个，项目的实施，完成全地区纤维公证检验工作，优化在库重量检验数据流转方式，为客观核定我区棉花产量提供重要参考,</w:t>
            </w:r>
            <w:r>
              <w:rPr>
                <w:rFonts w:hint="eastAsia" w:ascii="宋体" w:hAnsi="宋体"/>
                <w:sz w:val="16"/>
                <w:lang w:eastAsia="zh-CN"/>
              </w:rPr>
              <w:t>为</w:t>
            </w:r>
            <w:r>
              <w:rPr>
                <w:rFonts w:ascii="宋体" w:hAnsi="宋体" w:eastAsia="宋体"/>
                <w:sz w:val="16"/>
              </w:rPr>
              <w:t>国家和轧花企业提供专业的棉花检验数据,全力推行棉花质量体制改革，确保纤维质量稳定，促进新疆纤维产业健康发展。</w:t>
            </w:r>
          </w:p>
        </w:tc>
        <w:tc>
          <w:tcPr>
            <w:tcW w:w="39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2B787">
            <w:pPr>
              <w:jc w:val="both"/>
            </w:pPr>
            <w:r>
              <w:rPr>
                <w:rFonts w:ascii="宋体" w:hAnsi="宋体" w:eastAsia="宋体"/>
                <w:sz w:val="16"/>
              </w:rPr>
              <w:t>项目总投资2763万元，目前已完成纤维检验机构运行费457.67万元；完成巴楚实验室扩建工程配套设备购置541.76万元。巴楚棉花仪器化公证检验实验室扩建工程2024年3月15日开工，6月完成工程主体60%，9月完成工程主体70%，11月30日竣工，验收完成，扩建的巴楚棉花仪器化公证检验实验室预计在</w:t>
            </w:r>
            <w:r>
              <w:rPr>
                <w:rFonts w:hint="eastAsia" w:ascii="宋体" w:hAnsi="宋体"/>
                <w:sz w:val="16"/>
                <w:lang w:eastAsia="zh-CN"/>
              </w:rPr>
              <w:t>2025年9月</w:t>
            </w:r>
            <w:r>
              <w:rPr>
                <w:rFonts w:ascii="宋体" w:hAnsi="宋体" w:eastAsia="宋体"/>
                <w:sz w:val="16"/>
              </w:rPr>
              <w:t>运转。纤维检验机构成本运行，完成棉花仪器化公证检验14132批，75.13万吨。纺织品、服装、絮用纤维制品免费检测136批。通过项目的实施，提升了纤维检验检测能力，更好</w:t>
            </w:r>
            <w:r>
              <w:rPr>
                <w:rFonts w:hint="eastAsia" w:ascii="宋体" w:hAnsi="宋体"/>
                <w:sz w:val="16"/>
                <w:lang w:eastAsia="zh-CN"/>
              </w:rPr>
              <w:t>地</w:t>
            </w:r>
            <w:r>
              <w:rPr>
                <w:rFonts w:ascii="宋体" w:hAnsi="宋体" w:eastAsia="宋体"/>
                <w:sz w:val="16"/>
              </w:rPr>
              <w:t>完成纤维公证检验工作。巴楚棉花仪器化公证检验实验室扩建项目，预计在</w:t>
            </w:r>
            <w:r>
              <w:rPr>
                <w:rFonts w:hint="eastAsia" w:ascii="宋体" w:hAnsi="宋体"/>
                <w:sz w:val="16"/>
                <w:lang w:eastAsia="zh-CN"/>
              </w:rPr>
              <w:t>2025年9月</w:t>
            </w:r>
            <w:r>
              <w:rPr>
                <w:rFonts w:ascii="宋体" w:hAnsi="宋体" w:eastAsia="宋体"/>
                <w:sz w:val="16"/>
              </w:rPr>
              <w:t>运行，检验量将会在现有的基础上增加一倍。</w:t>
            </w:r>
          </w:p>
        </w:tc>
      </w:tr>
      <w:tr w14:paraId="02078B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384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F0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3F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60AC">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9C50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7E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E5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DA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43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4430">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355769">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504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2C672">
            <w:pPr>
              <w:jc w:val="center"/>
            </w:pPr>
            <w:r>
              <w:rPr>
                <w:rFonts w:ascii="宋体" w:hAnsi="宋体" w:eastAsia="宋体"/>
                <w:sz w:val="16"/>
              </w:rPr>
              <w:t>偏差原因分析及改进措施</w:t>
            </w:r>
          </w:p>
        </w:tc>
      </w:tr>
      <w:tr w14:paraId="0110B4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E0B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16B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FC2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174D">
            <w:pPr>
              <w:jc w:val="center"/>
            </w:pPr>
            <w:r>
              <w:rPr>
                <w:rFonts w:ascii="宋体" w:hAnsi="宋体" w:eastAsia="宋体"/>
                <w:sz w:val="16"/>
              </w:rPr>
              <w:t>巴楚经济作物公检实验室扩建项目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0163B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8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4F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1D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6A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B7F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FB1D86">
            <w:pPr>
              <w:jc w:val="center"/>
            </w:pPr>
            <w:r>
              <w:rPr>
                <w:rFonts w:ascii="宋体" w:hAnsi="宋体" w:eastAsia="宋体"/>
                <w:sz w:val="16"/>
              </w:rPr>
              <w:t>=1项</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C32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374D0">
            <w:pPr>
              <w:jc w:val="center"/>
            </w:pPr>
          </w:p>
        </w:tc>
      </w:tr>
      <w:tr w14:paraId="7BC03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DC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63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0A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944D">
            <w:pPr>
              <w:jc w:val="center"/>
            </w:pPr>
            <w:r>
              <w:rPr>
                <w:rFonts w:ascii="宋体" w:hAnsi="宋体" w:eastAsia="宋体"/>
                <w:sz w:val="16"/>
              </w:rPr>
              <w:t>专用设备购置数量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C5D02D">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D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EC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E51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1C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F73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79E6E1">
            <w:pPr>
              <w:jc w:val="center"/>
            </w:pPr>
            <w:r>
              <w:rPr>
                <w:rFonts w:ascii="宋体" w:hAnsi="宋体" w:eastAsia="宋体"/>
                <w:sz w:val="16"/>
              </w:rPr>
              <w:t>=0台</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6C94C186">
            <w:pPr>
              <w:jc w:val="center"/>
            </w:pPr>
            <w:r>
              <w:rPr>
                <w:rFonts w:ascii="宋体" w:hAnsi="宋体" w:eastAsia="宋体"/>
                <w:sz w:val="16"/>
              </w:rPr>
              <w:t>0</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6999AD">
            <w:pPr>
              <w:jc w:val="center"/>
            </w:pPr>
            <w:r>
              <w:rPr>
                <w:rFonts w:ascii="宋体" w:hAnsi="宋体" w:eastAsia="宋体"/>
                <w:sz w:val="16"/>
              </w:rPr>
              <w:t>偏差原因：项目负责相关人员绩效目标指标设置、完成值考虑不全面；改进措施：提高项目负责相关人员绩效申报能力。</w:t>
            </w:r>
          </w:p>
        </w:tc>
      </w:tr>
      <w:tr w14:paraId="2E760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696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66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42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B87E">
            <w:pPr>
              <w:jc w:val="center"/>
            </w:pPr>
            <w:r>
              <w:rPr>
                <w:rFonts w:ascii="宋体" w:hAnsi="宋体" w:eastAsia="宋体"/>
                <w:sz w:val="16"/>
              </w:rPr>
              <w:t>保障纤维检验机构数量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398C9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E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48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24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07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133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7C4CF8">
            <w:pPr>
              <w:jc w:val="center"/>
            </w:pPr>
            <w:r>
              <w:rPr>
                <w:rFonts w:ascii="宋体" w:hAnsi="宋体" w:eastAsia="宋体"/>
                <w:sz w:val="16"/>
              </w:rPr>
              <w:t>=1个</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74155EC1">
            <w:pPr>
              <w:jc w:val="center"/>
            </w:pPr>
            <w:r>
              <w:rPr>
                <w:rFonts w:ascii="宋体" w:hAnsi="宋体" w:eastAsia="宋体"/>
                <w:sz w:val="16"/>
              </w:rPr>
              <w:t>8</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AEAC26">
            <w:pPr>
              <w:jc w:val="center"/>
            </w:pPr>
          </w:p>
        </w:tc>
      </w:tr>
      <w:tr w14:paraId="0D222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4A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7A5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90E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5AC4">
            <w:pPr>
              <w:jc w:val="center"/>
            </w:pPr>
            <w:r>
              <w:rPr>
                <w:rFonts w:ascii="宋体" w:hAnsi="宋体" w:eastAsia="宋体"/>
                <w:sz w:val="16"/>
              </w:rPr>
              <w:t>工程验收合格率（%）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8393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2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AF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C93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D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87F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B3B670">
            <w:pPr>
              <w:jc w:val="center"/>
            </w:pPr>
            <w:r>
              <w:rPr>
                <w:rFonts w:ascii="宋体" w:hAnsi="宋体" w:eastAsia="宋体"/>
                <w:sz w:val="16"/>
              </w:rPr>
              <w:t>=100%</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7D23253D">
            <w:pPr>
              <w:jc w:val="center"/>
            </w:pPr>
            <w:r>
              <w:rPr>
                <w:rFonts w:ascii="宋体" w:hAnsi="宋体" w:eastAsia="宋体"/>
                <w:sz w:val="16"/>
              </w:rPr>
              <w:t>1.78</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F17B61">
            <w:pPr>
              <w:jc w:val="center"/>
            </w:pPr>
            <w:r>
              <w:rPr>
                <w:rFonts w:ascii="宋体" w:hAnsi="宋体" w:eastAsia="宋体"/>
                <w:sz w:val="16"/>
              </w:rPr>
              <w:t>偏差原因：指标完成值设置偏低；改进措施：设置指标、指标值要合理、全面。</w:t>
            </w:r>
          </w:p>
        </w:tc>
      </w:tr>
      <w:tr w14:paraId="30F1B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2AA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75D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0A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307A">
            <w:pPr>
              <w:jc w:val="center"/>
            </w:pPr>
            <w:r>
              <w:rPr>
                <w:rFonts w:ascii="宋体" w:hAnsi="宋体" w:eastAsia="宋体"/>
                <w:sz w:val="16"/>
              </w:rPr>
              <w:t>政府采购率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129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1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C1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DF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61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0EDE">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E6CB59">
            <w:pPr>
              <w:jc w:val="center"/>
            </w:pPr>
            <w:r>
              <w:rPr>
                <w:rFonts w:ascii="宋体" w:hAnsi="宋体" w:eastAsia="宋体"/>
                <w:sz w:val="16"/>
              </w:rPr>
              <w:t>=100%</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30AD3204">
            <w:pPr>
              <w:jc w:val="center"/>
            </w:pPr>
            <w:r>
              <w:rPr>
                <w:rFonts w:ascii="宋体" w:hAnsi="宋体" w:eastAsia="宋体"/>
                <w:sz w:val="16"/>
              </w:rPr>
              <w:t>6</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DCF224">
            <w:pPr>
              <w:jc w:val="center"/>
            </w:pPr>
          </w:p>
        </w:tc>
      </w:tr>
      <w:tr w14:paraId="57CA6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63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85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CA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9288">
            <w:pPr>
              <w:jc w:val="center"/>
            </w:pPr>
            <w:r>
              <w:rPr>
                <w:rFonts w:ascii="宋体" w:hAnsi="宋体" w:eastAsia="宋体"/>
                <w:sz w:val="16"/>
              </w:rPr>
              <w:t>设备质量验收合格率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984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8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A6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EB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7A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CE9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439927">
            <w:pPr>
              <w:jc w:val="center"/>
            </w:pPr>
            <w:r>
              <w:rPr>
                <w:rFonts w:ascii="宋体" w:hAnsi="宋体" w:eastAsia="宋体"/>
                <w:sz w:val="16"/>
              </w:rPr>
              <w:t>=100%</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19EE3368">
            <w:pPr>
              <w:jc w:val="center"/>
            </w:pPr>
            <w:r>
              <w:rPr>
                <w:rFonts w:ascii="宋体" w:hAnsi="宋体" w:eastAsia="宋体"/>
                <w:sz w:val="16"/>
              </w:rPr>
              <w:t>6</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D2CAF3">
            <w:pPr>
              <w:jc w:val="center"/>
            </w:pPr>
          </w:p>
        </w:tc>
      </w:tr>
      <w:tr w14:paraId="6D8ED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00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64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29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5491">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825A3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9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EF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1C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AD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CEC4">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F44A9A">
            <w:pPr>
              <w:jc w:val="center"/>
            </w:pPr>
            <w:r>
              <w:rPr>
                <w:rFonts w:ascii="宋体" w:hAnsi="宋体" w:eastAsia="宋体"/>
                <w:sz w:val="16"/>
              </w:rPr>
              <w:t>=2024年12月31日</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3049D078">
            <w:pPr>
              <w:jc w:val="center"/>
            </w:pPr>
            <w:r>
              <w:rPr>
                <w:rFonts w:ascii="宋体" w:hAnsi="宋体" w:eastAsia="宋体"/>
                <w:sz w:val="16"/>
              </w:rPr>
              <w:t>8</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602F10">
            <w:pPr>
              <w:jc w:val="center"/>
            </w:pPr>
          </w:p>
        </w:tc>
      </w:tr>
      <w:tr w14:paraId="11FA1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C92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B3E6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506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D0EA">
            <w:pPr>
              <w:jc w:val="center"/>
            </w:pPr>
            <w:r>
              <w:rPr>
                <w:rFonts w:ascii="宋体" w:hAnsi="宋体" w:eastAsia="宋体"/>
                <w:sz w:val="16"/>
              </w:rPr>
              <w:t>巴楚经济作物公检实验室扩建项目费用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370355">
            <w:pPr>
              <w:jc w:val="center"/>
            </w:pPr>
            <w:r>
              <w:rPr>
                <w:rFonts w:ascii="宋体" w:hAnsi="宋体" w:eastAsia="宋体"/>
                <w:sz w:val="16"/>
              </w:rPr>
              <w:t>&lt;=2122万元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44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E7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8EB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B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3DD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AAA957">
            <w:pPr>
              <w:jc w:val="center"/>
            </w:pPr>
            <w:r>
              <w:rPr>
                <w:rFonts w:ascii="宋体" w:hAnsi="宋体" w:eastAsia="宋体"/>
                <w:sz w:val="16"/>
              </w:rPr>
              <w:t>=541.76万元</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454ED06A">
            <w:pPr>
              <w:jc w:val="center"/>
            </w:pPr>
            <w:r>
              <w:rPr>
                <w:rFonts w:ascii="宋体" w:hAnsi="宋体" w:eastAsia="宋体"/>
                <w:sz w:val="16"/>
              </w:rPr>
              <w:t>0</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632593">
            <w:pPr>
              <w:jc w:val="center"/>
            </w:pPr>
            <w:r>
              <w:rPr>
                <w:rFonts w:ascii="宋体" w:hAnsi="宋体" w:eastAsia="宋体"/>
                <w:sz w:val="16"/>
              </w:rPr>
              <w:t>偏差原因：部分项目还未达到支付时序；改进措施：与施工方协商，加快进度，保质保量完成，按照合同价款时序支付。</w:t>
            </w:r>
          </w:p>
        </w:tc>
      </w:tr>
      <w:tr w14:paraId="20F78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DA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32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4A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C3A0">
            <w:pPr>
              <w:jc w:val="center"/>
            </w:pPr>
            <w:r>
              <w:rPr>
                <w:rFonts w:ascii="宋体" w:hAnsi="宋体" w:eastAsia="宋体"/>
                <w:sz w:val="16"/>
              </w:rPr>
              <w:t>设备购置成本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901BA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21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84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88B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A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150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3DEF8E">
            <w:pPr>
              <w:jc w:val="center"/>
            </w:pPr>
            <w:r>
              <w:rPr>
                <w:rFonts w:ascii="宋体" w:hAnsi="宋体" w:eastAsia="宋体"/>
                <w:sz w:val="16"/>
              </w:rPr>
              <w:t>=0万元</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773499A1">
            <w:pPr>
              <w:jc w:val="center"/>
            </w:pPr>
            <w:r>
              <w:rPr>
                <w:rFonts w:ascii="宋体" w:hAnsi="宋体" w:eastAsia="宋体"/>
                <w:sz w:val="16"/>
              </w:rPr>
              <w:t>0</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DA3DAE">
            <w:pPr>
              <w:jc w:val="center"/>
            </w:pPr>
            <w:r>
              <w:rPr>
                <w:rFonts w:ascii="宋体" w:hAnsi="宋体" w:eastAsia="宋体"/>
                <w:sz w:val="16"/>
              </w:rPr>
              <w:t>偏差原因：设备采购多次被质疑，2</w:t>
            </w:r>
            <w:r>
              <w:rPr>
                <w:rFonts w:hint="eastAsia" w:ascii="宋体" w:hAnsi="宋体"/>
                <w:sz w:val="16"/>
                <w:lang w:val="en-US" w:eastAsia="zh-CN"/>
              </w:rPr>
              <w:t>02</w:t>
            </w:r>
            <w:r>
              <w:rPr>
                <w:rFonts w:ascii="宋体" w:hAnsi="宋体" w:eastAsia="宋体"/>
                <w:sz w:val="16"/>
              </w:rPr>
              <w:t>5年1月更换采购方式后，已可以购买。改进措施：提高采购人员的能力。</w:t>
            </w:r>
          </w:p>
        </w:tc>
      </w:tr>
      <w:tr w14:paraId="70EB1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16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38C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D9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3537">
            <w:pPr>
              <w:jc w:val="center"/>
            </w:pPr>
            <w:r>
              <w:rPr>
                <w:rFonts w:ascii="宋体" w:hAnsi="宋体" w:eastAsia="宋体"/>
                <w:sz w:val="16"/>
              </w:rPr>
              <w:t>纤维检验机构成本运行费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CDF039">
            <w:pPr>
              <w:jc w:val="center"/>
            </w:pPr>
            <w:r>
              <w:rPr>
                <w:rFonts w:ascii="宋体" w:hAnsi="宋体" w:eastAsia="宋体"/>
                <w:sz w:val="16"/>
              </w:rPr>
              <w:t>&lt;=491万元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8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AC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279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90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2E1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913BCA">
            <w:pPr>
              <w:jc w:val="center"/>
            </w:pPr>
            <w:r>
              <w:rPr>
                <w:rFonts w:ascii="宋体" w:hAnsi="宋体" w:eastAsia="宋体"/>
                <w:sz w:val="16"/>
              </w:rPr>
              <w:t>=457.67万元</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3540ECC5">
            <w:pPr>
              <w:jc w:val="center"/>
            </w:pPr>
            <w:r>
              <w:rPr>
                <w:rFonts w:ascii="宋体" w:hAnsi="宋体" w:eastAsia="宋体"/>
                <w:sz w:val="16"/>
              </w:rPr>
              <w:t>11.62</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4014DD">
            <w:pPr>
              <w:jc w:val="center"/>
            </w:pPr>
            <w:r>
              <w:rPr>
                <w:rFonts w:ascii="宋体" w:hAnsi="宋体" w:eastAsia="宋体"/>
                <w:sz w:val="16"/>
              </w:rPr>
              <w:t>偏差原因：</w:t>
            </w:r>
            <w:r>
              <w:rPr>
                <w:rFonts w:hint="eastAsia" w:ascii="宋体" w:hAnsi="宋体"/>
                <w:sz w:val="16"/>
                <w:lang w:eastAsia="zh-CN"/>
              </w:rPr>
              <w:t>维修</w:t>
            </w:r>
            <w:r>
              <w:rPr>
                <w:rFonts w:ascii="宋体" w:hAnsi="宋体" w:eastAsia="宋体"/>
                <w:sz w:val="16"/>
              </w:rPr>
              <w:t>费、物业管理费、办公费等计划不精准；改进措施：加强制度建设，调动单位内部人员，按要求提供预算编制基础资料。</w:t>
            </w:r>
          </w:p>
        </w:tc>
      </w:tr>
      <w:tr w14:paraId="58C71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59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8B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81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9E74">
            <w:pPr>
              <w:jc w:val="center"/>
            </w:pPr>
            <w:r>
              <w:rPr>
                <w:rFonts w:ascii="宋体" w:hAnsi="宋体" w:eastAsia="宋体"/>
                <w:sz w:val="16"/>
              </w:rPr>
              <w:t>提升本地区经济作物公检能力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CB728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3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10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8C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3A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C23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4B1548C">
            <w:pPr>
              <w:jc w:val="center"/>
            </w:pPr>
            <w:r>
              <w:rPr>
                <w:rFonts w:ascii="宋体" w:hAnsi="宋体" w:eastAsia="宋体"/>
                <w:sz w:val="16"/>
              </w:rPr>
              <w:t>提升</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0CD0B32F">
            <w:pPr>
              <w:jc w:val="center"/>
            </w:pPr>
            <w:r>
              <w:rPr>
                <w:rFonts w:ascii="宋体" w:hAnsi="宋体" w:eastAsia="宋体"/>
                <w:sz w:val="16"/>
              </w:rPr>
              <w:t>20</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9AD0CA">
            <w:pPr>
              <w:jc w:val="center"/>
            </w:pPr>
          </w:p>
        </w:tc>
      </w:tr>
      <w:tr w14:paraId="2AEC45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DD5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D459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356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B76D">
            <w:pPr>
              <w:jc w:val="center"/>
            </w:pPr>
            <w:r>
              <w:rPr>
                <w:rFonts w:ascii="宋体" w:hAnsi="宋体" w:eastAsia="宋体"/>
                <w:sz w:val="16"/>
              </w:rPr>
              <w:t>经济作物公检人员满意度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B341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A5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66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DA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01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D70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193546">
            <w:pPr>
              <w:jc w:val="center"/>
            </w:pPr>
            <w:r>
              <w:rPr>
                <w:rFonts w:ascii="宋体" w:hAnsi="宋体" w:eastAsia="宋体"/>
                <w:sz w:val="16"/>
              </w:rPr>
              <w:t>=100%</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7944AD2D">
            <w:pPr>
              <w:jc w:val="center"/>
            </w:pPr>
            <w:r>
              <w:rPr>
                <w:rFonts w:ascii="宋体" w:hAnsi="宋体" w:eastAsia="宋体"/>
                <w:sz w:val="16"/>
              </w:rPr>
              <w:t>5</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627721">
            <w:pPr>
              <w:jc w:val="center"/>
            </w:pPr>
            <w:r>
              <w:rPr>
                <w:rFonts w:ascii="宋体" w:hAnsi="宋体" w:eastAsia="宋体"/>
                <w:sz w:val="16"/>
              </w:rPr>
              <w:t>偏差原因：编制绩效目标时，目标完成值编制偏低；改进措施：科学编制绩效目标。</w:t>
            </w:r>
          </w:p>
        </w:tc>
      </w:tr>
      <w:tr w14:paraId="29372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D8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28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C66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A286">
            <w:pPr>
              <w:jc w:val="center"/>
            </w:pPr>
            <w:r>
              <w:rPr>
                <w:rFonts w:ascii="宋体" w:hAnsi="宋体" w:eastAsia="宋体"/>
                <w:sz w:val="16"/>
              </w:rPr>
              <w:t>受益企业满意度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AB44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9F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56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07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C1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9C7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F13F6B2">
            <w:pPr>
              <w:jc w:val="center"/>
            </w:pPr>
            <w:r>
              <w:rPr>
                <w:rFonts w:ascii="宋体" w:hAnsi="宋体" w:eastAsia="宋体"/>
                <w:sz w:val="16"/>
              </w:rPr>
              <w:t>=100%</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45D37798">
            <w:pPr>
              <w:jc w:val="center"/>
            </w:pPr>
            <w:r>
              <w:rPr>
                <w:rFonts w:ascii="宋体" w:hAnsi="宋体" w:eastAsia="宋体"/>
                <w:sz w:val="16"/>
              </w:rPr>
              <w:t>5</w:t>
            </w:r>
          </w:p>
        </w:tc>
        <w:tc>
          <w:tcPr>
            <w:tcW w:w="139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E70DB2">
            <w:pPr>
              <w:jc w:val="center"/>
            </w:pPr>
            <w:r>
              <w:rPr>
                <w:rFonts w:ascii="宋体" w:hAnsi="宋体" w:eastAsia="宋体"/>
                <w:sz w:val="16"/>
              </w:rPr>
              <w:t>偏差原因：绩效目标申报时，相关人员对目标完成值考虑偏低；改进措施：提升相关人员绩效目标申报的能力，要全面合理</w:t>
            </w:r>
            <w:r>
              <w:rPr>
                <w:rFonts w:hint="eastAsia" w:ascii="宋体" w:hAnsi="宋体"/>
                <w:sz w:val="16"/>
                <w:lang w:eastAsia="zh-CN"/>
              </w:rPr>
              <w:t>地</w:t>
            </w:r>
            <w:r>
              <w:rPr>
                <w:rFonts w:ascii="宋体" w:hAnsi="宋体" w:eastAsia="宋体"/>
                <w:sz w:val="16"/>
              </w:rPr>
              <w:t>编制绩效目标。</w:t>
            </w:r>
          </w:p>
        </w:tc>
      </w:tr>
      <w:tr w14:paraId="01B577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DEC9">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0F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77DD">
            <w:pPr>
              <w:jc w:val="center"/>
            </w:pPr>
            <w:r>
              <w:rPr>
                <w:rFonts w:ascii="宋体" w:hAnsi="宋体" w:eastAsia="宋体"/>
                <w:sz w:val="16"/>
              </w:rPr>
              <w:t>得分</w:t>
            </w:r>
          </w:p>
        </w:tc>
        <w:tc>
          <w:tcPr>
            <w:tcW w:w="33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C42A36">
            <w:pPr>
              <w:jc w:val="center"/>
            </w:pPr>
            <w:r>
              <w:rPr>
                <w:rFonts w:ascii="宋体" w:hAnsi="宋体" w:eastAsia="宋体"/>
                <w:sz w:val="16"/>
              </w:rPr>
              <w:t>77.4分</w:t>
            </w:r>
          </w:p>
        </w:tc>
      </w:tr>
    </w:tbl>
    <w:p w14:paraId="6B88FD6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2"/>
        <w:gridCol w:w="696"/>
        <w:gridCol w:w="626"/>
        <w:gridCol w:w="625"/>
        <w:gridCol w:w="627"/>
        <w:gridCol w:w="624"/>
        <w:gridCol w:w="624"/>
        <w:gridCol w:w="856"/>
        <w:gridCol w:w="631"/>
        <w:gridCol w:w="613"/>
        <w:gridCol w:w="629"/>
      </w:tblGrid>
      <w:tr w14:paraId="24256370">
        <w:tblPrEx>
          <w:tblCellMar>
            <w:top w:w="0" w:type="dxa"/>
            <w:left w:w="108" w:type="dxa"/>
            <w:bottom w:w="0" w:type="dxa"/>
            <w:right w:w="108" w:type="dxa"/>
          </w:tblCellMar>
        </w:tblPrEx>
        <w:tc>
          <w:tcPr>
            <w:tcW w:w="8848" w:type="dxa"/>
            <w:gridSpan w:val="14"/>
            <w:vAlign w:val="center"/>
          </w:tcPr>
          <w:p w14:paraId="194336DD">
            <w:pPr>
              <w:jc w:val="center"/>
            </w:pPr>
            <w:r>
              <w:rPr>
                <w:rFonts w:ascii="宋体" w:hAnsi="宋体" w:eastAsia="宋体"/>
                <w:sz w:val="24"/>
              </w:rPr>
              <w:t>项目支出绩效自评表</w:t>
            </w:r>
          </w:p>
        </w:tc>
      </w:tr>
      <w:tr w14:paraId="0DD6841C">
        <w:tblPrEx>
          <w:tblCellMar>
            <w:top w:w="0" w:type="dxa"/>
            <w:left w:w="108" w:type="dxa"/>
            <w:bottom w:w="0" w:type="dxa"/>
            <w:right w:w="108" w:type="dxa"/>
          </w:tblCellMar>
        </w:tblPrEx>
        <w:tc>
          <w:tcPr>
            <w:tcW w:w="8848" w:type="dxa"/>
            <w:gridSpan w:val="14"/>
            <w:vAlign w:val="center"/>
          </w:tcPr>
          <w:p w14:paraId="69CE023D">
            <w:pPr>
              <w:jc w:val="center"/>
            </w:pPr>
            <w:r>
              <w:rPr>
                <w:rFonts w:ascii="宋体" w:hAnsi="宋体" w:eastAsia="宋体"/>
                <w:sz w:val="24"/>
              </w:rPr>
              <w:t>(2024年度)</w:t>
            </w:r>
          </w:p>
        </w:tc>
      </w:tr>
      <w:tr w14:paraId="606FCF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71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42D04D">
            <w:pPr>
              <w:jc w:val="center"/>
            </w:pPr>
            <w:r>
              <w:rPr>
                <w:rFonts w:ascii="宋体" w:hAnsi="宋体" w:eastAsia="宋体"/>
                <w:sz w:val="16"/>
              </w:rPr>
              <w:t>2024年度纤维公证检验项目</w:t>
            </w:r>
          </w:p>
        </w:tc>
      </w:tr>
      <w:tr w14:paraId="2515F1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57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B0A19">
            <w:pPr>
              <w:jc w:val="center"/>
            </w:pPr>
            <w:r>
              <w:rPr>
                <w:rFonts w:ascii="宋体" w:hAnsi="宋体" w:eastAsia="宋体"/>
                <w:sz w:val="16"/>
              </w:rPr>
              <w:t>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C7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A2EA3">
            <w:pPr>
              <w:jc w:val="center"/>
            </w:pPr>
            <w:r>
              <w:rPr>
                <w:rFonts w:ascii="宋体" w:hAnsi="宋体" w:eastAsia="宋体"/>
                <w:sz w:val="16"/>
              </w:rPr>
              <w:t>喀什地区纤维检验所</w:t>
            </w:r>
          </w:p>
        </w:tc>
      </w:tr>
      <w:tr w14:paraId="4EB9A9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DE2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90C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8A3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302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ECF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1D4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D64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AB6C">
            <w:pPr>
              <w:jc w:val="center"/>
            </w:pPr>
            <w:r>
              <w:rPr>
                <w:rFonts w:ascii="宋体" w:hAnsi="宋体" w:eastAsia="宋体"/>
                <w:sz w:val="16"/>
              </w:rPr>
              <w:t>得分</w:t>
            </w:r>
          </w:p>
        </w:tc>
      </w:tr>
      <w:tr w14:paraId="0EFBB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E5A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0E7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09975">
            <w:pPr>
              <w:jc w:val="center"/>
            </w:pPr>
            <w:r>
              <w:rPr>
                <w:rFonts w:ascii="宋体" w:hAnsi="宋体" w:eastAsia="宋体"/>
                <w:sz w:val="16"/>
              </w:rPr>
              <w:t>2,442.00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B70D6">
            <w:pPr>
              <w:jc w:val="center"/>
            </w:pPr>
            <w:r>
              <w:rPr>
                <w:rFonts w:ascii="宋体" w:hAnsi="宋体" w:eastAsia="宋体"/>
                <w:sz w:val="16"/>
              </w:rPr>
              <w:t>2,442.00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0CBA0">
            <w:pPr>
              <w:jc w:val="center"/>
            </w:pPr>
            <w:r>
              <w:rPr>
                <w:rFonts w:ascii="宋体" w:hAnsi="宋体" w:eastAsia="宋体"/>
                <w:sz w:val="16"/>
              </w:rPr>
              <w:t>1,822.67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769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9EC9">
            <w:pPr>
              <w:jc w:val="center"/>
            </w:pPr>
            <w:r>
              <w:rPr>
                <w:rFonts w:ascii="宋体" w:hAnsi="宋体" w:eastAsia="宋体"/>
                <w:sz w:val="16"/>
              </w:rPr>
              <w:t>74.6%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C154">
            <w:pPr>
              <w:jc w:val="center"/>
            </w:pPr>
            <w:r>
              <w:rPr>
                <w:rFonts w:ascii="宋体" w:hAnsi="宋体" w:eastAsia="宋体"/>
                <w:sz w:val="16"/>
              </w:rPr>
              <w:t>3.66分</w:t>
            </w:r>
          </w:p>
        </w:tc>
      </w:tr>
      <w:tr w14:paraId="39AEB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FA4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444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8A8A">
            <w:pPr>
              <w:jc w:val="center"/>
            </w:pPr>
            <w:r>
              <w:rPr>
                <w:rFonts w:ascii="宋体" w:hAnsi="宋体" w:eastAsia="宋体"/>
                <w:sz w:val="16"/>
              </w:rPr>
              <w:t>2,442.00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9DF34">
            <w:pPr>
              <w:jc w:val="center"/>
            </w:pPr>
            <w:r>
              <w:rPr>
                <w:rFonts w:ascii="宋体" w:hAnsi="宋体" w:eastAsia="宋体"/>
                <w:sz w:val="16"/>
              </w:rPr>
              <w:t>2,442.00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E68BB">
            <w:pPr>
              <w:jc w:val="center"/>
            </w:pPr>
            <w:r>
              <w:rPr>
                <w:rFonts w:ascii="宋体" w:hAnsi="宋体" w:eastAsia="宋体"/>
                <w:sz w:val="16"/>
              </w:rPr>
              <w:t>1,822.67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B23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88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A698">
            <w:pPr>
              <w:jc w:val="center"/>
            </w:pPr>
            <w:r>
              <w:rPr>
                <w:rFonts w:ascii="宋体" w:hAnsi="宋体" w:eastAsia="宋体"/>
                <w:sz w:val="16"/>
              </w:rPr>
              <w:t>—</w:t>
            </w:r>
          </w:p>
        </w:tc>
      </w:tr>
      <w:tr w14:paraId="4CFD2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B97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FFE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3F2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25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EC6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62D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32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451D">
            <w:pPr>
              <w:jc w:val="center"/>
            </w:pPr>
            <w:r>
              <w:rPr>
                <w:rFonts w:ascii="宋体" w:hAnsi="宋体" w:eastAsia="宋体"/>
                <w:sz w:val="16"/>
              </w:rPr>
              <w:t>—</w:t>
            </w:r>
          </w:p>
        </w:tc>
      </w:tr>
      <w:tr w14:paraId="1ACDD6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D0E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7A2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A6A71">
            <w:pPr>
              <w:jc w:val="center"/>
            </w:pPr>
            <w:r>
              <w:rPr>
                <w:rFonts w:ascii="宋体" w:hAnsi="宋体" w:eastAsia="宋体"/>
                <w:sz w:val="16"/>
              </w:rPr>
              <w:t>实际完成情况</w:t>
            </w:r>
          </w:p>
        </w:tc>
      </w:tr>
      <w:tr w14:paraId="54E12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21B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86FEB">
            <w:pPr>
              <w:jc w:val="both"/>
            </w:pPr>
            <w:r>
              <w:rPr>
                <w:rFonts w:ascii="宋体" w:hAnsi="宋体" w:eastAsia="宋体"/>
                <w:sz w:val="16"/>
              </w:rPr>
              <w:t>项目总投资2442万元，其中：纤维检验机构成本运行费用1242万元，巴楚棉花公检实验室扩建项目配套工程费用1200万元，主要用于巴楚棉花公检实验室扩建项目配套工程1个，项目的实施，完成全地区纤维公证检验工作，优化在库重量检验数据流转方式，为客观核定我区棉花产量提供重要参考,</w:t>
            </w:r>
            <w:r>
              <w:rPr>
                <w:rFonts w:hint="eastAsia" w:ascii="宋体" w:hAnsi="宋体"/>
                <w:sz w:val="16"/>
                <w:lang w:eastAsia="zh-CN"/>
              </w:rPr>
              <w:t>为</w:t>
            </w:r>
            <w:r>
              <w:rPr>
                <w:rFonts w:ascii="宋体" w:hAnsi="宋体" w:eastAsia="宋体"/>
                <w:sz w:val="16"/>
              </w:rPr>
              <w:t>国家和轧花企业提供专业的棉花检验数据,全力推行棉花质量体制改革，确保纤维质量</w:t>
            </w:r>
            <w:bookmarkStart w:id="0" w:name="_GoBack"/>
            <w:r>
              <w:rPr>
                <w:rFonts w:ascii="宋体" w:hAnsi="宋体" w:eastAsia="宋体"/>
                <w:sz w:val="16"/>
              </w:rPr>
              <w:t>稳定</w:t>
            </w:r>
            <w:bookmarkEnd w:id="0"/>
            <w:r>
              <w:rPr>
                <w:rFonts w:ascii="宋体" w:hAnsi="宋体" w:eastAsia="宋体"/>
                <w:sz w:val="16"/>
              </w:rPr>
              <w:t>，促进新疆纤维产业健康发展。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7748FE">
            <w:pPr>
              <w:jc w:val="both"/>
            </w:pPr>
            <w:r>
              <w:rPr>
                <w:rFonts w:ascii="宋体" w:hAnsi="宋体" w:eastAsia="宋体"/>
                <w:sz w:val="16"/>
              </w:rPr>
              <w:t>项目总投资2442万元，目前完成了纤维检验机构成本运行费用1233.18万元，完成了巴楚棉花公检实验室扩建项目工程相关费用589.49万元，巴楚棉花仪器化公证检验实验室扩建工程2024年3月15日开工，6月完成工程主体60%，9月完成工程主体70%，11月30日竣工，验收完成，扩建的巴楚棉花仪器化公证检验实验室预计在</w:t>
            </w:r>
            <w:r>
              <w:rPr>
                <w:rFonts w:hint="eastAsia" w:ascii="宋体" w:hAnsi="宋体"/>
                <w:sz w:val="16"/>
                <w:lang w:eastAsia="zh-CN"/>
              </w:rPr>
              <w:t>2025年9月</w:t>
            </w:r>
            <w:r>
              <w:rPr>
                <w:rFonts w:ascii="宋体" w:hAnsi="宋体" w:eastAsia="宋体"/>
                <w:sz w:val="16"/>
              </w:rPr>
              <w:t>运转。纤维检验机构成本运行，完成棉花仪器化公证检验14132批，75.13万吨。纺织品、服装、絮用纤维制品免费检测136批。通过项目的实施，提升了纤维检验检测能力，更好</w:t>
            </w:r>
            <w:r>
              <w:rPr>
                <w:rFonts w:hint="eastAsia" w:ascii="宋体" w:hAnsi="宋体"/>
                <w:sz w:val="16"/>
                <w:lang w:eastAsia="zh-CN"/>
              </w:rPr>
              <w:t>地</w:t>
            </w:r>
            <w:r>
              <w:rPr>
                <w:rFonts w:ascii="宋体" w:hAnsi="宋体" w:eastAsia="宋体"/>
                <w:sz w:val="16"/>
              </w:rPr>
              <w:t>完成纤维公证检验工作。巴楚棉花仪器化公证检验实验室扩建项目，预计在</w:t>
            </w:r>
            <w:r>
              <w:rPr>
                <w:rFonts w:hint="eastAsia" w:ascii="宋体" w:hAnsi="宋体"/>
                <w:sz w:val="16"/>
                <w:lang w:eastAsia="zh-CN"/>
              </w:rPr>
              <w:t>2025年9月</w:t>
            </w:r>
            <w:r>
              <w:rPr>
                <w:rFonts w:ascii="宋体" w:hAnsi="宋体" w:eastAsia="宋体"/>
                <w:sz w:val="16"/>
              </w:rPr>
              <w:t>运行，检验量将会在现有的基础上增加一倍。</w:t>
            </w:r>
          </w:p>
        </w:tc>
      </w:tr>
      <w:tr w14:paraId="3A1653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902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CC6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4A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00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1B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B9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F8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9D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AB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DD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DE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6F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0A1D4">
            <w:pPr>
              <w:jc w:val="center"/>
            </w:pPr>
            <w:r>
              <w:rPr>
                <w:rFonts w:ascii="宋体" w:hAnsi="宋体" w:eastAsia="宋体"/>
                <w:sz w:val="16"/>
              </w:rPr>
              <w:t>偏差原因分析及改进措施</w:t>
            </w:r>
          </w:p>
        </w:tc>
      </w:tr>
      <w:tr w14:paraId="6FC5F0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E07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D89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457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C619">
            <w:pPr>
              <w:jc w:val="center"/>
            </w:pPr>
            <w:r>
              <w:rPr>
                <w:rFonts w:ascii="宋体" w:hAnsi="宋体" w:eastAsia="宋体"/>
                <w:sz w:val="16"/>
              </w:rPr>
              <w:t>巴楚经济作物公检实验室扩建项目配套工程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41F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D1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B7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B719">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F8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2D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9F4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7D04">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EA170">
            <w:pPr>
              <w:jc w:val="center"/>
            </w:pPr>
          </w:p>
        </w:tc>
      </w:tr>
      <w:tr w14:paraId="5C4C1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AC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9A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14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8739">
            <w:pPr>
              <w:jc w:val="center"/>
            </w:pPr>
            <w:r>
              <w:rPr>
                <w:rFonts w:ascii="宋体" w:hAnsi="宋体" w:eastAsia="宋体"/>
                <w:sz w:val="16"/>
              </w:rPr>
              <w:t>保障纤维检验机构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C4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1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F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D27A">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26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3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D9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82A1">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8F12C">
            <w:pPr>
              <w:jc w:val="center"/>
            </w:pPr>
          </w:p>
        </w:tc>
      </w:tr>
      <w:tr w14:paraId="3AD33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CB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E25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D24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F219">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ACF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96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60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729B">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E2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04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B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A21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836B">
            <w:pPr>
              <w:jc w:val="center"/>
            </w:pPr>
            <w:r>
              <w:rPr>
                <w:rFonts w:ascii="宋体" w:hAnsi="宋体" w:eastAsia="宋体"/>
                <w:sz w:val="16"/>
              </w:rPr>
              <w:t>偏差原因：编制绩效目标完成值偏低；改进措施：加强制度建设，精准编制绩效目标值。</w:t>
            </w:r>
          </w:p>
        </w:tc>
      </w:tr>
      <w:tr w14:paraId="46148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05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9D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1A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096A">
            <w:pPr>
              <w:jc w:val="center"/>
            </w:pPr>
            <w:r>
              <w:rPr>
                <w:rFonts w:ascii="宋体" w:hAnsi="宋体" w:eastAsia="宋体"/>
                <w:sz w:val="16"/>
              </w:rPr>
              <w:t>工作量完成率（%）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982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0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D9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6892">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7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65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2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9A9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7F78">
            <w:pPr>
              <w:jc w:val="center"/>
            </w:pPr>
            <w:r>
              <w:rPr>
                <w:rFonts w:ascii="宋体" w:hAnsi="宋体" w:eastAsia="宋体"/>
                <w:sz w:val="16"/>
              </w:rPr>
              <w:t>偏差原因：绩效目标申报时，完成值编制偏低；改进措施：精准编制绩效目标。</w:t>
            </w:r>
          </w:p>
        </w:tc>
      </w:tr>
      <w:tr w14:paraId="77D12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4E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38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E17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D712">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48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C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7F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880E">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28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7D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F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A9ED">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EFADF">
            <w:pPr>
              <w:jc w:val="center"/>
            </w:pPr>
          </w:p>
        </w:tc>
      </w:tr>
      <w:tr w14:paraId="6DA52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A7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81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61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9B10">
            <w:pPr>
              <w:jc w:val="center"/>
            </w:pPr>
            <w:r>
              <w:rPr>
                <w:rFonts w:ascii="宋体" w:hAnsi="宋体" w:eastAsia="宋体"/>
                <w:sz w:val="16"/>
              </w:rPr>
              <w:t>抽检经济作物产品合格率（%）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324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D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DF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BAB5">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F5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42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2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8399">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23F7">
            <w:pPr>
              <w:jc w:val="center"/>
            </w:pPr>
            <w:r>
              <w:rPr>
                <w:rFonts w:ascii="宋体" w:hAnsi="宋体" w:eastAsia="宋体"/>
                <w:sz w:val="16"/>
              </w:rPr>
              <w:t>偏差原因：申报绩效目标时，指标完成值偏低。改进措施：科学、合理、精准申报绩效目标。</w:t>
            </w:r>
          </w:p>
        </w:tc>
      </w:tr>
      <w:tr w14:paraId="32002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D5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08E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39B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0FA2D">
            <w:pPr>
              <w:jc w:val="center"/>
            </w:pPr>
            <w:r>
              <w:rPr>
                <w:rFonts w:ascii="宋体" w:hAnsi="宋体" w:eastAsia="宋体"/>
                <w:sz w:val="16"/>
              </w:rPr>
              <w:t>工程计量拨款及时率（%）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968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E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9B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6F3A">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82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D0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B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E43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0EDC8">
            <w:pPr>
              <w:jc w:val="center"/>
            </w:pPr>
            <w:r>
              <w:rPr>
                <w:rFonts w:ascii="宋体" w:hAnsi="宋体" w:eastAsia="宋体"/>
                <w:sz w:val="16"/>
              </w:rPr>
              <w:t>偏差原因：指标完成值考虑偏低；改进措施：工作人员要全面、合理编制绩效目标。</w:t>
            </w:r>
          </w:p>
        </w:tc>
      </w:tr>
      <w:tr w14:paraId="6A7F0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A6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CA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283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FF36">
            <w:pPr>
              <w:jc w:val="center"/>
            </w:pPr>
            <w:r>
              <w:rPr>
                <w:rFonts w:ascii="宋体" w:hAnsi="宋体" w:eastAsia="宋体"/>
                <w:sz w:val="16"/>
              </w:rPr>
              <w:t>经济作物纤维检验及时率（%）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938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8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53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4B9D">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A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3B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E1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D047">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12337">
            <w:pPr>
              <w:jc w:val="center"/>
            </w:pPr>
            <w:r>
              <w:rPr>
                <w:rFonts w:ascii="宋体" w:hAnsi="宋体" w:eastAsia="宋体"/>
                <w:sz w:val="16"/>
              </w:rPr>
              <w:t>偏差原因：工作人员在编制绩效目标时完成值偏低；改进措施：调动内部人员，按要求提供相关资料。</w:t>
            </w:r>
          </w:p>
        </w:tc>
      </w:tr>
      <w:tr w14:paraId="1071DE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5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F6A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DD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BE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60B1">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268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A1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3E2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1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5C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5943">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856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66BB">
            <w:pPr>
              <w:jc w:val="center"/>
            </w:pPr>
          </w:p>
        </w:tc>
      </w:tr>
      <w:tr w14:paraId="543F0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CBB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591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C83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5388">
            <w:pPr>
              <w:jc w:val="center"/>
            </w:pPr>
            <w:r>
              <w:rPr>
                <w:rFonts w:ascii="宋体" w:hAnsi="宋体" w:eastAsia="宋体"/>
                <w:sz w:val="16"/>
              </w:rPr>
              <w:t>巴楚经济作物公检实验室扩建项目配套工程费用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EC36">
            <w:pPr>
              <w:jc w:val="center"/>
            </w:pPr>
            <w:r>
              <w:rPr>
                <w:rFonts w:ascii="宋体" w:hAnsi="宋体" w:eastAsia="宋体"/>
                <w:sz w:val="16"/>
              </w:rPr>
              <w:t>&lt;=1200万元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AC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2E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3C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2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DB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E34D">
            <w:pPr>
              <w:jc w:val="center"/>
            </w:pPr>
            <w:r>
              <w:rPr>
                <w:rFonts w:ascii="宋体" w:hAnsi="宋体" w:eastAsia="宋体"/>
                <w:sz w:val="16"/>
              </w:rPr>
              <w:t>=589.49万元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CC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99A44">
            <w:pPr>
              <w:jc w:val="center"/>
            </w:pPr>
            <w:r>
              <w:rPr>
                <w:rFonts w:ascii="宋体" w:hAnsi="宋体" w:eastAsia="宋体"/>
                <w:sz w:val="16"/>
              </w:rPr>
              <w:t>偏差原因：因为目前巴楚公检实验室正在进行装修及设备的安装，根据施工进度及合同进行支付；改进措施：与施工方协商保质保量完成，加快支出进度。</w:t>
            </w:r>
          </w:p>
        </w:tc>
      </w:tr>
      <w:tr w14:paraId="64AAA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63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BE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75C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97B2">
            <w:pPr>
              <w:jc w:val="center"/>
            </w:pPr>
            <w:r>
              <w:rPr>
                <w:rFonts w:ascii="宋体" w:hAnsi="宋体" w:eastAsia="宋体"/>
                <w:sz w:val="16"/>
              </w:rPr>
              <w:t>纤维检验机构成本运行费用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807C">
            <w:pPr>
              <w:jc w:val="center"/>
            </w:pPr>
            <w:r>
              <w:rPr>
                <w:rFonts w:ascii="宋体" w:hAnsi="宋体" w:eastAsia="宋体"/>
                <w:sz w:val="16"/>
              </w:rPr>
              <w:t>&lt;=1242万元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0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CB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9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E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05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CF50">
            <w:pPr>
              <w:jc w:val="center"/>
            </w:pPr>
            <w:r>
              <w:rPr>
                <w:rFonts w:ascii="宋体" w:hAnsi="宋体" w:eastAsia="宋体"/>
                <w:sz w:val="16"/>
              </w:rPr>
              <w:t>=1233.18万元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A80B">
            <w:pPr>
              <w:jc w:val="center"/>
            </w:pPr>
            <w:r>
              <w:rPr>
                <w:rFonts w:ascii="宋体" w:hAnsi="宋体" w:eastAsia="宋体"/>
                <w:sz w:val="16"/>
              </w:rPr>
              <w:t>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CAD24">
            <w:pPr>
              <w:jc w:val="center"/>
            </w:pPr>
            <w:r>
              <w:rPr>
                <w:rFonts w:ascii="宋体" w:hAnsi="宋体" w:eastAsia="宋体"/>
                <w:sz w:val="16"/>
              </w:rPr>
              <w:t>偏差原因：办公费、物业管理费等预算不精准；改进措施：精准预算。</w:t>
            </w:r>
          </w:p>
        </w:tc>
      </w:tr>
      <w:tr w14:paraId="294E7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009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9149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92F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C0E7">
            <w:pPr>
              <w:jc w:val="center"/>
            </w:pPr>
            <w:r>
              <w:rPr>
                <w:rFonts w:ascii="宋体" w:hAnsi="宋体" w:eastAsia="宋体"/>
                <w:sz w:val="16"/>
              </w:rPr>
              <w:t>有效提升本地区经济作物公检能力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3E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C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00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0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88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0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F3D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D0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668B0">
            <w:pPr>
              <w:jc w:val="center"/>
            </w:pPr>
          </w:p>
        </w:tc>
      </w:tr>
      <w:tr w14:paraId="66EB1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5C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0B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D1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C8BA">
            <w:pPr>
              <w:jc w:val="center"/>
            </w:pPr>
            <w:r>
              <w:rPr>
                <w:rFonts w:ascii="宋体" w:hAnsi="宋体" w:eastAsia="宋体"/>
                <w:sz w:val="16"/>
              </w:rPr>
              <w:t>促进纤维产业健康发展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FF6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8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3B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90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45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9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7BD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0E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00441">
            <w:pPr>
              <w:jc w:val="center"/>
            </w:pPr>
          </w:p>
        </w:tc>
      </w:tr>
      <w:tr w14:paraId="68C12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327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7797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A00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5F19">
            <w:pPr>
              <w:jc w:val="center"/>
            </w:pPr>
            <w:r>
              <w:rPr>
                <w:rFonts w:ascii="宋体" w:hAnsi="宋体" w:eastAsia="宋体"/>
                <w:sz w:val="16"/>
              </w:rPr>
              <w:t>经济作物公检人员满意度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34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7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A6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02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6A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5E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D5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39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FDFF9">
            <w:pPr>
              <w:jc w:val="center"/>
            </w:pPr>
          </w:p>
        </w:tc>
      </w:tr>
      <w:tr w14:paraId="29220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25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FF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6D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4E37">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D0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8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DE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24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D5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43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0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DD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FBCC5">
            <w:pPr>
              <w:jc w:val="center"/>
            </w:pPr>
            <w:r>
              <w:rPr>
                <w:rFonts w:ascii="宋体" w:hAnsi="宋体" w:eastAsia="宋体"/>
                <w:sz w:val="16"/>
              </w:rPr>
              <w:t>偏差原因：指标设置完成值不精准；改进措施：科学、合理</w:t>
            </w:r>
            <w:r>
              <w:rPr>
                <w:rFonts w:hint="eastAsia" w:ascii="宋体" w:hAnsi="宋体"/>
                <w:sz w:val="16"/>
                <w:lang w:eastAsia="zh-CN"/>
              </w:rPr>
              <w:t>地</w:t>
            </w:r>
            <w:r>
              <w:rPr>
                <w:rFonts w:ascii="宋体" w:hAnsi="宋体" w:eastAsia="宋体"/>
                <w:sz w:val="16"/>
              </w:rPr>
              <w:t>设置指标完成值。</w:t>
            </w:r>
          </w:p>
        </w:tc>
      </w:tr>
      <w:tr w14:paraId="779046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4E6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3F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D6E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747186">
            <w:pPr>
              <w:jc w:val="center"/>
            </w:pPr>
            <w:r>
              <w:rPr>
                <w:rFonts w:ascii="宋体" w:hAnsi="宋体" w:eastAsia="宋体"/>
                <w:sz w:val="16"/>
              </w:rPr>
              <w:t>81.8分</w:t>
            </w:r>
          </w:p>
        </w:tc>
      </w:tr>
    </w:tbl>
    <w:p w14:paraId="14B7BB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3C3FBF5">
        <w:tblPrEx>
          <w:tblCellMar>
            <w:top w:w="0" w:type="dxa"/>
            <w:left w:w="108" w:type="dxa"/>
            <w:bottom w:w="0" w:type="dxa"/>
            <w:right w:w="108" w:type="dxa"/>
          </w:tblCellMar>
        </w:tblPrEx>
        <w:tc>
          <w:tcPr>
            <w:tcW w:w="8848" w:type="dxa"/>
            <w:gridSpan w:val="14"/>
            <w:vAlign w:val="center"/>
          </w:tcPr>
          <w:p w14:paraId="4B9863C8">
            <w:pPr>
              <w:jc w:val="center"/>
            </w:pPr>
            <w:r>
              <w:rPr>
                <w:rFonts w:ascii="宋体" w:hAnsi="宋体" w:eastAsia="宋体"/>
                <w:sz w:val="24"/>
              </w:rPr>
              <w:t>项目支出绩效自评表</w:t>
            </w:r>
          </w:p>
        </w:tc>
      </w:tr>
      <w:tr w14:paraId="64D899B3">
        <w:tblPrEx>
          <w:tblCellMar>
            <w:top w:w="0" w:type="dxa"/>
            <w:left w:w="108" w:type="dxa"/>
            <w:bottom w:w="0" w:type="dxa"/>
            <w:right w:w="108" w:type="dxa"/>
          </w:tblCellMar>
        </w:tblPrEx>
        <w:tc>
          <w:tcPr>
            <w:tcW w:w="8848" w:type="dxa"/>
            <w:gridSpan w:val="14"/>
            <w:vAlign w:val="center"/>
          </w:tcPr>
          <w:p w14:paraId="21C273C9">
            <w:pPr>
              <w:jc w:val="center"/>
            </w:pPr>
            <w:r>
              <w:rPr>
                <w:rFonts w:ascii="宋体" w:hAnsi="宋体" w:eastAsia="宋体"/>
                <w:sz w:val="24"/>
              </w:rPr>
              <w:t>(2024年度)</w:t>
            </w:r>
          </w:p>
        </w:tc>
      </w:tr>
      <w:tr w14:paraId="27CF1E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70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A68590">
            <w:pPr>
              <w:jc w:val="center"/>
            </w:pPr>
            <w:r>
              <w:rPr>
                <w:rFonts w:ascii="宋体" w:hAnsi="宋体" w:eastAsia="宋体"/>
                <w:sz w:val="16"/>
              </w:rPr>
              <w:t>纤维公证检验项目</w:t>
            </w:r>
          </w:p>
        </w:tc>
      </w:tr>
      <w:tr w14:paraId="6AA716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B6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B0601">
            <w:pPr>
              <w:jc w:val="center"/>
            </w:pPr>
            <w:r>
              <w:rPr>
                <w:rFonts w:ascii="宋体" w:hAnsi="宋体" w:eastAsia="宋体"/>
                <w:sz w:val="16"/>
              </w:rPr>
              <w:t>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1E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A7753">
            <w:pPr>
              <w:jc w:val="center"/>
            </w:pPr>
            <w:r>
              <w:rPr>
                <w:rFonts w:ascii="宋体" w:hAnsi="宋体" w:eastAsia="宋体"/>
                <w:sz w:val="16"/>
              </w:rPr>
              <w:t>喀什地区纤维检验所</w:t>
            </w:r>
          </w:p>
        </w:tc>
      </w:tr>
      <w:tr w14:paraId="7CB48B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BE3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412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E94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920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F63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EC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CBF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6F0E">
            <w:pPr>
              <w:jc w:val="center"/>
            </w:pPr>
            <w:r>
              <w:rPr>
                <w:rFonts w:ascii="宋体" w:hAnsi="宋体" w:eastAsia="宋体"/>
                <w:sz w:val="16"/>
              </w:rPr>
              <w:t>得分</w:t>
            </w:r>
          </w:p>
        </w:tc>
      </w:tr>
      <w:tr w14:paraId="14524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099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5DA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664DF">
            <w:pPr>
              <w:jc w:val="center"/>
            </w:pPr>
            <w:r>
              <w:rPr>
                <w:rFonts w:ascii="宋体" w:hAnsi="宋体" w:eastAsia="宋体"/>
                <w:sz w:val="16"/>
              </w:rPr>
              <w:t>1,345.74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86417">
            <w:pPr>
              <w:jc w:val="center"/>
            </w:pPr>
            <w:r>
              <w:rPr>
                <w:rFonts w:ascii="宋体" w:hAnsi="宋体" w:eastAsia="宋体"/>
                <w:sz w:val="16"/>
              </w:rPr>
              <w:t>1,345.74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99BC">
            <w:pPr>
              <w:jc w:val="center"/>
            </w:pPr>
            <w:r>
              <w:rPr>
                <w:rFonts w:ascii="宋体" w:hAnsi="宋体" w:eastAsia="宋体"/>
                <w:sz w:val="16"/>
              </w:rPr>
              <w:t>1,220.55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B1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DB1B6">
            <w:pPr>
              <w:jc w:val="center"/>
            </w:pPr>
            <w:r>
              <w:rPr>
                <w:rFonts w:ascii="宋体" w:hAnsi="宋体" w:eastAsia="宋体"/>
                <w:sz w:val="16"/>
              </w:rPr>
              <w:t>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AFB1">
            <w:pPr>
              <w:jc w:val="center"/>
            </w:pPr>
            <w:r>
              <w:rPr>
                <w:rFonts w:hint="eastAsia" w:ascii="宋体" w:hAnsi="宋体"/>
                <w:sz w:val="16"/>
                <w:lang w:val="en-US" w:eastAsia="zh-CN"/>
              </w:rPr>
              <w:t>9</w:t>
            </w:r>
            <w:r>
              <w:rPr>
                <w:rFonts w:ascii="宋体" w:hAnsi="宋体" w:eastAsia="宋体"/>
                <w:sz w:val="16"/>
              </w:rPr>
              <w:t>分</w:t>
            </w:r>
          </w:p>
        </w:tc>
      </w:tr>
      <w:tr w14:paraId="28A30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643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F0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F49F7">
            <w:pPr>
              <w:jc w:val="center"/>
            </w:pPr>
            <w:r>
              <w:rPr>
                <w:rFonts w:ascii="宋体" w:hAnsi="宋体" w:eastAsia="宋体"/>
                <w:sz w:val="16"/>
              </w:rPr>
              <w:t>1,345.74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4C6D0">
            <w:pPr>
              <w:jc w:val="center"/>
            </w:pPr>
            <w:r>
              <w:rPr>
                <w:rFonts w:ascii="宋体" w:hAnsi="宋体" w:eastAsia="宋体"/>
                <w:sz w:val="16"/>
              </w:rPr>
              <w:t>1,345.74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3B4E4">
            <w:pPr>
              <w:jc w:val="center"/>
            </w:pPr>
            <w:r>
              <w:rPr>
                <w:rFonts w:ascii="宋体" w:hAnsi="宋体" w:eastAsia="宋体"/>
                <w:sz w:val="16"/>
              </w:rPr>
              <w:t>1,220.55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04D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916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E26D">
            <w:pPr>
              <w:jc w:val="center"/>
            </w:pPr>
            <w:r>
              <w:rPr>
                <w:rFonts w:ascii="宋体" w:hAnsi="宋体" w:eastAsia="宋体"/>
                <w:sz w:val="16"/>
              </w:rPr>
              <w:t>—</w:t>
            </w:r>
          </w:p>
        </w:tc>
      </w:tr>
      <w:tr w14:paraId="4FD4F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EF6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B3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DD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F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60E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7BA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D5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4F41">
            <w:pPr>
              <w:jc w:val="center"/>
            </w:pPr>
            <w:r>
              <w:rPr>
                <w:rFonts w:ascii="宋体" w:hAnsi="宋体" w:eastAsia="宋体"/>
                <w:sz w:val="16"/>
              </w:rPr>
              <w:t>—</w:t>
            </w:r>
          </w:p>
        </w:tc>
      </w:tr>
      <w:tr w14:paraId="5A4E78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B85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829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3BF261">
            <w:pPr>
              <w:jc w:val="center"/>
            </w:pPr>
            <w:r>
              <w:rPr>
                <w:rFonts w:ascii="宋体" w:hAnsi="宋体" w:eastAsia="宋体"/>
                <w:sz w:val="16"/>
              </w:rPr>
              <w:t>实际完成情况</w:t>
            </w:r>
          </w:p>
        </w:tc>
      </w:tr>
      <w:tr w14:paraId="1DC99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562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1E1C7">
            <w:pPr>
              <w:jc w:val="both"/>
            </w:pPr>
            <w:r>
              <w:rPr>
                <w:rFonts w:ascii="宋体" w:hAnsi="宋体" w:eastAsia="宋体"/>
                <w:sz w:val="16"/>
              </w:rPr>
              <w:t>完成巴楚棉花仪器化公证检验实验室扩建工程，为棉花交易各方提供科学公正的数据，为喀什地区棉花目标价格改革的重要数据，对喀什地区实行棉花价格补贴提供了重要依据，并为各环节的改进提供技术支持，促进了本辖区棉花进入市场交易，为新疆棉花目标价格改革提供了有力的数据支撑，对核定喀什地区的棉花产量，维护国家补贴资金的安全，为最终发放方面发挥了关键作用，有力推动了喀什地区棉花质量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14233">
            <w:pPr>
              <w:jc w:val="both"/>
            </w:pPr>
            <w:r>
              <w:rPr>
                <w:rFonts w:ascii="宋体" w:hAnsi="宋体" w:eastAsia="宋体"/>
                <w:sz w:val="16"/>
              </w:rPr>
              <w:t>资金投入1345.74万元，用于巴楚棉花仪器化公证检验实验室扩建工程1220.55万元。巴楚棉花仪器化公证检验实验室扩建工程2024年3月15日开工，6月完成工程主体60%，9月完成工程主体70%，11月30日竣工，验收完成，扩建的巴楚棉花仪器化公证检验实验室预计在</w:t>
            </w:r>
            <w:r>
              <w:rPr>
                <w:rFonts w:hint="eastAsia" w:ascii="宋体" w:hAnsi="宋体"/>
                <w:sz w:val="16"/>
                <w:lang w:eastAsia="zh-CN"/>
              </w:rPr>
              <w:t>2025年9月</w:t>
            </w:r>
            <w:r>
              <w:rPr>
                <w:rFonts w:ascii="宋体" w:hAnsi="宋体" w:eastAsia="宋体"/>
                <w:sz w:val="16"/>
              </w:rPr>
              <w:t>运转。</w:t>
            </w:r>
          </w:p>
        </w:tc>
      </w:tr>
      <w:tr w14:paraId="25DD24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107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76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CB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23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C5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13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42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98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46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FD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C0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AA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3CDEC">
            <w:pPr>
              <w:jc w:val="center"/>
            </w:pPr>
            <w:r>
              <w:rPr>
                <w:rFonts w:ascii="宋体" w:hAnsi="宋体" w:eastAsia="宋体"/>
                <w:sz w:val="16"/>
              </w:rPr>
              <w:t>偏差原因分析及改进措施</w:t>
            </w:r>
          </w:p>
        </w:tc>
      </w:tr>
      <w:tr w14:paraId="1811EA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1E5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473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1A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5982">
            <w:pPr>
              <w:jc w:val="center"/>
            </w:pPr>
            <w:r>
              <w:rPr>
                <w:rFonts w:ascii="宋体" w:hAnsi="宋体" w:eastAsia="宋体"/>
                <w:sz w:val="16"/>
              </w:rPr>
              <w:t>建设工程数量（个）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A5D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F7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9F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A3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4A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BA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291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ED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B91DD">
            <w:pPr>
              <w:jc w:val="center"/>
            </w:pPr>
          </w:p>
        </w:tc>
      </w:tr>
      <w:tr w14:paraId="7E591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E1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BFA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5BB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01BD">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D4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DE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1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07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D7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3A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0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41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68A9">
            <w:pPr>
              <w:jc w:val="center"/>
            </w:pPr>
          </w:p>
        </w:tc>
      </w:tr>
      <w:tr w14:paraId="1A1FE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BB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AC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79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D474">
            <w:pPr>
              <w:jc w:val="center"/>
            </w:pPr>
            <w:r>
              <w:rPr>
                <w:rFonts w:ascii="宋体" w:hAnsi="宋体" w:eastAsia="宋体"/>
                <w:sz w:val="16"/>
              </w:rPr>
              <w:t>工程量完成率（%）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9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61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52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EC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07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9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6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A98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D908">
            <w:pPr>
              <w:jc w:val="center"/>
            </w:pPr>
          </w:p>
        </w:tc>
      </w:tr>
      <w:tr w14:paraId="523F7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6B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FB7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CE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8A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8186">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7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58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9D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21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9C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B5E7">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59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F00FA">
            <w:pPr>
              <w:jc w:val="center"/>
            </w:pPr>
          </w:p>
        </w:tc>
      </w:tr>
      <w:tr w14:paraId="3B1C4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468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474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8D4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097C">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9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14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4B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D96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A9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9B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82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71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7230B">
            <w:pPr>
              <w:jc w:val="center"/>
            </w:pPr>
            <w:r>
              <w:rPr>
                <w:rFonts w:ascii="宋体" w:hAnsi="宋体" w:eastAsia="宋体"/>
                <w:sz w:val="16"/>
              </w:rPr>
              <w:t>偏差原因：因为目前正在安装配套设备及内部的装修，预计</w:t>
            </w:r>
            <w:r>
              <w:rPr>
                <w:rFonts w:hint="eastAsia" w:ascii="宋体" w:hAnsi="宋体"/>
                <w:sz w:val="16"/>
                <w:lang w:eastAsia="zh-CN"/>
              </w:rPr>
              <w:t>2025年9月</w:t>
            </w:r>
            <w:r>
              <w:rPr>
                <w:rFonts w:ascii="宋体" w:hAnsi="宋体" w:eastAsia="宋体"/>
                <w:sz w:val="16"/>
              </w:rPr>
              <w:t>份扩建实验室运转；改进措施：加快进度，保质保量</w:t>
            </w:r>
            <w:r>
              <w:rPr>
                <w:rFonts w:hint="eastAsia" w:ascii="宋体" w:hAnsi="宋体"/>
                <w:sz w:val="16"/>
                <w:lang w:eastAsia="zh-CN"/>
              </w:rPr>
              <w:t>地</w:t>
            </w:r>
            <w:r>
              <w:rPr>
                <w:rFonts w:ascii="宋体" w:hAnsi="宋体" w:eastAsia="宋体"/>
                <w:sz w:val="16"/>
              </w:rPr>
              <w:t>完成，扩建实验室正常运转。</w:t>
            </w:r>
          </w:p>
        </w:tc>
      </w:tr>
      <w:tr w14:paraId="1B637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F5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E1A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91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0E0E">
            <w:pPr>
              <w:jc w:val="center"/>
            </w:pPr>
            <w:r>
              <w:rPr>
                <w:rFonts w:ascii="宋体" w:hAnsi="宋体" w:eastAsia="宋体"/>
                <w:sz w:val="16"/>
              </w:rPr>
              <w:t>提高检验业务保障能力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B5F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A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6B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5DA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D6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0C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B5F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0FA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53429">
            <w:pPr>
              <w:jc w:val="center"/>
            </w:pPr>
          </w:p>
        </w:tc>
      </w:tr>
      <w:tr w14:paraId="6AAC6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57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83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3E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263C">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4C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2F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5B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F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1E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1F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0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C1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C915E">
            <w:pPr>
              <w:jc w:val="center"/>
            </w:pPr>
            <w:r>
              <w:rPr>
                <w:rFonts w:ascii="宋体" w:hAnsi="宋体" w:eastAsia="宋体"/>
                <w:sz w:val="16"/>
              </w:rPr>
              <w:t>偏差原因：科学合理设置绩效目标值；改进措施：科学合理设置。</w:t>
            </w:r>
          </w:p>
        </w:tc>
      </w:tr>
      <w:tr w14:paraId="5FF0A8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37D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5E9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2E6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C581AF">
            <w:pPr>
              <w:jc w:val="center"/>
            </w:pPr>
            <w:r>
              <w:rPr>
                <w:rFonts w:ascii="宋体" w:hAnsi="宋体" w:eastAsia="宋体"/>
                <w:sz w:val="16"/>
              </w:rPr>
              <w:t>82.68分</w:t>
            </w:r>
          </w:p>
        </w:tc>
      </w:tr>
    </w:tbl>
    <w:p w14:paraId="140196BF">
      <w:r>
        <w:br w:type="page"/>
      </w:r>
    </w:p>
    <w:p w14:paraId="10C06A6C">
      <w:pPr>
        <w:spacing w:line="640" w:lineRule="exact"/>
        <w:ind w:firstLine="640"/>
        <w:jc w:val="both"/>
        <w:outlineLvl w:val="2"/>
      </w:pPr>
      <w:r>
        <w:rPr>
          <w:rFonts w:ascii="黑体" w:hAnsi="黑体" w:eastAsia="黑体"/>
          <w:sz w:val="32"/>
        </w:rPr>
        <w:t>十二、其他需说明的事项</w:t>
      </w:r>
    </w:p>
    <w:p w14:paraId="13A1D80B">
      <w:pPr>
        <w:spacing w:line="580" w:lineRule="exact"/>
        <w:ind w:firstLine="640"/>
        <w:jc w:val="both"/>
      </w:pPr>
      <w:r>
        <w:rPr>
          <w:rFonts w:ascii="仿宋_GB2312" w:hAnsi="仿宋_GB2312" w:eastAsia="仿宋_GB2312"/>
          <w:b w:val="0"/>
          <w:sz w:val="32"/>
        </w:rPr>
        <w:t>本部门无其他需说明的事项。</w:t>
      </w:r>
    </w:p>
    <w:p w14:paraId="7F41A902">
      <w:r>
        <w:br w:type="page"/>
      </w:r>
    </w:p>
    <w:p w14:paraId="29AAA1B2">
      <w:pPr>
        <w:spacing w:line="240" w:lineRule="auto"/>
        <w:jc w:val="center"/>
        <w:outlineLvl w:val="1"/>
      </w:pPr>
      <w:r>
        <w:rPr>
          <w:rFonts w:ascii="黑体" w:hAnsi="黑体" w:eastAsia="黑体"/>
          <w:sz w:val="32"/>
        </w:rPr>
        <w:t>第三部分 专业名词解释</w:t>
      </w:r>
    </w:p>
    <w:p w14:paraId="2B47848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A90A7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57A88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B8525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FA510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3DCBA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AFB5B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0F3864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2D05A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95D69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9341C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7F75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6C355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670F3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C34CAC">
      <w:r>
        <w:br w:type="page"/>
      </w:r>
    </w:p>
    <w:p w14:paraId="19C61568">
      <w:pPr>
        <w:spacing w:line="240" w:lineRule="auto"/>
        <w:jc w:val="center"/>
        <w:outlineLvl w:val="1"/>
      </w:pPr>
      <w:r>
        <w:rPr>
          <w:rFonts w:ascii="黑体" w:hAnsi="黑体" w:eastAsia="黑体"/>
          <w:sz w:val="32"/>
        </w:rPr>
        <w:t>第四部分 部门决算报表（见附表）</w:t>
      </w:r>
    </w:p>
    <w:p w14:paraId="6B1908DE">
      <w:pPr>
        <w:spacing w:line="240" w:lineRule="auto"/>
        <w:ind w:firstLine="640"/>
        <w:jc w:val="both"/>
      </w:pPr>
      <w:r>
        <w:rPr>
          <w:rFonts w:ascii="仿宋_GB2312" w:hAnsi="仿宋_GB2312" w:eastAsia="仿宋_GB2312"/>
          <w:b w:val="0"/>
          <w:sz w:val="32"/>
        </w:rPr>
        <w:t>一、《收入支出决算总表》</w:t>
      </w:r>
    </w:p>
    <w:p w14:paraId="11DA6EEF">
      <w:pPr>
        <w:spacing w:line="240" w:lineRule="auto"/>
        <w:ind w:firstLine="640"/>
        <w:jc w:val="both"/>
      </w:pPr>
      <w:r>
        <w:rPr>
          <w:rFonts w:ascii="仿宋_GB2312" w:hAnsi="仿宋_GB2312" w:eastAsia="仿宋_GB2312"/>
          <w:b w:val="0"/>
          <w:sz w:val="32"/>
        </w:rPr>
        <w:t>二、《收入决算表》</w:t>
      </w:r>
    </w:p>
    <w:p w14:paraId="75E38F70">
      <w:pPr>
        <w:spacing w:line="240" w:lineRule="auto"/>
        <w:ind w:firstLine="640"/>
        <w:jc w:val="both"/>
      </w:pPr>
      <w:r>
        <w:rPr>
          <w:rFonts w:ascii="仿宋_GB2312" w:hAnsi="仿宋_GB2312" w:eastAsia="仿宋_GB2312"/>
          <w:b w:val="0"/>
          <w:sz w:val="32"/>
        </w:rPr>
        <w:t>三、《支出决算表》</w:t>
      </w:r>
    </w:p>
    <w:p w14:paraId="3F88ECBF">
      <w:pPr>
        <w:spacing w:line="240" w:lineRule="auto"/>
        <w:ind w:firstLine="640"/>
        <w:jc w:val="both"/>
      </w:pPr>
      <w:r>
        <w:rPr>
          <w:rFonts w:ascii="仿宋_GB2312" w:hAnsi="仿宋_GB2312" w:eastAsia="仿宋_GB2312"/>
          <w:b w:val="0"/>
          <w:sz w:val="32"/>
        </w:rPr>
        <w:t>四、《财政拨款收入支出决算总表》</w:t>
      </w:r>
    </w:p>
    <w:p w14:paraId="0DC0AAE0">
      <w:pPr>
        <w:spacing w:line="240" w:lineRule="auto"/>
        <w:ind w:firstLine="640"/>
        <w:jc w:val="both"/>
      </w:pPr>
      <w:r>
        <w:rPr>
          <w:rFonts w:ascii="仿宋_GB2312" w:hAnsi="仿宋_GB2312" w:eastAsia="仿宋_GB2312"/>
          <w:b w:val="0"/>
          <w:sz w:val="32"/>
        </w:rPr>
        <w:t>五、《一般公共预算财政拨款支出决算表》</w:t>
      </w:r>
    </w:p>
    <w:p w14:paraId="23B3BD93">
      <w:pPr>
        <w:spacing w:line="240" w:lineRule="auto"/>
        <w:ind w:firstLine="640"/>
        <w:jc w:val="both"/>
      </w:pPr>
      <w:r>
        <w:rPr>
          <w:rFonts w:ascii="仿宋_GB2312" w:hAnsi="仿宋_GB2312" w:eastAsia="仿宋_GB2312"/>
          <w:b w:val="0"/>
          <w:sz w:val="32"/>
        </w:rPr>
        <w:t>六、《一般公共预算财政拨款基本支出决算表》</w:t>
      </w:r>
    </w:p>
    <w:p w14:paraId="2DC1B413">
      <w:pPr>
        <w:spacing w:line="240" w:lineRule="auto"/>
        <w:ind w:firstLine="640"/>
        <w:jc w:val="both"/>
      </w:pPr>
      <w:r>
        <w:rPr>
          <w:rFonts w:ascii="仿宋_GB2312" w:hAnsi="仿宋_GB2312" w:eastAsia="仿宋_GB2312"/>
          <w:b w:val="0"/>
          <w:sz w:val="32"/>
        </w:rPr>
        <w:t>七、《政府性基金预算财政拨款收入支出决算表》</w:t>
      </w:r>
    </w:p>
    <w:p w14:paraId="6916FD51">
      <w:pPr>
        <w:spacing w:line="240" w:lineRule="auto"/>
        <w:ind w:firstLine="640"/>
        <w:jc w:val="both"/>
      </w:pPr>
      <w:r>
        <w:rPr>
          <w:rFonts w:ascii="仿宋_GB2312" w:hAnsi="仿宋_GB2312" w:eastAsia="仿宋_GB2312"/>
          <w:b w:val="0"/>
          <w:sz w:val="32"/>
        </w:rPr>
        <w:t>八、《国有资本经营预算财政拨款收入支出决算表》</w:t>
      </w:r>
    </w:p>
    <w:p w14:paraId="3EC0F5C7">
      <w:pPr>
        <w:spacing w:line="240" w:lineRule="auto"/>
        <w:ind w:firstLine="640"/>
        <w:jc w:val="both"/>
      </w:pPr>
      <w:r>
        <w:rPr>
          <w:rFonts w:ascii="仿宋_GB2312" w:hAnsi="仿宋_GB2312" w:eastAsia="仿宋_GB2312"/>
          <w:b w:val="0"/>
          <w:sz w:val="32"/>
        </w:rPr>
        <w:t>九、《财政拨款“三公”经费支出决算表》</w:t>
      </w:r>
    </w:p>
    <w:p w14:paraId="2EAC7297">
      <w:pPr>
        <w:spacing w:line="240" w:lineRule="auto"/>
        <w:ind w:firstLine="640"/>
        <w:jc w:val="both"/>
      </w:pPr>
    </w:p>
    <w:p w14:paraId="3A9AB98F">
      <w:pPr>
        <w:spacing w:line="240" w:lineRule="auto"/>
        <w:ind w:firstLine="640"/>
        <w:jc w:val="both"/>
      </w:pPr>
    </w:p>
    <w:p w14:paraId="62B2C890">
      <w:pPr>
        <w:spacing w:line="240" w:lineRule="auto"/>
        <w:ind w:firstLine="640"/>
        <w:jc w:val="both"/>
      </w:pPr>
    </w:p>
    <w:p w14:paraId="1B1A7AB0">
      <w:pPr>
        <w:spacing w:line="240" w:lineRule="auto"/>
        <w:ind w:firstLine="640"/>
        <w:jc w:val="both"/>
      </w:pPr>
    </w:p>
    <w:p w14:paraId="1EC9DD8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A3642B-FA0A-4CB2-91FB-7789E9E96A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CC2076B-935D-4B38-B880-044C90A135B2}"/>
  </w:font>
  <w:font w:name="仿宋_GB2312">
    <w:altName w:val="仿宋"/>
    <w:panose1 w:val="02010609030101010101"/>
    <w:charset w:val="86"/>
    <w:family w:val="modern"/>
    <w:pitch w:val="default"/>
    <w:sig w:usb0="00000000" w:usb1="00000000" w:usb2="00000000" w:usb3="00000000" w:csb0="00040000" w:csb1="00000000"/>
    <w:embedRegular r:id="rId3" w:fontKey="{E0C1BDFE-2AF7-4CD7-B828-A5A3409D232F}"/>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E28C9C38-4476-448C-B449-581E322EF5B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6A1B10"/>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F716BE"/>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5561</Words>
  <Characters>6462</Characters>
  <Lines>0</Lines>
  <Paragraphs>0</Paragraphs>
  <TotalTime>9</TotalTime>
  <ScaleCrop>false</ScaleCrop>
  <LinksUpToDate>false</LinksUpToDate>
  <CharactersWithSpaces>6470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2025-09-03T11:55:57Z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