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31E2833">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喀什地区维稳指挥中心</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A049F42">
      <w:r>
        <w:br w:type="page"/>
      </w:r>
    </w:p>
    <w:p w14:paraId="4974495D">
      <w:pPr>
        <w:spacing w:line="640" w:lineRule="exact"/>
        <w:jc w:val="center"/>
        <w:outlineLvl w:val="1"/>
      </w:pPr>
      <w:r>
        <w:rPr>
          <w:rFonts w:ascii="黑体" w:hAnsi="黑体" w:eastAsia="黑体"/>
          <w:sz w:val="32"/>
        </w:rPr>
        <w:t>第一部分 单位概况</w:t>
      </w:r>
    </w:p>
    <w:p w14:paraId="08CB3F3E">
      <w:pPr>
        <w:spacing w:line="640" w:lineRule="exact"/>
        <w:ind w:firstLine="640"/>
        <w:jc w:val="both"/>
        <w:outlineLvl w:val="2"/>
      </w:pPr>
      <w:r>
        <w:rPr>
          <w:rFonts w:ascii="黑体" w:hAnsi="黑体" w:eastAsia="黑体"/>
          <w:sz w:val="32"/>
        </w:rPr>
        <w:t>一、主要职能</w:t>
      </w:r>
    </w:p>
    <w:p w14:paraId="33B76A84">
      <w:pPr>
        <w:spacing w:line="580" w:lineRule="exact"/>
        <w:ind w:firstLine="640"/>
        <w:jc w:val="both"/>
      </w:pPr>
      <w:r>
        <w:rPr>
          <w:rFonts w:ascii="仿宋_GB2312" w:hAnsi="仿宋_GB2312" w:eastAsia="仿宋_GB2312"/>
          <w:sz w:val="32"/>
        </w:rPr>
        <w:t>本单位主要职能</w:t>
      </w:r>
      <w:r>
        <w:rPr>
          <w:rFonts w:hint="eastAsia" w:ascii="仿宋_GB2312" w:hAnsi="仿宋_GB2312" w:eastAsia="仿宋_GB2312"/>
          <w:sz w:val="32"/>
          <w:lang w:val="en-US" w:eastAsia="zh-CN"/>
        </w:rPr>
        <w:t>涉密</w:t>
      </w:r>
      <w:r>
        <w:rPr>
          <w:rFonts w:ascii="仿宋_GB2312" w:hAnsi="仿宋_GB2312" w:eastAsia="仿宋_GB2312"/>
          <w:sz w:val="32"/>
        </w:rPr>
        <w:t>不予公开。</w:t>
      </w:r>
    </w:p>
    <w:p w14:paraId="1BB69671">
      <w:pPr>
        <w:spacing w:line="640" w:lineRule="exact"/>
        <w:ind w:firstLine="640"/>
        <w:jc w:val="both"/>
        <w:outlineLvl w:val="2"/>
      </w:pPr>
      <w:r>
        <w:rPr>
          <w:rFonts w:ascii="黑体" w:hAnsi="黑体" w:eastAsia="黑体"/>
          <w:sz w:val="32"/>
        </w:rPr>
        <w:t>二、机构设置及人员情况</w:t>
      </w:r>
    </w:p>
    <w:p w14:paraId="7847DA0C">
      <w:pPr>
        <w:spacing w:line="580" w:lineRule="exact"/>
        <w:ind w:firstLine="640"/>
        <w:jc w:val="both"/>
      </w:pPr>
      <w:r>
        <w:rPr>
          <w:rFonts w:ascii="仿宋_GB2312" w:hAnsi="仿宋_GB2312" w:eastAsia="仿宋_GB2312"/>
          <w:sz w:val="32"/>
        </w:rPr>
        <w:t>本单位机构设置及人员情况</w:t>
      </w:r>
      <w:r>
        <w:rPr>
          <w:rFonts w:hint="eastAsia" w:ascii="仿宋_GB2312" w:hAnsi="仿宋_GB2312" w:eastAsia="仿宋_GB2312"/>
          <w:sz w:val="32"/>
          <w:lang w:val="en-US" w:eastAsia="zh-CN"/>
        </w:rPr>
        <w:t>涉密</w:t>
      </w:r>
      <w:r>
        <w:rPr>
          <w:rFonts w:ascii="仿宋_GB2312" w:hAnsi="仿宋_GB2312" w:eastAsia="仿宋_GB2312"/>
          <w:sz w:val="32"/>
        </w:rPr>
        <w:t>不予公开。</w:t>
      </w:r>
    </w:p>
    <w:p w14:paraId="10A1265D">
      <w:r>
        <w:br w:type="page"/>
      </w:r>
    </w:p>
    <w:p w14:paraId="5BA55E16">
      <w:pPr>
        <w:spacing w:line="240" w:lineRule="auto"/>
        <w:jc w:val="center"/>
        <w:outlineLvl w:val="1"/>
      </w:pPr>
      <w:r>
        <w:rPr>
          <w:rFonts w:ascii="黑体" w:hAnsi="黑体" w:eastAsia="黑体"/>
          <w:sz w:val="32"/>
        </w:rPr>
        <w:t>第二部分 部门决算情况说明</w:t>
      </w:r>
    </w:p>
    <w:p w14:paraId="6A1C60FD">
      <w:pPr>
        <w:spacing w:line="640" w:lineRule="exact"/>
        <w:ind w:firstLine="640"/>
        <w:jc w:val="both"/>
        <w:outlineLvl w:val="2"/>
      </w:pPr>
      <w:r>
        <w:rPr>
          <w:rFonts w:ascii="黑体" w:hAnsi="黑体" w:eastAsia="黑体"/>
          <w:sz w:val="32"/>
        </w:rPr>
        <w:t>一、收入支出决算总体情况说明</w:t>
      </w:r>
    </w:p>
    <w:p w14:paraId="74E02BEB">
      <w:pPr>
        <w:spacing w:line="580" w:lineRule="exact"/>
        <w:ind w:firstLine="640"/>
        <w:jc w:val="both"/>
      </w:pPr>
      <w:r>
        <w:rPr>
          <w:rFonts w:ascii="仿宋_GB2312" w:hAnsi="仿宋_GB2312" w:eastAsia="仿宋_GB2312"/>
          <w:b/>
          <w:sz w:val="32"/>
        </w:rPr>
        <w:t>2024年度收入总计503.44万元，</w:t>
      </w:r>
      <w:r>
        <w:rPr>
          <w:rFonts w:ascii="仿宋_GB2312" w:hAnsi="仿宋_GB2312" w:eastAsia="仿宋_GB2312"/>
          <w:b w:val="0"/>
          <w:sz w:val="32"/>
        </w:rPr>
        <w:t>其中：本年收入合计466.83万元，使用非财政拨款结余（含专用结余）0.00万元，年初结转和结余36.61万元。</w:t>
      </w:r>
    </w:p>
    <w:p w14:paraId="05DF7070">
      <w:pPr>
        <w:spacing w:line="580" w:lineRule="exact"/>
        <w:ind w:firstLine="640"/>
        <w:jc w:val="both"/>
      </w:pPr>
      <w:r>
        <w:rPr>
          <w:rFonts w:ascii="仿宋_GB2312" w:hAnsi="仿宋_GB2312" w:eastAsia="仿宋_GB2312"/>
          <w:b/>
          <w:sz w:val="32"/>
        </w:rPr>
        <w:t>2024年度支出总计503.44万元，</w:t>
      </w:r>
      <w:r>
        <w:rPr>
          <w:rFonts w:ascii="仿宋_GB2312" w:hAnsi="仿宋_GB2312" w:eastAsia="仿宋_GB2312"/>
          <w:b w:val="0"/>
          <w:sz w:val="32"/>
        </w:rPr>
        <w:t>其中：本年支出合计425.73万元，结余分配0.00万元，年末结转和结余77.70万元。</w:t>
      </w:r>
    </w:p>
    <w:p w14:paraId="1058640F">
      <w:pPr>
        <w:spacing w:line="580" w:lineRule="exact"/>
        <w:ind w:firstLine="640"/>
        <w:jc w:val="both"/>
      </w:pPr>
      <w:r>
        <w:rPr>
          <w:rFonts w:ascii="仿宋_GB2312" w:hAnsi="仿宋_GB2312" w:eastAsia="仿宋_GB2312"/>
          <w:b w:val="0"/>
          <w:sz w:val="32"/>
        </w:rPr>
        <w:t>收入支出总体与上年相比，增加132.03万元，增长35.55%，主要原因是：1.本年在职人员增加，在职人员工资调增、社保、公积金基数调增，人员经费增加。2.本年新增援疆资金交流培训研学项目</w:t>
      </w:r>
      <w:r>
        <w:rPr>
          <w:rFonts w:hint="eastAsia" w:ascii="仿宋_GB2312" w:hAnsi="仿宋_GB2312" w:eastAsia="仿宋_GB2312"/>
          <w:b w:val="0"/>
          <w:sz w:val="32"/>
          <w:lang w:eastAsia="zh-CN"/>
        </w:rPr>
        <w:t>（</w:t>
      </w:r>
      <w:r>
        <w:rPr>
          <w:rFonts w:ascii="仿宋_GB2312" w:hAnsi="仿宋_GB2312" w:eastAsia="仿宋_GB2312"/>
          <w:b w:val="0"/>
          <w:sz w:val="32"/>
        </w:rPr>
        <w:t>上海援疆资金）。</w:t>
      </w:r>
    </w:p>
    <w:p w14:paraId="00375512">
      <w:pPr>
        <w:spacing w:line="640" w:lineRule="exact"/>
        <w:ind w:firstLine="640"/>
        <w:jc w:val="both"/>
        <w:outlineLvl w:val="2"/>
      </w:pPr>
      <w:r>
        <w:rPr>
          <w:rFonts w:ascii="黑体" w:hAnsi="黑体" w:eastAsia="黑体"/>
          <w:sz w:val="32"/>
        </w:rPr>
        <w:t>二、收入决算情况说明</w:t>
      </w:r>
    </w:p>
    <w:p w14:paraId="5DB06157">
      <w:pPr>
        <w:spacing w:line="580" w:lineRule="exact"/>
        <w:ind w:firstLine="640"/>
        <w:jc w:val="both"/>
      </w:pPr>
      <w:r>
        <w:rPr>
          <w:rFonts w:ascii="仿宋_GB2312" w:hAnsi="仿宋_GB2312" w:eastAsia="仿宋_GB2312"/>
          <w:b/>
          <w:sz w:val="32"/>
        </w:rPr>
        <w:t>本年收入466.83万元，</w:t>
      </w:r>
      <w:r>
        <w:rPr>
          <w:rFonts w:ascii="仿宋_GB2312" w:hAnsi="仿宋_GB2312" w:eastAsia="仿宋_GB2312"/>
          <w:b w:val="0"/>
          <w:sz w:val="32"/>
        </w:rPr>
        <w:t>其中：财政拨款收入346.83万元，占74.29%；上级补助收入0.00万元，占0.00%；事业收入0.00万元，占0.00%；经营收入0.00万元，占0.00%；附属单位上缴收入0.00万元，占0.00%；其他收入120.00万元，占25.71%。</w:t>
      </w:r>
    </w:p>
    <w:p w14:paraId="71224455">
      <w:pPr>
        <w:spacing w:line="640" w:lineRule="exact"/>
        <w:ind w:firstLine="640"/>
        <w:jc w:val="both"/>
        <w:outlineLvl w:val="2"/>
      </w:pPr>
      <w:r>
        <w:rPr>
          <w:rFonts w:ascii="黑体" w:hAnsi="黑体" w:eastAsia="黑体"/>
          <w:sz w:val="32"/>
        </w:rPr>
        <w:t>三、支出决算情况说明</w:t>
      </w:r>
    </w:p>
    <w:p w14:paraId="42186495">
      <w:pPr>
        <w:spacing w:line="580" w:lineRule="exact"/>
        <w:ind w:firstLine="640"/>
        <w:jc w:val="both"/>
      </w:pPr>
      <w:r>
        <w:rPr>
          <w:rFonts w:ascii="仿宋_GB2312" w:hAnsi="仿宋_GB2312" w:eastAsia="仿宋_GB2312"/>
          <w:b/>
          <w:sz w:val="32"/>
        </w:rPr>
        <w:t>本年支出425.73万元，</w:t>
      </w:r>
      <w:r>
        <w:rPr>
          <w:rFonts w:ascii="仿宋_GB2312" w:hAnsi="仿宋_GB2312" w:eastAsia="仿宋_GB2312"/>
          <w:b w:val="0"/>
          <w:sz w:val="32"/>
        </w:rPr>
        <w:t>其中：基本支出228.65万元，占53.71%；项目支出197.08万元，占46.29%；上缴上级支出0.00万元，占0.00%；经营支出0.00万元，占0.00%；对附属单位补助支出0.00万元，占0.00%。</w:t>
      </w:r>
    </w:p>
    <w:p w14:paraId="70D143B1">
      <w:pPr>
        <w:spacing w:line="640" w:lineRule="exact"/>
        <w:ind w:firstLine="640"/>
        <w:jc w:val="both"/>
        <w:outlineLvl w:val="2"/>
      </w:pPr>
      <w:r>
        <w:rPr>
          <w:rFonts w:ascii="黑体" w:hAnsi="黑体" w:eastAsia="黑体"/>
          <w:sz w:val="32"/>
        </w:rPr>
        <w:t>四、财政拨款收入支出决算总体情况说明</w:t>
      </w:r>
    </w:p>
    <w:p w14:paraId="575A9370">
      <w:pPr>
        <w:spacing w:line="580" w:lineRule="exact"/>
        <w:ind w:firstLine="640"/>
        <w:jc w:val="both"/>
      </w:pPr>
      <w:r>
        <w:rPr>
          <w:rFonts w:ascii="仿宋_GB2312" w:hAnsi="仿宋_GB2312" w:eastAsia="仿宋_GB2312"/>
          <w:b/>
          <w:sz w:val="32"/>
        </w:rPr>
        <w:t>2024年度财政拨款收入总计346.83万元，</w:t>
      </w:r>
      <w:r>
        <w:rPr>
          <w:rFonts w:ascii="仿宋_GB2312" w:hAnsi="仿宋_GB2312" w:eastAsia="仿宋_GB2312"/>
          <w:b w:val="0"/>
          <w:sz w:val="32"/>
        </w:rPr>
        <w:t>其中：年初财政拨款结转和结余0.00万元，本年财政拨款收入346.83万元。</w:t>
      </w:r>
      <w:r>
        <w:rPr>
          <w:rFonts w:ascii="仿宋_GB2312" w:hAnsi="仿宋_GB2312" w:eastAsia="仿宋_GB2312"/>
          <w:b/>
          <w:sz w:val="32"/>
        </w:rPr>
        <w:t>财政拨款支出总计346.83万元，</w:t>
      </w:r>
      <w:r>
        <w:rPr>
          <w:rFonts w:ascii="仿宋_GB2312" w:hAnsi="仿宋_GB2312" w:eastAsia="仿宋_GB2312"/>
          <w:b w:val="0"/>
          <w:sz w:val="32"/>
        </w:rPr>
        <w:t>其中：年末财政拨款结转和结余0.00万元，本年财政拨款支出346.83万元。</w:t>
      </w:r>
    </w:p>
    <w:p w14:paraId="3E71C7E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增加47.32万元，增长15.80%，主要原因是：本年在职人员增加，在职人员工资调增、社保、公积金基数调增，人员经费增加。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年初预算数331.87万元，决算数346.83万元，预决算差异率4.51%，主要原因是：本年在职人员增加，年中追加人员经费及人员工资、社保、公积金基数调增部分资金，导致预决算存在差异。</w:t>
      </w:r>
    </w:p>
    <w:p w14:paraId="4F201C24">
      <w:pPr>
        <w:spacing w:line="640" w:lineRule="exact"/>
        <w:ind w:firstLine="640"/>
        <w:jc w:val="both"/>
        <w:outlineLvl w:val="2"/>
      </w:pPr>
      <w:r>
        <w:rPr>
          <w:rFonts w:ascii="黑体" w:hAnsi="黑体" w:eastAsia="黑体"/>
          <w:sz w:val="32"/>
        </w:rPr>
        <w:t>五、一般公共预算财政拨款支出决算情况说明</w:t>
      </w:r>
    </w:p>
    <w:p w14:paraId="4EB4699F">
      <w:pPr>
        <w:spacing w:line="640" w:lineRule="exact"/>
        <w:ind w:firstLine="640"/>
        <w:jc w:val="both"/>
        <w:outlineLvl w:val="3"/>
      </w:pPr>
      <w:r>
        <w:rPr>
          <w:rFonts w:ascii="楷体_GB2312" w:hAnsi="楷体_GB2312" w:eastAsia="楷体_GB2312"/>
          <w:b/>
          <w:sz w:val="32"/>
        </w:rPr>
        <w:t>（一）一般公共预算财政拨款支出决算总体情况</w:t>
      </w:r>
    </w:p>
    <w:p w14:paraId="10BA469B">
      <w:pPr>
        <w:spacing w:line="580" w:lineRule="exact"/>
        <w:ind w:firstLine="640"/>
        <w:jc w:val="both"/>
      </w:pPr>
      <w:r>
        <w:rPr>
          <w:rFonts w:ascii="仿宋_GB2312" w:hAnsi="仿宋_GB2312" w:eastAsia="仿宋_GB2312"/>
          <w:b/>
          <w:sz w:val="32"/>
        </w:rPr>
        <w:t>2024年度一般公共预算财政拨款支出346.83万元，</w:t>
      </w:r>
      <w:r>
        <w:rPr>
          <w:rFonts w:ascii="仿宋_GB2312" w:hAnsi="仿宋_GB2312" w:eastAsia="仿宋_GB2312"/>
          <w:b w:val="0"/>
          <w:sz w:val="32"/>
        </w:rPr>
        <w:t>占本年支出合计的81.47%。</w:t>
      </w:r>
      <w:r>
        <w:rPr>
          <w:rFonts w:ascii="仿宋_GB2312" w:hAnsi="仿宋_GB2312" w:eastAsia="仿宋_GB2312"/>
          <w:b/>
          <w:sz w:val="32"/>
        </w:rPr>
        <w:t>与上年相比，</w:t>
      </w:r>
      <w:r>
        <w:rPr>
          <w:rFonts w:ascii="仿宋_GB2312" w:hAnsi="仿宋_GB2312" w:eastAsia="仿宋_GB2312"/>
          <w:b w:val="0"/>
          <w:sz w:val="32"/>
        </w:rPr>
        <w:t>增加47.32万元，增长15.80%，主要原因是：本年在职人员增加，在职人员工资调增、社保、公积金基数调增，人员经费增加。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年初预算数331.87万元，决算数346.83万元，预决算差异率4.51%，主要原因是：本年在职人员增加，年中追加人员经费及人员工资、社保、公积金基数调增部分资金，导致预决算存在差异。</w:t>
      </w:r>
    </w:p>
    <w:p w14:paraId="04954D41">
      <w:pPr>
        <w:spacing w:line="640" w:lineRule="exact"/>
        <w:ind w:firstLine="640"/>
        <w:jc w:val="both"/>
        <w:outlineLvl w:val="3"/>
      </w:pPr>
      <w:r>
        <w:rPr>
          <w:rFonts w:ascii="楷体_GB2312" w:hAnsi="楷体_GB2312" w:eastAsia="楷体_GB2312"/>
          <w:b/>
          <w:sz w:val="32"/>
        </w:rPr>
        <w:t>（二）一般公共预算财政拨款支出决算结构情况</w:t>
      </w:r>
    </w:p>
    <w:p w14:paraId="24704FA1">
      <w:pPr>
        <w:spacing w:line="580" w:lineRule="exact"/>
        <w:ind w:firstLine="640"/>
        <w:jc w:val="both"/>
      </w:pPr>
      <w:r>
        <w:rPr>
          <w:rFonts w:ascii="仿宋_GB2312" w:hAnsi="仿宋_GB2312" w:eastAsia="仿宋_GB2312"/>
          <w:b w:val="0"/>
          <w:sz w:val="32"/>
        </w:rPr>
        <w:t>1.一般公共服务支出(类)274.81万元,占79.23%。</w:t>
      </w:r>
    </w:p>
    <w:p w14:paraId="39D26D9D">
      <w:pPr>
        <w:spacing w:line="580" w:lineRule="exact"/>
        <w:ind w:firstLine="640"/>
        <w:jc w:val="both"/>
      </w:pPr>
      <w:r>
        <w:rPr>
          <w:rFonts w:ascii="仿宋_GB2312" w:hAnsi="仿宋_GB2312" w:eastAsia="仿宋_GB2312"/>
          <w:b w:val="0"/>
          <w:sz w:val="32"/>
        </w:rPr>
        <w:t>2.社会保障和就业支出(类)47.66万元,占13.74%。</w:t>
      </w:r>
    </w:p>
    <w:p w14:paraId="1996EAE0">
      <w:pPr>
        <w:spacing w:line="580" w:lineRule="exact"/>
        <w:ind w:firstLine="640"/>
        <w:jc w:val="both"/>
      </w:pPr>
      <w:r>
        <w:rPr>
          <w:rFonts w:ascii="仿宋_GB2312" w:hAnsi="仿宋_GB2312" w:eastAsia="仿宋_GB2312"/>
          <w:b w:val="0"/>
          <w:sz w:val="32"/>
        </w:rPr>
        <w:t>3.卫生健康支出(类)8.17万元,占2.36%。</w:t>
      </w:r>
    </w:p>
    <w:p w14:paraId="7970EA53">
      <w:pPr>
        <w:spacing w:line="580" w:lineRule="exact"/>
        <w:ind w:firstLine="640"/>
        <w:jc w:val="both"/>
      </w:pPr>
      <w:r>
        <w:rPr>
          <w:rFonts w:ascii="仿宋_GB2312" w:hAnsi="仿宋_GB2312" w:eastAsia="仿宋_GB2312"/>
          <w:b w:val="0"/>
          <w:sz w:val="32"/>
        </w:rPr>
        <w:t>4.住房保障支出(类)16.19万元,占4.67%。</w:t>
      </w:r>
    </w:p>
    <w:p w14:paraId="32BB3A74">
      <w:pPr>
        <w:spacing w:line="640" w:lineRule="exact"/>
        <w:ind w:firstLine="640"/>
        <w:jc w:val="both"/>
        <w:outlineLvl w:val="3"/>
      </w:pPr>
      <w:r>
        <w:rPr>
          <w:rFonts w:ascii="楷体_GB2312" w:hAnsi="楷体_GB2312" w:eastAsia="楷体_GB2312"/>
          <w:b/>
          <w:sz w:val="32"/>
        </w:rPr>
        <w:t>（三）一般公共预算财政拨款支出决算具体情况</w:t>
      </w:r>
    </w:p>
    <w:p w14:paraId="5E2E3C16">
      <w:pPr>
        <w:spacing w:line="580" w:lineRule="exact"/>
        <w:ind w:firstLine="640"/>
        <w:jc w:val="both"/>
      </w:pPr>
      <w:r>
        <w:rPr>
          <w:rFonts w:ascii="仿宋_GB2312" w:hAnsi="仿宋_GB2312" w:eastAsia="仿宋_GB2312"/>
          <w:b w:val="0"/>
          <w:sz w:val="32"/>
        </w:rPr>
        <w:t>1.一般公共服务支出(类)党委办公厅（室）及相关机构事务(款)行政运行(项):支出决算数为0.00万元，比上年决算减少129.39万元，下降100.00%,主要原因是：本年功能科目调整，人员经费本年在一般公共服务支出(类)党委办公厅（室）及相关机构事务(款)事业运行(项)科目列支，导致经费较上年减少。</w:t>
      </w:r>
    </w:p>
    <w:p w14:paraId="232AA253">
      <w:pPr>
        <w:spacing w:line="580" w:lineRule="exact"/>
        <w:ind w:firstLine="640"/>
        <w:jc w:val="both"/>
      </w:pPr>
      <w:r>
        <w:rPr>
          <w:rFonts w:ascii="仿宋_GB2312" w:hAnsi="仿宋_GB2312" w:eastAsia="仿宋_GB2312"/>
          <w:b w:val="0"/>
          <w:sz w:val="32"/>
        </w:rPr>
        <w:t>2.一般公共服务支出(类)党委办公厅（室）及相关机构事务(款)一般行政管理事务(项):支出决算数为0.00万元，比上年决算减少132.72万元，下降100.00%,主要原因是：本年功能科目调整，综合保障项目本年调整至一般公共服务支出(类)党委办公厅（室）及相关机构事务(款)其他党委办公厅（室）及相关机构事务支出(项)，导致经费较上年减少。</w:t>
      </w:r>
    </w:p>
    <w:p w14:paraId="23C665D9">
      <w:pPr>
        <w:spacing w:line="580" w:lineRule="exact"/>
        <w:ind w:firstLine="640"/>
        <w:jc w:val="both"/>
      </w:pPr>
      <w:r>
        <w:rPr>
          <w:rFonts w:ascii="仿宋_GB2312" w:hAnsi="仿宋_GB2312" w:eastAsia="仿宋_GB2312"/>
          <w:b w:val="0"/>
          <w:sz w:val="32"/>
        </w:rPr>
        <w:t>3.一般公共服务支出(类)党委办公厅（室）及相关机构事务(款)事业运行(项):支出决算数为154.44万元，比上年决算增加154.44万元，增长100.00%,主要原因是：本年功能科目调整，人员经费上年度在一般公共服务支出(类)党委办公厅（室）及相关机构事务(款)行政运行(项)</w:t>
      </w:r>
      <w:r>
        <w:rPr>
          <w:rFonts w:hint="eastAsia" w:ascii="仿宋_GB2312" w:hAnsi="仿宋_GB2312" w:eastAsia="仿宋_GB2312"/>
          <w:b w:val="0"/>
          <w:sz w:val="32"/>
          <w:lang w:val="en-US" w:eastAsia="zh-CN"/>
        </w:rPr>
        <w:t>科目</w:t>
      </w:r>
      <w:r>
        <w:rPr>
          <w:rFonts w:ascii="仿宋_GB2312" w:hAnsi="仿宋_GB2312" w:eastAsia="仿宋_GB2312"/>
          <w:b w:val="0"/>
          <w:sz w:val="32"/>
        </w:rPr>
        <w:t>列支，本年在</w:t>
      </w:r>
      <w:r>
        <w:rPr>
          <w:rFonts w:hint="eastAsia" w:ascii="仿宋_GB2312" w:hAnsi="仿宋_GB2312" w:eastAsia="仿宋_GB2312"/>
          <w:b w:val="0"/>
          <w:sz w:val="32"/>
          <w:lang w:val="en-US" w:eastAsia="zh-CN"/>
        </w:rPr>
        <w:t>本科目</w:t>
      </w:r>
      <w:r>
        <w:rPr>
          <w:rFonts w:ascii="仿宋_GB2312" w:hAnsi="仿宋_GB2312" w:eastAsia="仿宋_GB2312"/>
          <w:b w:val="0"/>
          <w:sz w:val="32"/>
        </w:rPr>
        <w:t>列支，导致经费较上年</w:t>
      </w:r>
      <w:r>
        <w:rPr>
          <w:rFonts w:hint="eastAsia" w:ascii="仿宋_GB2312" w:hAnsi="仿宋_GB2312" w:eastAsia="仿宋_GB2312"/>
          <w:b w:val="0"/>
          <w:sz w:val="32"/>
          <w:lang w:val="en-US" w:eastAsia="zh-CN"/>
        </w:rPr>
        <w:t>增加</w:t>
      </w:r>
      <w:r>
        <w:rPr>
          <w:rFonts w:ascii="仿宋_GB2312" w:hAnsi="仿宋_GB2312" w:eastAsia="仿宋_GB2312"/>
          <w:b w:val="0"/>
          <w:sz w:val="32"/>
        </w:rPr>
        <w:t>。</w:t>
      </w:r>
    </w:p>
    <w:p w14:paraId="372236C6">
      <w:pPr>
        <w:spacing w:line="580" w:lineRule="exact"/>
        <w:ind w:firstLine="640"/>
        <w:jc w:val="both"/>
      </w:pPr>
      <w:r>
        <w:rPr>
          <w:rFonts w:ascii="仿宋_GB2312" w:hAnsi="仿宋_GB2312" w:eastAsia="仿宋_GB2312"/>
          <w:b w:val="0"/>
          <w:sz w:val="32"/>
        </w:rPr>
        <w:t>4.一般公共服务支出(类)党委办公厅（室）及相关机构事务(款)其他党委办公厅（室）及相关机构事务支出(项):支出决算数为118.17万元，比上年决算增加118.17万元，增长100.00%,主要原因是：本年功能科目调整，综合保障项目上年在一般公共服务支出(类)党委办公厅（室）及相关机构事务(款)一般行政管理事务(项)科目列支，本年调整至本科目，因此经费增加。</w:t>
      </w:r>
    </w:p>
    <w:p w14:paraId="5A5AF08B">
      <w:pPr>
        <w:spacing w:line="580" w:lineRule="exact"/>
        <w:ind w:firstLine="640"/>
        <w:jc w:val="both"/>
      </w:pPr>
      <w:r>
        <w:rPr>
          <w:rFonts w:ascii="仿宋_GB2312" w:hAnsi="仿宋_GB2312" w:eastAsia="仿宋_GB2312"/>
          <w:b w:val="0"/>
          <w:sz w:val="32"/>
        </w:rPr>
        <w:t>5.一般公共服务支出(类)统战事务(款)宗教事务(项):支出决算数为2.20万元，比上年决算增加1.71万元，增长348.98%,主要原因是：本年增加生活补助经费，因此经费增加。</w:t>
      </w:r>
    </w:p>
    <w:p w14:paraId="612B9CBE">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19.33万元，比上年决算增加2.97万元，增长18.15%,主要原因是：本年在职人员增加，养老保险缴费较上年增加。</w:t>
      </w:r>
    </w:p>
    <w:p w14:paraId="232D59AF">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10.24万元，比上年决算增加10.24万元，增长100.00%,主要原因是：本年新增死亡人员，导致职业年金缴费支出增加。</w:t>
      </w:r>
    </w:p>
    <w:p w14:paraId="75A581F6">
      <w:pPr>
        <w:spacing w:line="580" w:lineRule="exact"/>
        <w:ind w:firstLine="640"/>
        <w:jc w:val="both"/>
      </w:pPr>
      <w:r>
        <w:rPr>
          <w:rFonts w:ascii="仿宋_GB2312" w:hAnsi="仿宋_GB2312" w:eastAsia="仿宋_GB2312"/>
          <w:b w:val="0"/>
          <w:sz w:val="32"/>
        </w:rPr>
        <w:t>8.社会保障和就业支出(类)抚恤(款)死亡抚恤(项):支出决算数为18.08万元，比上年决算增加18.08万元，增长100.00%,主要原因是：本年新增死亡人员，死亡抚恤支出增加。</w:t>
      </w:r>
    </w:p>
    <w:p w14:paraId="1BE990B5">
      <w:pPr>
        <w:spacing w:line="580" w:lineRule="exact"/>
        <w:ind w:firstLine="640"/>
        <w:jc w:val="both"/>
      </w:pPr>
      <w:r>
        <w:rPr>
          <w:rFonts w:ascii="仿宋_GB2312" w:hAnsi="仿宋_GB2312" w:eastAsia="仿宋_GB2312"/>
          <w:b w:val="0"/>
          <w:sz w:val="32"/>
        </w:rPr>
        <w:t>9.卫生健康支出(类)行政事业单位医疗(款)事业单位医疗(项):支出决算数为8.17万元，比上年决算增加1.22万元，增长17.55%,主要原因是：本年在职人员增加，事业单位医疗支出较上年增加。</w:t>
      </w:r>
    </w:p>
    <w:p w14:paraId="1FC1DED7">
      <w:pPr>
        <w:spacing w:line="580" w:lineRule="exact"/>
        <w:ind w:firstLine="640"/>
        <w:jc w:val="both"/>
      </w:pPr>
      <w:r>
        <w:rPr>
          <w:rFonts w:ascii="仿宋_GB2312" w:hAnsi="仿宋_GB2312" w:eastAsia="仿宋_GB2312"/>
          <w:b w:val="0"/>
          <w:sz w:val="32"/>
        </w:rPr>
        <w:t>10.住房保障支出(类)住房改革支出(款)住房公积金(项):支出决算数为16.19万元，比上年决算增加2.58万元，增长18.96%,主要原因是：本年在职人员增加，住房公积金支出较上年增加。</w:t>
      </w:r>
    </w:p>
    <w:p w14:paraId="5E5ACA72">
      <w:pPr>
        <w:spacing w:line="640" w:lineRule="exact"/>
        <w:ind w:firstLine="640"/>
        <w:jc w:val="both"/>
        <w:outlineLvl w:val="2"/>
      </w:pPr>
      <w:r>
        <w:rPr>
          <w:rFonts w:ascii="黑体" w:hAnsi="黑体" w:eastAsia="黑体"/>
          <w:sz w:val="32"/>
        </w:rPr>
        <w:t>六、一般公共预算财政拨款基本支出决算情况说明</w:t>
      </w:r>
    </w:p>
    <w:p w14:paraId="02F2CD53">
      <w:pPr>
        <w:spacing w:line="580" w:lineRule="exact"/>
        <w:ind w:firstLine="640"/>
        <w:jc w:val="both"/>
      </w:pPr>
      <w:r>
        <w:rPr>
          <w:rFonts w:ascii="仿宋_GB2312" w:hAnsi="仿宋_GB2312" w:eastAsia="仿宋_GB2312"/>
          <w:b w:val="0"/>
          <w:sz w:val="32"/>
        </w:rPr>
        <w:t>2024年度一般公共预算财政拨款基本支出228.65万元，其中：</w:t>
      </w:r>
      <w:r>
        <w:rPr>
          <w:rFonts w:ascii="仿宋_GB2312" w:hAnsi="仿宋_GB2312" w:eastAsia="仿宋_GB2312"/>
          <w:b/>
          <w:sz w:val="32"/>
        </w:rPr>
        <w:t>人员经费220.30万元，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包括：基本工资、津贴补贴、奖金、绩效工资、机关事业单位基本养老保险缴费、职业年金缴费、职工基本医疗保险缴费、其他社会保障缴费、住房公积金、抚恤金、其他对个人和家庭的补助。</w:t>
      </w:r>
    </w:p>
    <w:p w14:paraId="6E91D2FA">
      <w:pPr>
        <w:spacing w:line="580" w:lineRule="exact"/>
        <w:ind w:firstLine="640"/>
        <w:jc w:val="both"/>
      </w:pPr>
      <w:r>
        <w:rPr>
          <w:rFonts w:ascii="仿宋_GB2312" w:hAnsi="仿宋_GB2312" w:eastAsia="仿宋_GB2312"/>
          <w:b/>
          <w:sz w:val="32"/>
        </w:rPr>
        <w:t>公用经费8.35万元，</w:t>
      </w:r>
      <w:r>
        <w:rPr>
          <w:rFonts w:ascii="仿宋_GB2312" w:hAnsi="仿宋_GB2312" w:eastAsia="仿宋_GB2312"/>
          <w:b w:val="0"/>
          <w:sz w:val="32"/>
        </w:rPr>
        <w:t>包括：办公费、邮电费、差旅费、专用材料费、工会经费、公务用车运行维护费、其他商品和服务支出。</w:t>
      </w:r>
    </w:p>
    <w:p w14:paraId="2479A09B">
      <w:pPr>
        <w:spacing w:line="640" w:lineRule="exact"/>
        <w:ind w:firstLine="640"/>
        <w:jc w:val="both"/>
        <w:outlineLvl w:val="2"/>
      </w:pPr>
      <w:r>
        <w:rPr>
          <w:rFonts w:ascii="黑体" w:hAnsi="黑体" w:eastAsia="黑体"/>
          <w:sz w:val="32"/>
        </w:rPr>
        <w:t>七、政府性基金预算财政拨款收入支出决算情况说明</w:t>
      </w:r>
    </w:p>
    <w:p w14:paraId="70564FAC">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A2F70F6">
      <w:pPr>
        <w:spacing w:line="640" w:lineRule="exact"/>
        <w:ind w:firstLine="640"/>
        <w:jc w:val="both"/>
        <w:outlineLvl w:val="2"/>
      </w:pPr>
      <w:r>
        <w:rPr>
          <w:rFonts w:ascii="黑体" w:hAnsi="黑体" w:eastAsia="黑体"/>
          <w:sz w:val="32"/>
        </w:rPr>
        <w:t>八、国有资本经营预算财政拨款收入支出决算情况说明</w:t>
      </w:r>
    </w:p>
    <w:p w14:paraId="75E844A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B388A9F">
      <w:pPr>
        <w:spacing w:line="640" w:lineRule="exact"/>
        <w:ind w:firstLine="640"/>
        <w:jc w:val="both"/>
        <w:outlineLvl w:val="2"/>
      </w:pPr>
      <w:r>
        <w:rPr>
          <w:rFonts w:ascii="黑体" w:hAnsi="黑体" w:eastAsia="黑体"/>
          <w:sz w:val="32"/>
        </w:rPr>
        <w:t>九、财政拨款“三公”经费支出决算情况说明</w:t>
      </w:r>
    </w:p>
    <w:p w14:paraId="65254DEF">
      <w:pPr>
        <w:spacing w:line="580" w:lineRule="exact"/>
        <w:ind w:firstLine="640"/>
        <w:jc w:val="both"/>
      </w:pPr>
      <w:r>
        <w:rPr>
          <w:rFonts w:ascii="仿宋_GB2312" w:hAnsi="仿宋_GB2312" w:eastAsia="仿宋_GB2312"/>
          <w:b/>
          <w:sz w:val="32"/>
        </w:rPr>
        <w:t>2024年度财政拨款“三公”经费支出2.10万元，</w:t>
      </w:r>
      <w:r>
        <w:rPr>
          <w:rFonts w:ascii="仿宋_GB2312" w:hAnsi="仿宋_GB2312" w:eastAsia="仿宋_GB2312"/>
          <w:b w:val="0"/>
          <w:sz w:val="32"/>
        </w:rPr>
        <w:t>比上年减少1.02万元，下降32.69%，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2.10万元，占100.00%，比上年减少1.02万元，下降32.69%，主要原因是：严格落实中央八项规定精神，厉行节约，减少公务用车运行维护费。公务接待费支出0.00万元，占0.00%，比上年增加0.00万元，增长0.00%，主要原因是：2023年与2024年均未安排公务接待费支出。</w:t>
      </w:r>
    </w:p>
    <w:p w14:paraId="3DDE4715">
      <w:pPr>
        <w:spacing w:line="580" w:lineRule="exact"/>
        <w:ind w:firstLine="640"/>
        <w:jc w:val="both"/>
      </w:pPr>
      <w:r>
        <w:rPr>
          <w:rFonts w:ascii="仿宋_GB2312" w:hAnsi="仿宋_GB2312" w:eastAsia="仿宋_GB2312"/>
          <w:b/>
          <w:sz w:val="32"/>
        </w:rPr>
        <w:t>具体情况如下：</w:t>
      </w:r>
    </w:p>
    <w:p w14:paraId="40FD512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7933F7E">
      <w:pPr>
        <w:spacing w:line="580" w:lineRule="exact"/>
        <w:ind w:firstLine="640"/>
        <w:jc w:val="both"/>
      </w:pPr>
      <w:r>
        <w:rPr>
          <w:rFonts w:ascii="仿宋_GB2312" w:hAnsi="仿宋_GB2312" w:eastAsia="仿宋_GB2312"/>
          <w:b w:val="0"/>
          <w:sz w:val="32"/>
        </w:rPr>
        <w:t>公务用车购置及运行维护费2.10万元，其中：公务用车购置费0.00万元，公务用车运行维护费2.10万元。公务用车运行维护费开支内容包括车辆加油费、维修费、保险费、审车费、过路费。公务用车购置数0辆，公务用车保有量1辆。国有资产占用情况中固定资产车辆1辆，与公务用车保有量差异原因是：本单位固定资产车辆与公务用车保有量一致无差异。</w:t>
      </w:r>
    </w:p>
    <w:p w14:paraId="127C6FA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64898E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2.10万元，决算数2.10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2.10万元，决算数2.10万元，预决算差异率0.00%，主要原因是：严格按照预算执行，预决算无差异。公务接待费全年预算数0.00万元，决算数0.00万元，预决算差异率0.00%，主要原因是：本单位无公务接待费。</w:t>
      </w:r>
    </w:p>
    <w:p w14:paraId="3C9D2DB1">
      <w:pPr>
        <w:spacing w:line="640" w:lineRule="exact"/>
        <w:ind w:firstLine="640"/>
        <w:jc w:val="both"/>
        <w:outlineLvl w:val="2"/>
      </w:pPr>
      <w:r>
        <w:rPr>
          <w:rFonts w:ascii="黑体" w:hAnsi="黑体" w:eastAsia="黑体"/>
          <w:sz w:val="32"/>
        </w:rPr>
        <w:t>十、其他重要事项的情况说明</w:t>
      </w:r>
    </w:p>
    <w:p w14:paraId="18862369">
      <w:pPr>
        <w:spacing w:line="640" w:lineRule="exact"/>
        <w:ind w:firstLine="640"/>
        <w:jc w:val="both"/>
        <w:outlineLvl w:val="3"/>
      </w:pPr>
      <w:r>
        <w:rPr>
          <w:rFonts w:ascii="楷体_GB2312" w:hAnsi="楷体_GB2312" w:eastAsia="楷体_GB2312"/>
          <w:b/>
          <w:sz w:val="32"/>
        </w:rPr>
        <w:t>（一）机关运行经费及公用经费支出情况</w:t>
      </w:r>
    </w:p>
    <w:p w14:paraId="2FB12BF5">
      <w:pPr>
        <w:spacing w:line="580" w:lineRule="exact"/>
        <w:ind w:firstLine="640"/>
        <w:jc w:val="both"/>
      </w:pPr>
      <w:r>
        <w:rPr>
          <w:rFonts w:ascii="仿宋_GB2312" w:hAnsi="仿宋_GB2312" w:eastAsia="仿宋_GB2312"/>
          <w:b w:val="0"/>
          <w:sz w:val="32"/>
        </w:rPr>
        <w:t>2024年度喀什地区维稳指挥中心（事业单位）公用经费支出8.35万元，比上年增加1.95万元，增长30.47%，主要原因是：本年在职人员增加，办公费用增加。</w:t>
      </w:r>
    </w:p>
    <w:p w14:paraId="4A959DD6">
      <w:pPr>
        <w:spacing w:line="640" w:lineRule="exact"/>
        <w:ind w:firstLine="640"/>
        <w:jc w:val="both"/>
        <w:outlineLvl w:val="3"/>
      </w:pPr>
      <w:r>
        <w:rPr>
          <w:rFonts w:ascii="楷体_GB2312" w:hAnsi="楷体_GB2312" w:eastAsia="楷体_GB2312"/>
          <w:b/>
          <w:sz w:val="32"/>
        </w:rPr>
        <w:t>（二）政府采购情况</w:t>
      </w:r>
    </w:p>
    <w:p w14:paraId="6F13CFCA">
      <w:pPr>
        <w:spacing w:line="580" w:lineRule="exact"/>
        <w:ind w:firstLine="640"/>
        <w:jc w:val="both"/>
      </w:pPr>
      <w:r>
        <w:rPr>
          <w:rFonts w:ascii="仿宋_GB2312" w:hAnsi="仿宋_GB2312" w:eastAsia="仿宋_GB2312"/>
          <w:b w:val="0"/>
          <w:sz w:val="32"/>
        </w:rPr>
        <w:t>2024年度政府采购支出总额30.97万元，其中：政府采购货物支出23.50万元、政府采购工程支出0.00万元、政府采购服务支出7.46万元。</w:t>
      </w:r>
    </w:p>
    <w:p w14:paraId="021BECFA">
      <w:pPr>
        <w:spacing w:line="580" w:lineRule="exact"/>
        <w:ind w:firstLine="640"/>
        <w:jc w:val="both"/>
      </w:pPr>
      <w:r>
        <w:rPr>
          <w:rFonts w:ascii="仿宋_GB2312" w:hAnsi="仿宋_GB2312" w:eastAsia="仿宋_GB2312"/>
          <w:b w:val="0"/>
          <w:sz w:val="32"/>
        </w:rPr>
        <w:t>授予中小企业合同金额30.97万元，占政府采购支出总额的100.00%，其中：授予小微企业合同金额30.97万元，占政府采购支出总额的100.00%。</w:t>
      </w:r>
    </w:p>
    <w:p w14:paraId="41364B49">
      <w:pPr>
        <w:spacing w:line="640" w:lineRule="exact"/>
        <w:ind w:firstLine="640"/>
        <w:jc w:val="both"/>
        <w:outlineLvl w:val="3"/>
      </w:pPr>
      <w:r>
        <w:rPr>
          <w:rFonts w:ascii="楷体_GB2312" w:hAnsi="楷体_GB2312" w:eastAsia="楷体_GB2312"/>
          <w:b/>
          <w:sz w:val="32"/>
        </w:rPr>
        <w:t>（三）国有资产占用情况说明</w:t>
      </w:r>
    </w:p>
    <w:p w14:paraId="2F3AA75A">
      <w:pPr>
        <w:spacing w:line="580" w:lineRule="exact"/>
        <w:ind w:firstLine="640"/>
        <w:jc w:val="both"/>
      </w:pPr>
      <w:r>
        <w:rPr>
          <w:rFonts w:ascii="仿宋_GB2312" w:hAnsi="仿宋_GB2312" w:eastAsia="仿宋_GB2312"/>
          <w:b w:val="0"/>
          <w:sz w:val="32"/>
        </w:rPr>
        <w:t>截至2024年12月31日，房屋0.00平方米，价值0.00万元。车辆1辆，价值28.30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07B92D9D">
      <w:pPr>
        <w:spacing w:line="640" w:lineRule="exact"/>
        <w:ind w:firstLine="640"/>
        <w:jc w:val="both"/>
        <w:outlineLvl w:val="2"/>
      </w:pPr>
      <w:r>
        <w:rPr>
          <w:rFonts w:ascii="黑体" w:hAnsi="黑体" w:eastAsia="黑体"/>
          <w:sz w:val="32"/>
        </w:rPr>
        <w:t>十一、预算绩效的情况说明</w:t>
      </w:r>
    </w:p>
    <w:p w14:paraId="09B6A66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522.04万元，实际执行总额425.73万元；预算绩效评价项目5个，全年预算数522.04万元，全年执行数425.73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项目绩效涉密不予公开。发现的问题及原因：项目绩效涉密不予公开。下一步改进措施：项目绩效涉密不予公开。</w:t>
      </w:r>
    </w:p>
    <w:p w14:paraId="462D23DE">
      <w:r>
        <w:br w:type="page"/>
      </w:r>
    </w:p>
    <w:p w14:paraId="7499FF63">
      <w:pPr>
        <w:spacing w:line="640" w:lineRule="exact"/>
        <w:ind w:firstLine="640"/>
        <w:jc w:val="both"/>
        <w:outlineLvl w:val="2"/>
      </w:pPr>
      <w:r>
        <w:rPr>
          <w:rFonts w:ascii="黑体" w:hAnsi="黑体" w:eastAsia="黑体"/>
          <w:sz w:val="32"/>
        </w:rPr>
        <w:t>十二、其他需说明的事项</w:t>
      </w:r>
    </w:p>
    <w:p w14:paraId="43D8CE78">
      <w:pPr>
        <w:spacing w:line="580" w:lineRule="exact"/>
        <w:ind w:firstLine="640"/>
        <w:jc w:val="both"/>
      </w:pPr>
      <w:r>
        <w:rPr>
          <w:rFonts w:ascii="仿宋_GB2312" w:hAnsi="仿宋_GB2312" w:eastAsia="仿宋_GB2312"/>
          <w:b w:val="0"/>
          <w:sz w:val="32"/>
        </w:rPr>
        <w:t>本年度本单位整体绩效自评表不予公开。</w:t>
      </w:r>
    </w:p>
    <w:p w14:paraId="50668257">
      <w:pPr>
        <w:spacing w:line="580" w:lineRule="exact"/>
        <w:ind w:firstLine="640"/>
        <w:jc w:val="both"/>
      </w:pPr>
      <w:r>
        <w:rPr>
          <w:rFonts w:ascii="仿宋_GB2312" w:hAnsi="仿宋_GB2312" w:eastAsia="仿宋_GB2312"/>
          <w:b w:val="0"/>
          <w:sz w:val="32"/>
        </w:rPr>
        <w:t>本年本单位</w:t>
      </w:r>
      <w:r>
        <w:rPr>
          <w:rFonts w:hint="eastAsia" w:ascii="仿宋_GB2312" w:hAnsi="仿宋_GB2312" w:eastAsia="仿宋_GB2312"/>
          <w:b w:val="0"/>
          <w:sz w:val="32"/>
          <w:lang w:val="en-US" w:eastAsia="zh-CN"/>
        </w:rPr>
        <w:t>涉密</w:t>
      </w:r>
      <w:r>
        <w:rPr>
          <w:rFonts w:ascii="仿宋_GB2312" w:hAnsi="仿宋_GB2312" w:eastAsia="仿宋_GB2312"/>
          <w:b w:val="0"/>
          <w:sz w:val="32"/>
        </w:rPr>
        <w:t>项目5个，全年预算数522.04万元，全年执行数425.73万元。</w:t>
      </w:r>
      <w:bookmarkStart w:id="0" w:name="_GoBack"/>
      <w:bookmarkEnd w:id="0"/>
    </w:p>
    <w:p w14:paraId="7791FB80">
      <w:r>
        <w:br w:type="page"/>
      </w:r>
    </w:p>
    <w:p w14:paraId="6213C2F4">
      <w:pPr>
        <w:spacing w:line="240" w:lineRule="auto"/>
        <w:jc w:val="center"/>
        <w:outlineLvl w:val="1"/>
      </w:pPr>
      <w:r>
        <w:rPr>
          <w:rFonts w:ascii="黑体" w:hAnsi="黑体" w:eastAsia="黑体"/>
          <w:sz w:val="32"/>
        </w:rPr>
        <w:t>第三部分 专业名词解释</w:t>
      </w:r>
    </w:p>
    <w:p w14:paraId="5A8FC39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3CCAD7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C4DD12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DBF151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B79844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DA5930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762722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9A565C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EDB916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B93D4A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3B82E4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793217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D72E83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2FE72D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01FA87E">
      <w:r>
        <w:br w:type="page"/>
      </w:r>
    </w:p>
    <w:p w14:paraId="48143F93">
      <w:pPr>
        <w:spacing w:line="240" w:lineRule="auto"/>
        <w:jc w:val="center"/>
        <w:outlineLvl w:val="1"/>
      </w:pPr>
      <w:r>
        <w:rPr>
          <w:rFonts w:ascii="黑体" w:hAnsi="黑体" w:eastAsia="黑体"/>
          <w:sz w:val="32"/>
        </w:rPr>
        <w:t>第四部分 部门决算报表（见附表）</w:t>
      </w:r>
    </w:p>
    <w:p w14:paraId="05C47CD7">
      <w:pPr>
        <w:spacing w:line="240" w:lineRule="auto"/>
        <w:ind w:firstLine="640"/>
        <w:jc w:val="both"/>
      </w:pPr>
      <w:r>
        <w:rPr>
          <w:rFonts w:ascii="仿宋_GB2312" w:hAnsi="仿宋_GB2312" w:eastAsia="仿宋_GB2312"/>
          <w:b w:val="0"/>
          <w:sz w:val="32"/>
        </w:rPr>
        <w:t>一、《收入支出决算总表》</w:t>
      </w:r>
    </w:p>
    <w:p w14:paraId="7D0B9E4A">
      <w:pPr>
        <w:spacing w:line="240" w:lineRule="auto"/>
        <w:ind w:firstLine="640"/>
        <w:jc w:val="both"/>
      </w:pPr>
      <w:r>
        <w:rPr>
          <w:rFonts w:ascii="仿宋_GB2312" w:hAnsi="仿宋_GB2312" w:eastAsia="仿宋_GB2312"/>
          <w:b w:val="0"/>
          <w:sz w:val="32"/>
        </w:rPr>
        <w:t>二、《收入决算表》</w:t>
      </w:r>
    </w:p>
    <w:p w14:paraId="6D655410">
      <w:pPr>
        <w:spacing w:line="240" w:lineRule="auto"/>
        <w:ind w:firstLine="640"/>
        <w:jc w:val="both"/>
      </w:pPr>
      <w:r>
        <w:rPr>
          <w:rFonts w:ascii="仿宋_GB2312" w:hAnsi="仿宋_GB2312" w:eastAsia="仿宋_GB2312"/>
          <w:b w:val="0"/>
          <w:sz w:val="32"/>
        </w:rPr>
        <w:t>三、《支出决算表》</w:t>
      </w:r>
    </w:p>
    <w:p w14:paraId="571DAB0C">
      <w:pPr>
        <w:spacing w:line="240" w:lineRule="auto"/>
        <w:ind w:firstLine="640"/>
        <w:jc w:val="both"/>
      </w:pPr>
      <w:r>
        <w:rPr>
          <w:rFonts w:ascii="仿宋_GB2312" w:hAnsi="仿宋_GB2312" w:eastAsia="仿宋_GB2312"/>
          <w:b w:val="0"/>
          <w:sz w:val="32"/>
        </w:rPr>
        <w:t>四、《财政拨款收入支出决算总表》</w:t>
      </w:r>
    </w:p>
    <w:p w14:paraId="037132EA">
      <w:pPr>
        <w:spacing w:line="240" w:lineRule="auto"/>
        <w:ind w:firstLine="640"/>
        <w:jc w:val="both"/>
      </w:pPr>
      <w:r>
        <w:rPr>
          <w:rFonts w:ascii="仿宋_GB2312" w:hAnsi="仿宋_GB2312" w:eastAsia="仿宋_GB2312"/>
          <w:b w:val="0"/>
          <w:sz w:val="32"/>
        </w:rPr>
        <w:t>五、《一般公共预算财政拨款支出决算表》</w:t>
      </w:r>
    </w:p>
    <w:p w14:paraId="498E3187">
      <w:pPr>
        <w:spacing w:line="240" w:lineRule="auto"/>
        <w:ind w:firstLine="640"/>
        <w:jc w:val="both"/>
      </w:pPr>
      <w:r>
        <w:rPr>
          <w:rFonts w:ascii="仿宋_GB2312" w:hAnsi="仿宋_GB2312" w:eastAsia="仿宋_GB2312"/>
          <w:b w:val="0"/>
          <w:sz w:val="32"/>
        </w:rPr>
        <w:t>六、《一般公共预算财政拨款基本支出决算表》</w:t>
      </w:r>
    </w:p>
    <w:p w14:paraId="4FD43E73">
      <w:pPr>
        <w:spacing w:line="240" w:lineRule="auto"/>
        <w:ind w:firstLine="640"/>
        <w:jc w:val="both"/>
      </w:pPr>
      <w:r>
        <w:rPr>
          <w:rFonts w:ascii="仿宋_GB2312" w:hAnsi="仿宋_GB2312" w:eastAsia="仿宋_GB2312"/>
          <w:b w:val="0"/>
          <w:sz w:val="32"/>
        </w:rPr>
        <w:t>七、《政府性基金预算财政拨款收入支出决算表》</w:t>
      </w:r>
    </w:p>
    <w:p w14:paraId="47CC1F26">
      <w:pPr>
        <w:spacing w:line="240" w:lineRule="auto"/>
        <w:ind w:firstLine="640"/>
        <w:jc w:val="both"/>
      </w:pPr>
      <w:r>
        <w:rPr>
          <w:rFonts w:ascii="仿宋_GB2312" w:hAnsi="仿宋_GB2312" w:eastAsia="仿宋_GB2312"/>
          <w:b w:val="0"/>
          <w:sz w:val="32"/>
        </w:rPr>
        <w:t>八、《国有资本经营预算财政拨款收入支出决算表》</w:t>
      </w:r>
    </w:p>
    <w:p w14:paraId="69688D06">
      <w:pPr>
        <w:spacing w:line="240" w:lineRule="auto"/>
        <w:ind w:firstLine="640"/>
        <w:jc w:val="both"/>
      </w:pPr>
      <w:r>
        <w:rPr>
          <w:rFonts w:ascii="仿宋_GB2312" w:hAnsi="仿宋_GB2312" w:eastAsia="仿宋_GB2312"/>
          <w:b w:val="0"/>
          <w:sz w:val="32"/>
        </w:rPr>
        <w:t>九、《财政拨款“三公”经费支出决算表》</w:t>
      </w:r>
    </w:p>
    <w:p w14:paraId="535A01EC">
      <w:pPr>
        <w:spacing w:line="240" w:lineRule="auto"/>
        <w:ind w:firstLine="640"/>
        <w:jc w:val="both"/>
      </w:pPr>
    </w:p>
    <w:p w14:paraId="34EF90EE">
      <w:pPr>
        <w:spacing w:line="240" w:lineRule="auto"/>
        <w:ind w:firstLine="640"/>
        <w:jc w:val="both"/>
      </w:pPr>
    </w:p>
    <w:p w14:paraId="404825D1">
      <w:pPr>
        <w:spacing w:line="240" w:lineRule="auto"/>
        <w:ind w:firstLine="640"/>
        <w:jc w:val="both"/>
      </w:pPr>
    </w:p>
    <w:p w14:paraId="40E9C37C">
      <w:pPr>
        <w:spacing w:line="240" w:lineRule="auto"/>
        <w:ind w:firstLine="640"/>
        <w:jc w:val="both"/>
      </w:pPr>
    </w:p>
    <w:p w14:paraId="114F1CA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68B4F9D-B0AC-478E-BFCE-76CC6AA4B12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301D015F-2361-4D97-94C2-703FF4BAD75A}"/>
  </w:font>
  <w:font w:name="方正小标宋_GBK">
    <w:panose1 w:val="02000000000000000000"/>
    <w:charset w:val="86"/>
    <w:family w:val="script"/>
    <w:pitch w:val="default"/>
    <w:sig w:usb0="A00002BF" w:usb1="38CF7CFA" w:usb2="00082016" w:usb3="00000000" w:csb0="00040001" w:csb1="00000000"/>
    <w:embedRegular r:id="rId3" w:fontKey="{F7D77725-63AD-4A7C-9F7D-D26F039DF4E1}"/>
  </w:font>
  <w:font w:name="楷体_GB2312">
    <w:altName w:val="楷体"/>
    <w:panose1 w:val="00000000000000000000"/>
    <w:charset w:val="00"/>
    <w:family w:val="auto"/>
    <w:pitch w:val="default"/>
    <w:sig w:usb0="00000000" w:usb1="00000000" w:usb2="00000000" w:usb3="00000000" w:csb0="00000000" w:csb1="00000000"/>
    <w:embedRegular r:id="rId4" w:fontKey="{AA7FC7C4-2B79-48CF-8BC8-EABD34D2AFB9}"/>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C4E1686"/>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1954A1"/>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B332E"/>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BE0D61"/>
    <w:rsid w:val="77ED6F44"/>
    <w:rsid w:val="795A0A34"/>
    <w:rsid w:val="7A0D3BC7"/>
    <w:rsid w:val="7A3A3CDB"/>
    <w:rsid w:val="7F4E740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5425</Words>
  <Characters>6131</Characters>
  <Lines>0</Lines>
  <Paragraphs>0</Paragraphs>
  <TotalTime>3</TotalTime>
  <ScaleCrop>false</ScaleCrop>
  <LinksUpToDate>false</LinksUpToDate>
  <CharactersWithSpaces>6141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2025-09-29T03:04:48Z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