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F68E6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喀什地区行政公署驻乌鲁木齐办事处2024</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E10727">
      <w:r>
        <w:br w:type="page"/>
      </w:r>
    </w:p>
    <w:p w14:paraId="455523D8">
      <w:pPr>
        <w:spacing w:line="640" w:lineRule="exact"/>
        <w:jc w:val="center"/>
        <w:outlineLvl w:val="1"/>
      </w:pPr>
      <w:r>
        <w:rPr>
          <w:rFonts w:ascii="黑体" w:hAnsi="黑体" w:eastAsia="黑体"/>
          <w:sz w:val="32"/>
        </w:rPr>
        <w:t>第一部分 部门概况</w:t>
      </w:r>
    </w:p>
    <w:p w14:paraId="5C94B286">
      <w:pPr>
        <w:spacing w:line="640" w:lineRule="exact"/>
        <w:ind w:firstLine="640"/>
        <w:jc w:val="both"/>
        <w:outlineLvl w:val="2"/>
      </w:pPr>
      <w:r>
        <w:rPr>
          <w:rFonts w:ascii="黑体" w:hAnsi="黑体" w:eastAsia="黑体"/>
          <w:sz w:val="32"/>
        </w:rPr>
        <w:t>一、主要职能</w:t>
      </w:r>
    </w:p>
    <w:p w14:paraId="64761D51">
      <w:pPr>
        <w:spacing w:line="580" w:lineRule="exact"/>
        <w:ind w:firstLine="640"/>
        <w:jc w:val="both"/>
      </w:pPr>
      <w:r>
        <w:rPr>
          <w:rFonts w:ascii="仿宋_GB2312" w:hAnsi="仿宋_GB2312" w:eastAsia="仿宋_GB2312"/>
          <w:sz w:val="32"/>
        </w:rPr>
        <w:t>1、加大对喀什地区的宣传力度，积极收集和传递政务信息，为地委、行署决策提供参考。</w:t>
      </w:r>
    </w:p>
    <w:p w14:paraId="0B721AB5">
      <w:pPr>
        <w:spacing w:line="580" w:lineRule="exact"/>
        <w:ind w:firstLine="640"/>
        <w:jc w:val="both"/>
      </w:pPr>
      <w:r>
        <w:rPr>
          <w:rFonts w:ascii="仿宋_GB2312" w:hAnsi="仿宋_GB2312" w:eastAsia="仿宋_GB2312"/>
          <w:sz w:val="32"/>
        </w:rPr>
        <w:t>2、承担地区党政领导在乌鲁木齐市公务活动期间的服务保障工作。</w:t>
      </w:r>
    </w:p>
    <w:p w14:paraId="2BFED2FA">
      <w:pPr>
        <w:spacing w:line="580" w:lineRule="exact"/>
        <w:ind w:firstLine="640"/>
        <w:jc w:val="both"/>
      </w:pPr>
      <w:r>
        <w:rPr>
          <w:rFonts w:ascii="仿宋_GB2312" w:hAnsi="仿宋_GB2312" w:eastAsia="仿宋_GB2312"/>
          <w:sz w:val="32"/>
        </w:rPr>
        <w:t>3、发挥桥梁与纽带作用，协助有关部门做好招</w:t>
      </w:r>
      <w:r>
        <w:rPr>
          <w:rFonts w:hint="eastAsia" w:ascii="仿宋_GB2312" w:hAnsi="仿宋_GB2312" w:eastAsia="仿宋_GB2312"/>
          <w:sz w:val="32"/>
          <w:lang w:eastAsia="zh-CN"/>
        </w:rPr>
        <w:t>商引资</w:t>
      </w:r>
      <w:r>
        <w:rPr>
          <w:rFonts w:ascii="仿宋_GB2312" w:hAnsi="仿宋_GB2312" w:eastAsia="仿宋_GB2312"/>
          <w:sz w:val="32"/>
        </w:rPr>
        <w:t>、项目洽谈、经济技术协作与交流工作、对口援助等工作的联络协调和促进工作。</w:t>
      </w:r>
    </w:p>
    <w:p w14:paraId="05FA554D">
      <w:pPr>
        <w:spacing w:line="580" w:lineRule="exact"/>
        <w:ind w:firstLine="640"/>
        <w:jc w:val="both"/>
      </w:pPr>
      <w:r>
        <w:rPr>
          <w:rFonts w:ascii="仿宋_GB2312" w:hAnsi="仿宋_GB2312" w:eastAsia="仿宋_GB2312"/>
          <w:sz w:val="32"/>
        </w:rPr>
        <w:t>4、协助地区局和相关县市处理喀什地区在乌鲁木齐市的工作。</w:t>
      </w:r>
    </w:p>
    <w:p w14:paraId="1DDDEDA5">
      <w:pPr>
        <w:spacing w:line="580" w:lineRule="exact"/>
        <w:ind w:firstLine="640"/>
        <w:jc w:val="both"/>
      </w:pPr>
      <w:r>
        <w:rPr>
          <w:rFonts w:ascii="仿宋_GB2312" w:hAnsi="仿宋_GB2312" w:eastAsia="仿宋_GB2312"/>
          <w:sz w:val="32"/>
        </w:rPr>
        <w:t>5、积极参与驻地社会管理和公共服务工作，配合乌鲁木齐市有关单位做好首府相关工作。</w:t>
      </w:r>
    </w:p>
    <w:p w14:paraId="56CF70B8">
      <w:pPr>
        <w:spacing w:line="580" w:lineRule="exact"/>
        <w:ind w:firstLine="640"/>
        <w:jc w:val="both"/>
      </w:pPr>
      <w:r>
        <w:rPr>
          <w:rFonts w:ascii="仿宋_GB2312" w:hAnsi="仿宋_GB2312" w:eastAsia="仿宋_GB2312"/>
          <w:sz w:val="32"/>
        </w:rPr>
        <w:t>6、完成行署办公室交办的其他任务。</w:t>
      </w:r>
    </w:p>
    <w:p w14:paraId="0C1CC96A">
      <w:pPr>
        <w:spacing w:line="640" w:lineRule="exact"/>
        <w:ind w:firstLine="640"/>
        <w:jc w:val="both"/>
        <w:outlineLvl w:val="2"/>
      </w:pPr>
      <w:r>
        <w:rPr>
          <w:rFonts w:ascii="黑体" w:hAnsi="黑体" w:eastAsia="黑体"/>
          <w:sz w:val="32"/>
        </w:rPr>
        <w:t>二、机构设置及人员情况</w:t>
      </w:r>
    </w:p>
    <w:p w14:paraId="6F1FBE61">
      <w:pPr>
        <w:spacing w:line="580" w:lineRule="exact"/>
        <w:ind w:firstLine="640"/>
        <w:jc w:val="both"/>
      </w:pPr>
      <w:r>
        <w:rPr>
          <w:rFonts w:ascii="仿宋_GB2312" w:hAnsi="仿宋_GB2312" w:eastAsia="仿宋_GB2312"/>
          <w:sz w:val="32"/>
        </w:rPr>
        <w:t>喀什地区行政公署驻乌鲁木齐办事处2024年度，实有人数17人，其中：在职人员12人，增加0人；离休人员0人，增加0人；退休人员5人,增加0人。</w:t>
      </w:r>
    </w:p>
    <w:p w14:paraId="36CC63C1">
      <w:pPr>
        <w:spacing w:line="580" w:lineRule="exact"/>
        <w:ind w:firstLine="640"/>
        <w:jc w:val="both"/>
      </w:pPr>
      <w:r>
        <w:rPr>
          <w:rFonts w:ascii="仿宋_GB2312" w:hAnsi="仿宋_GB2312" w:eastAsia="仿宋_GB2312"/>
          <w:sz w:val="32"/>
        </w:rPr>
        <w:t>喀什地区行政公署驻乌鲁木齐办事处无下属预算单位，下设4个科室，分别是：财务科、办公室、信访科、服务科。</w:t>
      </w:r>
    </w:p>
    <w:p w14:paraId="22C81223">
      <w:r>
        <w:br w:type="page"/>
      </w:r>
    </w:p>
    <w:p w14:paraId="5DAC780D">
      <w:pPr>
        <w:spacing w:line="240" w:lineRule="auto"/>
        <w:jc w:val="center"/>
        <w:outlineLvl w:val="1"/>
      </w:pPr>
      <w:r>
        <w:rPr>
          <w:rFonts w:ascii="黑体" w:hAnsi="黑体" w:eastAsia="黑体"/>
          <w:sz w:val="32"/>
        </w:rPr>
        <w:t>第二部分 部门决算情况说明</w:t>
      </w:r>
    </w:p>
    <w:p w14:paraId="5B8E61DC">
      <w:pPr>
        <w:spacing w:line="640" w:lineRule="exact"/>
        <w:ind w:firstLine="640"/>
        <w:jc w:val="both"/>
        <w:outlineLvl w:val="2"/>
      </w:pPr>
      <w:r>
        <w:rPr>
          <w:rFonts w:ascii="黑体" w:hAnsi="黑体" w:eastAsia="黑体"/>
          <w:sz w:val="32"/>
        </w:rPr>
        <w:t>一、收入支出决算总体情况说明</w:t>
      </w:r>
    </w:p>
    <w:p w14:paraId="3351F988">
      <w:pPr>
        <w:spacing w:line="580" w:lineRule="exact"/>
        <w:ind w:firstLine="640"/>
        <w:jc w:val="both"/>
      </w:pPr>
      <w:r>
        <w:rPr>
          <w:rFonts w:ascii="仿宋_GB2312" w:hAnsi="仿宋_GB2312" w:eastAsia="仿宋_GB2312"/>
          <w:b/>
          <w:sz w:val="32"/>
        </w:rPr>
        <w:t>2024年度收入总计628.13万元，</w:t>
      </w:r>
      <w:r>
        <w:rPr>
          <w:rFonts w:ascii="仿宋_GB2312" w:hAnsi="仿宋_GB2312" w:eastAsia="仿宋_GB2312"/>
          <w:b w:val="0"/>
          <w:sz w:val="32"/>
        </w:rPr>
        <w:t>其中：本年收入合计579.22万元，使用非财政拨款结余（含专用结余）0.00万元，年初结转和结余48.91万元。</w:t>
      </w:r>
    </w:p>
    <w:p w14:paraId="4D8B7F89">
      <w:pPr>
        <w:spacing w:line="580" w:lineRule="exact"/>
        <w:ind w:firstLine="640"/>
        <w:jc w:val="both"/>
      </w:pPr>
      <w:r>
        <w:rPr>
          <w:rFonts w:ascii="仿宋_GB2312" w:hAnsi="仿宋_GB2312" w:eastAsia="仿宋_GB2312"/>
          <w:b/>
          <w:sz w:val="32"/>
        </w:rPr>
        <w:t>2024年度支出总计628.13万元，</w:t>
      </w:r>
      <w:r>
        <w:rPr>
          <w:rFonts w:ascii="仿宋_GB2312" w:hAnsi="仿宋_GB2312" w:eastAsia="仿宋_GB2312"/>
          <w:b w:val="0"/>
          <w:sz w:val="32"/>
        </w:rPr>
        <w:t>其中：本年支出合计578.13万元，结余分配0.00万元，年末结转和结余50.00万元。</w:t>
      </w:r>
    </w:p>
    <w:p w14:paraId="070091D9">
      <w:pPr>
        <w:spacing w:line="580" w:lineRule="exact"/>
        <w:ind w:firstLine="640"/>
        <w:jc w:val="both"/>
      </w:pPr>
      <w:r>
        <w:rPr>
          <w:rFonts w:ascii="仿宋_GB2312" w:hAnsi="仿宋_GB2312" w:eastAsia="仿宋_GB2312"/>
          <w:b w:val="0"/>
          <w:sz w:val="32"/>
        </w:rPr>
        <w:t>收入支出总体与上年相比，增加43.81万元，增长7.50%，主要原因是：一</w:t>
      </w:r>
      <w:r>
        <w:rPr>
          <w:rFonts w:hint="eastAsia" w:ascii="仿宋_GB2312" w:hAnsi="仿宋_GB2312" w:eastAsia="仿宋_GB2312"/>
          <w:b w:val="0"/>
          <w:sz w:val="32"/>
          <w:lang w:eastAsia="zh-CN"/>
        </w:rPr>
        <w:t>是</w:t>
      </w:r>
      <w:r>
        <w:rPr>
          <w:rFonts w:ascii="仿宋_GB2312" w:hAnsi="仿宋_GB2312" w:eastAsia="仿宋_GB2312"/>
          <w:b w:val="0"/>
          <w:sz w:val="32"/>
        </w:rPr>
        <w:t>根据乌鲁木齐《市发展和改革委员会市城市管理局关于调整乌鲁木齐市非居民集中供暖价格的通知》(市发改规(2024]9号</w:t>
      </w:r>
      <w:r>
        <w:rPr>
          <w:rFonts w:hint="eastAsia" w:ascii="仿宋_GB2312" w:hAnsi="仿宋_GB2312" w:eastAsia="仿宋_GB2312"/>
          <w:b w:val="0"/>
          <w:sz w:val="32"/>
          <w:lang w:eastAsia="zh-CN"/>
        </w:rPr>
        <w:t>）</w:t>
      </w:r>
      <w:r>
        <w:rPr>
          <w:rFonts w:ascii="仿宋_GB2312" w:hAnsi="仿宋_GB2312" w:eastAsia="仿宋_GB2312"/>
          <w:b w:val="0"/>
          <w:sz w:val="32"/>
        </w:rPr>
        <w:t>办公取暖标准提高至31元/㎡，增加取暖费；二是增加专项组流管办工作经费。</w:t>
      </w:r>
    </w:p>
    <w:p w14:paraId="2A0099A2">
      <w:pPr>
        <w:spacing w:line="640" w:lineRule="exact"/>
        <w:ind w:firstLine="640"/>
        <w:jc w:val="both"/>
        <w:outlineLvl w:val="2"/>
      </w:pPr>
      <w:r>
        <w:rPr>
          <w:rFonts w:ascii="黑体" w:hAnsi="黑体" w:eastAsia="黑体"/>
          <w:sz w:val="32"/>
        </w:rPr>
        <w:t>二、收入决算情况说明</w:t>
      </w:r>
    </w:p>
    <w:p w14:paraId="05CDCBAB">
      <w:pPr>
        <w:spacing w:line="580" w:lineRule="exact"/>
        <w:ind w:firstLine="640"/>
        <w:jc w:val="both"/>
      </w:pPr>
      <w:r>
        <w:rPr>
          <w:rFonts w:ascii="仿宋_GB2312" w:hAnsi="仿宋_GB2312" w:eastAsia="仿宋_GB2312"/>
          <w:b/>
          <w:sz w:val="32"/>
        </w:rPr>
        <w:t>本年收入579.22万元，</w:t>
      </w:r>
      <w:r>
        <w:rPr>
          <w:rFonts w:ascii="仿宋_GB2312" w:hAnsi="仿宋_GB2312" w:eastAsia="仿宋_GB2312"/>
          <w:b w:val="0"/>
          <w:sz w:val="32"/>
        </w:rPr>
        <w:t>其中：财政拨款收入506.93万元，占87.52%；上级补助收入0.00万元，占0.00%；事业收入0.00万元，占0.00%；经营收入0.00万元，占0.00%；附属单位上缴收入0.00万元，占0.00%；其他收入72.29万元，占12.48%。</w:t>
      </w:r>
    </w:p>
    <w:p w14:paraId="76B99A37">
      <w:pPr>
        <w:spacing w:line="640" w:lineRule="exact"/>
        <w:ind w:firstLine="640"/>
        <w:jc w:val="both"/>
        <w:outlineLvl w:val="2"/>
      </w:pPr>
      <w:r>
        <w:rPr>
          <w:rFonts w:ascii="黑体" w:hAnsi="黑体" w:eastAsia="黑体"/>
          <w:sz w:val="32"/>
        </w:rPr>
        <w:t>三、支出决算情况说明</w:t>
      </w:r>
    </w:p>
    <w:p w14:paraId="082F85E0">
      <w:pPr>
        <w:spacing w:line="580" w:lineRule="exact"/>
        <w:ind w:firstLine="640"/>
        <w:jc w:val="both"/>
      </w:pPr>
      <w:r>
        <w:rPr>
          <w:rFonts w:ascii="仿宋_GB2312" w:hAnsi="仿宋_GB2312" w:eastAsia="仿宋_GB2312"/>
          <w:b/>
          <w:sz w:val="32"/>
        </w:rPr>
        <w:t>本年支出578.13万元，</w:t>
      </w:r>
      <w:r>
        <w:rPr>
          <w:rFonts w:ascii="仿宋_GB2312" w:hAnsi="仿宋_GB2312" w:eastAsia="仿宋_GB2312"/>
          <w:b w:val="0"/>
          <w:sz w:val="32"/>
        </w:rPr>
        <w:t>其中：基本支出336.02万元，占58.12%；项目支出242.12万元，占41.88%；上缴上级支出0.00万元，占0.00%；经营支出0.00万元，占0.00%；对附属单位补助支出0.00万元，占0.00%。</w:t>
      </w:r>
    </w:p>
    <w:p w14:paraId="008CCBC3">
      <w:pPr>
        <w:spacing w:line="640" w:lineRule="exact"/>
        <w:ind w:firstLine="640"/>
        <w:jc w:val="both"/>
        <w:outlineLvl w:val="2"/>
      </w:pPr>
      <w:r>
        <w:rPr>
          <w:rFonts w:ascii="黑体" w:hAnsi="黑体" w:eastAsia="黑体"/>
          <w:sz w:val="32"/>
        </w:rPr>
        <w:t>四、财政拨款收入支出决算总体情况说明</w:t>
      </w:r>
    </w:p>
    <w:p w14:paraId="3C1EA85E">
      <w:pPr>
        <w:spacing w:line="580" w:lineRule="exact"/>
        <w:ind w:firstLine="640"/>
        <w:jc w:val="both"/>
      </w:pPr>
      <w:r>
        <w:rPr>
          <w:rFonts w:ascii="仿宋_GB2312" w:hAnsi="仿宋_GB2312" w:eastAsia="仿宋_GB2312"/>
          <w:b/>
          <w:sz w:val="32"/>
        </w:rPr>
        <w:t>2024年度财政拨款收入总计506.93万元，</w:t>
      </w:r>
      <w:r>
        <w:rPr>
          <w:rFonts w:ascii="仿宋_GB2312" w:hAnsi="仿宋_GB2312" w:eastAsia="仿宋_GB2312"/>
          <w:b w:val="0"/>
          <w:sz w:val="32"/>
        </w:rPr>
        <w:t>其中：年初财政拨款结转和结余0.00万元，本年财政拨款收入506.93万元。</w:t>
      </w:r>
      <w:r>
        <w:rPr>
          <w:rFonts w:ascii="仿宋_GB2312" w:hAnsi="仿宋_GB2312" w:eastAsia="仿宋_GB2312"/>
          <w:b/>
          <w:sz w:val="32"/>
        </w:rPr>
        <w:t>财政拨款支出总计506.93万元，</w:t>
      </w:r>
      <w:r>
        <w:rPr>
          <w:rFonts w:ascii="仿宋_GB2312" w:hAnsi="仿宋_GB2312" w:eastAsia="仿宋_GB2312"/>
          <w:b w:val="0"/>
          <w:sz w:val="32"/>
        </w:rPr>
        <w:t>其中：年末财政拨款结转和结余0.00万元，本年财政拨款支出506.93万元。</w:t>
      </w:r>
    </w:p>
    <w:p w14:paraId="501530A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增加2.03万元，增长0.40%，主要原因是：根据乌鲁木齐《市发展和改革委员会市城市管理局关于调整乌鲁木齐市非居民集中供暖价格的通知》(市发改规(2024]9号</w:t>
      </w:r>
      <w:r>
        <w:rPr>
          <w:rFonts w:hint="eastAsia" w:ascii="仿宋_GB2312" w:hAnsi="仿宋_GB2312" w:eastAsia="仿宋_GB2312"/>
          <w:b w:val="0"/>
          <w:sz w:val="32"/>
          <w:lang w:eastAsia="zh-CN"/>
        </w:rPr>
        <w:t>）</w:t>
      </w:r>
      <w:r>
        <w:rPr>
          <w:rFonts w:ascii="仿宋_GB2312" w:hAnsi="仿宋_GB2312" w:eastAsia="仿宋_GB2312"/>
          <w:b w:val="0"/>
          <w:sz w:val="32"/>
        </w:rPr>
        <w:t>办公取暖标准提高至31元/㎡，增加取暖费。</w:t>
      </w:r>
      <w:r>
        <w:rPr>
          <w:rFonts w:ascii="仿宋_GB2312" w:hAnsi="仿宋_GB2312" w:eastAsia="仿宋_GB2312"/>
          <w:b/>
          <w:sz w:val="32"/>
        </w:rPr>
        <w:t>与年初预算相比，</w:t>
      </w:r>
      <w:r>
        <w:rPr>
          <w:rFonts w:ascii="仿宋_GB2312" w:hAnsi="仿宋_GB2312" w:eastAsia="仿宋_GB2312"/>
          <w:b w:val="0"/>
          <w:sz w:val="32"/>
        </w:rPr>
        <w:t>年初预算数588.37万元，决算数506.93万元，预决算差异率-13.84%，主要原因是：部分项目业务工作尚未开展，剩余指标年末财政统一收回，年中调减项目经费。</w:t>
      </w:r>
    </w:p>
    <w:p w14:paraId="3CB6705D">
      <w:pPr>
        <w:spacing w:line="640" w:lineRule="exact"/>
        <w:ind w:firstLine="640"/>
        <w:jc w:val="both"/>
        <w:outlineLvl w:val="2"/>
      </w:pPr>
      <w:r>
        <w:rPr>
          <w:rFonts w:ascii="黑体" w:hAnsi="黑体" w:eastAsia="黑体"/>
          <w:sz w:val="32"/>
        </w:rPr>
        <w:t>五、一般公共预算财政拨款支出决算情况说明</w:t>
      </w:r>
    </w:p>
    <w:p w14:paraId="19EB4B94">
      <w:pPr>
        <w:spacing w:line="640" w:lineRule="exact"/>
        <w:ind w:firstLine="640"/>
        <w:jc w:val="both"/>
        <w:outlineLvl w:val="3"/>
      </w:pPr>
      <w:r>
        <w:rPr>
          <w:rFonts w:ascii="楷体_GB2312" w:hAnsi="楷体_GB2312" w:eastAsia="楷体_GB2312"/>
          <w:b/>
          <w:sz w:val="32"/>
        </w:rPr>
        <w:t>（一）一般公共预算财政拨款支出决算总体情况</w:t>
      </w:r>
    </w:p>
    <w:p w14:paraId="5D12BBC5">
      <w:pPr>
        <w:spacing w:line="580" w:lineRule="exact"/>
        <w:ind w:firstLine="640"/>
        <w:jc w:val="both"/>
      </w:pPr>
      <w:r>
        <w:rPr>
          <w:rFonts w:ascii="仿宋_GB2312" w:hAnsi="仿宋_GB2312" w:eastAsia="仿宋_GB2312"/>
          <w:b/>
          <w:sz w:val="32"/>
        </w:rPr>
        <w:t>2024年度一般公共预算财政拨款支出506.93万元，</w:t>
      </w:r>
      <w:r>
        <w:rPr>
          <w:rFonts w:ascii="仿宋_GB2312" w:hAnsi="仿宋_GB2312" w:eastAsia="仿宋_GB2312"/>
          <w:b w:val="0"/>
          <w:sz w:val="32"/>
        </w:rPr>
        <w:t>占本年支出合计的87.68%。</w:t>
      </w:r>
      <w:r>
        <w:rPr>
          <w:rFonts w:ascii="仿宋_GB2312" w:hAnsi="仿宋_GB2312" w:eastAsia="仿宋_GB2312"/>
          <w:b/>
          <w:sz w:val="32"/>
        </w:rPr>
        <w:t>与上年相比，</w:t>
      </w:r>
      <w:r>
        <w:rPr>
          <w:rFonts w:ascii="仿宋_GB2312" w:hAnsi="仿宋_GB2312" w:eastAsia="仿宋_GB2312"/>
          <w:b w:val="0"/>
          <w:sz w:val="32"/>
        </w:rPr>
        <w:t>增加2.03万元，增长0.40%，主要原因是：根据乌鲁木齐《市发展和改革委员会市城市管理局关于调整乌鲁木齐市非居民集中供暖价格的通知》(市发改规(2024]9号</w:t>
      </w:r>
      <w:r>
        <w:rPr>
          <w:rFonts w:hint="eastAsia" w:ascii="仿宋_GB2312" w:hAnsi="仿宋_GB2312" w:eastAsia="仿宋_GB2312"/>
          <w:b w:val="0"/>
          <w:sz w:val="32"/>
          <w:lang w:eastAsia="zh-CN"/>
        </w:rPr>
        <w:t>）</w:t>
      </w:r>
      <w:r>
        <w:rPr>
          <w:rFonts w:ascii="仿宋_GB2312" w:hAnsi="仿宋_GB2312" w:eastAsia="仿宋_GB2312"/>
          <w:b w:val="0"/>
          <w:sz w:val="32"/>
        </w:rPr>
        <w:t>文件办公取暖标准提高至31元/㎡，增加取暖费。</w:t>
      </w:r>
      <w:r>
        <w:rPr>
          <w:rFonts w:ascii="仿宋_GB2312" w:hAnsi="仿宋_GB2312" w:eastAsia="仿宋_GB2312"/>
          <w:b/>
          <w:sz w:val="32"/>
        </w:rPr>
        <w:t>与年初预算相比,</w:t>
      </w:r>
      <w:r>
        <w:rPr>
          <w:rFonts w:ascii="仿宋_GB2312" w:hAnsi="仿宋_GB2312" w:eastAsia="仿宋_GB2312"/>
          <w:b w:val="0"/>
          <w:sz w:val="32"/>
        </w:rPr>
        <w:t>年初预算数588.37万元，决算数506.93万元，预决算差异率-13.84%，主要原因是：部分项目业务工作尚未开展，剩余指标年末财政统一收回，年中调减项目经费。</w:t>
      </w:r>
    </w:p>
    <w:p w14:paraId="49941213">
      <w:pPr>
        <w:spacing w:line="640" w:lineRule="exact"/>
        <w:ind w:firstLine="640"/>
        <w:jc w:val="both"/>
        <w:outlineLvl w:val="3"/>
      </w:pPr>
      <w:r>
        <w:rPr>
          <w:rFonts w:ascii="楷体_GB2312" w:hAnsi="楷体_GB2312" w:eastAsia="楷体_GB2312"/>
          <w:b/>
          <w:sz w:val="32"/>
        </w:rPr>
        <w:t>（二）一般公共预算财政拨款支出决算结构情况</w:t>
      </w:r>
    </w:p>
    <w:p w14:paraId="6D40FA8E">
      <w:pPr>
        <w:spacing w:line="580" w:lineRule="exact"/>
        <w:ind w:firstLine="640"/>
        <w:jc w:val="both"/>
      </w:pPr>
      <w:r>
        <w:rPr>
          <w:rFonts w:ascii="仿宋_GB2312" w:hAnsi="仿宋_GB2312" w:eastAsia="仿宋_GB2312"/>
          <w:b w:val="0"/>
          <w:sz w:val="32"/>
        </w:rPr>
        <w:t>1.一般公共服务支出(类)444.39万元,占87.66%。</w:t>
      </w:r>
    </w:p>
    <w:p w14:paraId="0BE2648F">
      <w:pPr>
        <w:spacing w:line="580" w:lineRule="exact"/>
        <w:ind w:firstLine="640"/>
        <w:jc w:val="both"/>
      </w:pPr>
      <w:r>
        <w:rPr>
          <w:rFonts w:ascii="仿宋_GB2312" w:hAnsi="仿宋_GB2312" w:eastAsia="仿宋_GB2312"/>
          <w:b w:val="0"/>
          <w:sz w:val="32"/>
        </w:rPr>
        <w:t>2.社会保障和就业支出(类)36.01万元,占7.10%。</w:t>
      </w:r>
    </w:p>
    <w:p w14:paraId="60CE2784">
      <w:pPr>
        <w:spacing w:line="580" w:lineRule="exact"/>
        <w:ind w:firstLine="640"/>
        <w:jc w:val="both"/>
      </w:pPr>
      <w:r>
        <w:rPr>
          <w:rFonts w:ascii="仿宋_GB2312" w:hAnsi="仿宋_GB2312" w:eastAsia="仿宋_GB2312"/>
          <w:b w:val="0"/>
          <w:sz w:val="32"/>
        </w:rPr>
        <w:t>3.卫生健康支出(类)8.69万元,占1.71%。</w:t>
      </w:r>
    </w:p>
    <w:p w14:paraId="14E9F313">
      <w:pPr>
        <w:spacing w:line="580" w:lineRule="exact"/>
        <w:ind w:firstLine="640"/>
        <w:jc w:val="both"/>
      </w:pPr>
      <w:r>
        <w:rPr>
          <w:rFonts w:ascii="仿宋_GB2312" w:hAnsi="仿宋_GB2312" w:eastAsia="仿宋_GB2312"/>
          <w:b w:val="0"/>
          <w:sz w:val="32"/>
        </w:rPr>
        <w:t>4.住房保障支出(类)17.84万元,占3.52%。</w:t>
      </w:r>
    </w:p>
    <w:p w14:paraId="7B8F1603">
      <w:pPr>
        <w:spacing w:line="640" w:lineRule="exact"/>
        <w:ind w:firstLine="640"/>
        <w:jc w:val="both"/>
        <w:outlineLvl w:val="3"/>
      </w:pPr>
      <w:r>
        <w:rPr>
          <w:rFonts w:ascii="楷体_GB2312" w:hAnsi="楷体_GB2312" w:eastAsia="楷体_GB2312"/>
          <w:b/>
          <w:sz w:val="32"/>
        </w:rPr>
        <w:t>（三）一般公共预算财政拨款支出决算具体情况</w:t>
      </w:r>
    </w:p>
    <w:p w14:paraId="3FE8EEE1">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273.48万元，比上年决算增加4.31万元，增长1.60%,主要原因是：一是根据乌鲁木齐《市发展和改革委员会市城市管理局关于调整乌鲁木齐市非居民集中供暖价格的通知》（市发改规</w:t>
      </w:r>
      <w:r>
        <w:rPr>
          <w:rFonts w:hint="eastAsia" w:ascii="仿宋_GB2312" w:hAnsi="仿宋_GB2312" w:eastAsia="仿宋_GB2312"/>
          <w:b w:val="0"/>
          <w:sz w:val="32"/>
          <w:lang w:eastAsia="zh-CN"/>
        </w:rPr>
        <w:t>〔2024〕9号）</w:t>
      </w:r>
      <w:r>
        <w:rPr>
          <w:rFonts w:ascii="仿宋_GB2312" w:hAnsi="仿宋_GB2312" w:eastAsia="仿宋_GB2312"/>
          <w:b w:val="0"/>
          <w:sz w:val="32"/>
        </w:rPr>
        <w:t>办公取暖标准提高至31元/㎡，增加取暖费。二是根据相关政策要求追加残保金。</w:t>
      </w:r>
    </w:p>
    <w:p w14:paraId="052EC61D">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170.91万元，比上年决算减少4.34万元，下降2.48%,主要原因是：部分项目业务工作尚未开展，剩余指标年末财政统一收回，本年减少项目经费。</w:t>
      </w:r>
    </w:p>
    <w:p w14:paraId="0B7FDEBE">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3.社会保障和就业支出(类)行政事业单位养老支出(款)事业单位离退休(项):支出决算数为7.98万元，比上年决算增加1.44万元，增长22.02%,主要原因是：本年增加退休人员基础绩效奖，退休费支出增加。</w:t>
      </w:r>
    </w:p>
    <w:p w14:paraId="3BF58F9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20.44万元，比上年决算增加2.10万元，增长11.45%,主要原因是：本年在职人员工资基数调增，养老缴费基数上涨，相应支出增加。</w:t>
      </w:r>
    </w:p>
    <w:p w14:paraId="5CC24086">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7.58万元，比上年决算减少3.92万元，下降34.09%,主要原因是：本年新增退休人员较上年减少，职业年金缴费较上年减少。</w:t>
      </w:r>
    </w:p>
    <w:p w14:paraId="56E42AED">
      <w:pPr>
        <w:spacing w:line="580" w:lineRule="exact"/>
        <w:ind w:firstLine="640"/>
        <w:jc w:val="both"/>
      </w:pPr>
      <w:r>
        <w:rPr>
          <w:rFonts w:ascii="仿宋_GB2312" w:hAnsi="仿宋_GB2312" w:eastAsia="仿宋_GB2312"/>
          <w:b w:val="0"/>
          <w:sz w:val="32"/>
        </w:rPr>
        <w:t>6.卫生健康支出(类)行政事业单位医疗(款)事业单位医疗(项):支出决算数为8.69万元，比上年决算增加0.90万元，增长11.55%,主要原因是：本年在职人员工资基数调增，医疗缴费基数上涨，相应支出增加。</w:t>
      </w:r>
    </w:p>
    <w:p w14:paraId="30EF9E17">
      <w:pPr>
        <w:spacing w:line="580" w:lineRule="exact"/>
        <w:ind w:firstLine="640"/>
        <w:jc w:val="both"/>
      </w:pPr>
      <w:r>
        <w:rPr>
          <w:rFonts w:ascii="仿宋_GB2312" w:hAnsi="仿宋_GB2312" w:eastAsia="仿宋_GB2312"/>
          <w:b w:val="0"/>
          <w:sz w:val="32"/>
        </w:rPr>
        <w:t>7.住房保障支出(类)住房改革支出(款)住房公积金(项):支出决算数为17.84万元，比上年决算增加1.52万元，增长9.31%,主要原因是：本年在职人员工资基数调增，公积金缴费基数上涨，相应支出增加。</w:t>
      </w:r>
    </w:p>
    <w:p w14:paraId="0CA49ECC">
      <w:pPr>
        <w:spacing w:line="640" w:lineRule="exact"/>
        <w:ind w:firstLine="640"/>
        <w:jc w:val="both"/>
        <w:outlineLvl w:val="2"/>
      </w:pPr>
      <w:r>
        <w:rPr>
          <w:rFonts w:ascii="黑体" w:hAnsi="黑体" w:eastAsia="黑体"/>
          <w:sz w:val="32"/>
        </w:rPr>
        <w:t>六、一般公共预算财政拨款基本支出决算情况说明</w:t>
      </w:r>
    </w:p>
    <w:p w14:paraId="41A20CCE">
      <w:pPr>
        <w:spacing w:line="580" w:lineRule="exact"/>
        <w:ind w:firstLine="640"/>
        <w:jc w:val="both"/>
      </w:pPr>
      <w:r>
        <w:rPr>
          <w:rFonts w:ascii="仿宋_GB2312" w:hAnsi="仿宋_GB2312" w:eastAsia="仿宋_GB2312"/>
          <w:b w:val="0"/>
          <w:sz w:val="32"/>
        </w:rPr>
        <w:t>2024年度一般公共预算财政拨款基本支出336.02万元，其中：</w:t>
      </w:r>
      <w:r>
        <w:rPr>
          <w:rFonts w:ascii="仿宋_GB2312" w:hAnsi="仿宋_GB2312" w:eastAsia="仿宋_GB2312"/>
          <w:b/>
          <w:sz w:val="32"/>
        </w:rPr>
        <w:t>人员经费301.25万元，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其他对个人和家庭的补助。</w:t>
      </w:r>
    </w:p>
    <w:p w14:paraId="63570EFF">
      <w:pPr>
        <w:spacing w:line="580" w:lineRule="exact"/>
        <w:ind w:firstLine="640"/>
        <w:jc w:val="both"/>
      </w:pPr>
      <w:r>
        <w:rPr>
          <w:rFonts w:ascii="仿宋_GB2312" w:hAnsi="仿宋_GB2312" w:eastAsia="仿宋_GB2312"/>
          <w:b/>
          <w:sz w:val="32"/>
        </w:rPr>
        <w:t>公用经费34.77万元，</w:t>
      </w:r>
      <w:r>
        <w:rPr>
          <w:rFonts w:ascii="仿宋_GB2312" w:hAnsi="仿宋_GB2312" w:eastAsia="仿宋_GB2312"/>
          <w:b w:val="0"/>
          <w:sz w:val="32"/>
        </w:rPr>
        <w:t>包括：办公费、水费、电费、邮电费、取暖费、差旅费、专用材料费、工会经费、公务用车运行维护费、其他商品和服务支出。</w:t>
      </w:r>
    </w:p>
    <w:p w14:paraId="4EA26E4B">
      <w:pPr>
        <w:spacing w:line="640" w:lineRule="exact"/>
        <w:ind w:firstLine="640"/>
        <w:jc w:val="both"/>
        <w:outlineLvl w:val="2"/>
      </w:pPr>
      <w:r>
        <w:rPr>
          <w:rFonts w:ascii="黑体" w:hAnsi="黑体" w:eastAsia="黑体"/>
          <w:sz w:val="32"/>
        </w:rPr>
        <w:t>七、政府性基金预算财政拨款收入支出决算情况说明</w:t>
      </w:r>
    </w:p>
    <w:p w14:paraId="4BAFD00B">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0AA0146">
      <w:pPr>
        <w:spacing w:line="640" w:lineRule="exact"/>
        <w:ind w:firstLine="640"/>
        <w:jc w:val="both"/>
        <w:outlineLvl w:val="2"/>
      </w:pPr>
      <w:r>
        <w:rPr>
          <w:rFonts w:ascii="黑体" w:hAnsi="黑体" w:eastAsia="黑体"/>
          <w:sz w:val="32"/>
        </w:rPr>
        <w:t>八、国有资本经营预算财政拨款收入支出决算情况说明</w:t>
      </w:r>
    </w:p>
    <w:p w14:paraId="51D3F936">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289A538">
      <w:pPr>
        <w:spacing w:line="640" w:lineRule="exact"/>
        <w:ind w:firstLine="640"/>
        <w:jc w:val="both"/>
        <w:outlineLvl w:val="2"/>
      </w:pPr>
      <w:r>
        <w:rPr>
          <w:rFonts w:ascii="黑体" w:hAnsi="黑体" w:eastAsia="黑体"/>
          <w:sz w:val="32"/>
        </w:rPr>
        <w:t>九、财政拨款“三公”经费支出决算情况说明</w:t>
      </w:r>
    </w:p>
    <w:p w14:paraId="2653DB3D">
      <w:pPr>
        <w:spacing w:line="580" w:lineRule="exact"/>
        <w:ind w:firstLine="640"/>
        <w:jc w:val="both"/>
      </w:pPr>
      <w:r>
        <w:rPr>
          <w:rFonts w:ascii="仿宋_GB2312" w:hAnsi="仿宋_GB2312" w:eastAsia="仿宋_GB2312"/>
          <w:b/>
          <w:sz w:val="32"/>
        </w:rPr>
        <w:t>2024年度财政拨款“三公”经费支出14.70万元，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14.70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5F89F7AC">
      <w:pPr>
        <w:spacing w:line="580" w:lineRule="exact"/>
        <w:ind w:firstLine="640"/>
        <w:jc w:val="both"/>
      </w:pPr>
      <w:r>
        <w:rPr>
          <w:rFonts w:ascii="仿宋_GB2312" w:hAnsi="仿宋_GB2312" w:eastAsia="仿宋_GB2312"/>
          <w:b/>
          <w:sz w:val="32"/>
        </w:rPr>
        <w:t>具体情况如下：</w:t>
      </w:r>
    </w:p>
    <w:p w14:paraId="2A45151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728DFD4">
      <w:pPr>
        <w:spacing w:line="580" w:lineRule="exact"/>
        <w:ind w:firstLine="640"/>
        <w:jc w:val="both"/>
      </w:pPr>
      <w:r>
        <w:rPr>
          <w:rFonts w:ascii="仿宋_GB2312" w:hAnsi="仿宋_GB2312" w:eastAsia="仿宋_GB2312"/>
          <w:b w:val="0"/>
          <w:sz w:val="32"/>
        </w:rPr>
        <w:t>公务用车购置及运行维护费14.70万元，其中：公务用车购置费0.00万元，公务用车运行维护费14.70万元。公务用车运行维护费开支内容包括车辆燃油费、保险费、维修维护费、过路费等。公务用车购置数0辆，公务用车保有量7辆。国有资产占用情况中固定资产车辆8辆，与公务用车保有量差异原因是：差异车辆为一般业务用车，预算未安排公务用车运行维护费。</w:t>
      </w:r>
    </w:p>
    <w:p w14:paraId="0E474A9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88D9E1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14.70万元，决算数14.70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14.70万元，决算数14.70万元，预决算差异率0.00%，主要原因是：严格按照预算执行，预决算无差异。公务接待费全年预算数0.00万元，决算数0.00万元，预决算差异率0.00%，主要原因是：本部门无公务接待费。</w:t>
      </w:r>
    </w:p>
    <w:p w14:paraId="507AB7C1">
      <w:pPr>
        <w:spacing w:line="640" w:lineRule="exact"/>
        <w:ind w:firstLine="640"/>
        <w:jc w:val="both"/>
        <w:outlineLvl w:val="2"/>
      </w:pPr>
      <w:r>
        <w:rPr>
          <w:rFonts w:ascii="黑体" w:hAnsi="黑体" w:eastAsia="黑体"/>
          <w:sz w:val="32"/>
        </w:rPr>
        <w:t>十、其他重要事项的情况说明</w:t>
      </w:r>
    </w:p>
    <w:p w14:paraId="697BF33E">
      <w:pPr>
        <w:spacing w:line="640" w:lineRule="exact"/>
        <w:ind w:firstLine="640"/>
        <w:jc w:val="both"/>
        <w:outlineLvl w:val="3"/>
      </w:pPr>
      <w:r>
        <w:rPr>
          <w:rFonts w:ascii="楷体_GB2312" w:hAnsi="楷体_GB2312" w:eastAsia="楷体_GB2312"/>
          <w:b/>
          <w:sz w:val="32"/>
        </w:rPr>
        <w:t>（一）机关运行经费及公用经费支出情况</w:t>
      </w:r>
    </w:p>
    <w:p w14:paraId="2E0BB899">
      <w:pPr>
        <w:spacing w:line="580" w:lineRule="exact"/>
        <w:ind w:firstLine="640"/>
        <w:jc w:val="both"/>
      </w:pPr>
      <w:r>
        <w:rPr>
          <w:rFonts w:ascii="仿宋_GB2312" w:hAnsi="仿宋_GB2312" w:eastAsia="仿宋_GB2312"/>
          <w:b w:val="0"/>
          <w:sz w:val="32"/>
        </w:rPr>
        <w:t>2024年度喀什地区行政公署驻乌鲁木齐办事处（事业单位）公用经费支出34.77万元，比上年增加3.40万元，增长10.84%，主要原因是：本年取暖费增加，导致公用经费增加。</w:t>
      </w:r>
    </w:p>
    <w:p w14:paraId="444BFDF3">
      <w:pPr>
        <w:spacing w:line="640" w:lineRule="exact"/>
        <w:ind w:firstLine="640"/>
        <w:jc w:val="both"/>
        <w:outlineLvl w:val="3"/>
      </w:pPr>
      <w:r>
        <w:rPr>
          <w:rFonts w:ascii="楷体_GB2312" w:hAnsi="楷体_GB2312" w:eastAsia="楷体_GB2312"/>
          <w:b/>
          <w:sz w:val="32"/>
        </w:rPr>
        <w:t>（二）政府采购情况</w:t>
      </w:r>
    </w:p>
    <w:p w14:paraId="1D2F3F28">
      <w:pPr>
        <w:spacing w:line="580" w:lineRule="exact"/>
        <w:ind w:firstLine="640"/>
        <w:jc w:val="both"/>
      </w:pPr>
      <w:r>
        <w:rPr>
          <w:rFonts w:ascii="仿宋_GB2312" w:hAnsi="仿宋_GB2312" w:eastAsia="仿宋_GB2312"/>
          <w:b w:val="0"/>
          <w:sz w:val="32"/>
        </w:rPr>
        <w:t>2024年度政府采购支出总额76.74万元，其中：政府采购货物支出34.83万元、政府采购工程支出12.90万元、政府采购服务支出29.01万元。</w:t>
      </w:r>
    </w:p>
    <w:p w14:paraId="51B10AA3">
      <w:pPr>
        <w:spacing w:line="580" w:lineRule="exact"/>
        <w:ind w:firstLine="640"/>
        <w:jc w:val="both"/>
      </w:pPr>
      <w:r>
        <w:rPr>
          <w:rFonts w:ascii="仿宋_GB2312" w:hAnsi="仿宋_GB2312" w:eastAsia="仿宋_GB2312"/>
          <w:b w:val="0"/>
          <w:sz w:val="32"/>
        </w:rPr>
        <w:t>授予中小企业合同金额74.09万元，占政府采购支出总额的96.55%，其中：授予小微企业合同金额67.23万元，占政府采购支出总额的87.61%。</w:t>
      </w:r>
    </w:p>
    <w:p w14:paraId="0A81B30B">
      <w:pPr>
        <w:spacing w:line="640" w:lineRule="exact"/>
        <w:ind w:firstLine="640"/>
        <w:jc w:val="both"/>
        <w:outlineLvl w:val="3"/>
      </w:pPr>
      <w:r>
        <w:rPr>
          <w:rFonts w:ascii="楷体_GB2312" w:hAnsi="楷体_GB2312" w:eastAsia="楷体_GB2312"/>
          <w:b/>
          <w:sz w:val="32"/>
        </w:rPr>
        <w:t>（三）国有资产占用情况说明</w:t>
      </w:r>
    </w:p>
    <w:p w14:paraId="49A8BEF0">
      <w:pPr>
        <w:spacing w:line="580" w:lineRule="exact"/>
        <w:ind w:firstLine="640"/>
        <w:jc w:val="both"/>
      </w:pPr>
      <w:r>
        <w:rPr>
          <w:rFonts w:ascii="仿宋_GB2312" w:hAnsi="仿宋_GB2312" w:eastAsia="仿宋_GB2312"/>
          <w:b w:val="0"/>
          <w:sz w:val="32"/>
        </w:rPr>
        <w:t>截至2024年12月31日，房屋13,592.04平方米，价值7,004.35万元。车辆8辆，价值229.52万元，其中：副部（省）级及以上领导用车0辆、主要负责人用车0辆、机要通信用车0辆、应急保障用车0辆、执法执勤用车0辆、特种专业技术用车0辆、离退休干部服务用车0辆、其他用车8辆，其他用车主要是：一般公务用车和单位业务用车。单价100万元（含）以上设备（不含车辆）0台（套）。</w:t>
      </w:r>
    </w:p>
    <w:p w14:paraId="22E61BA4">
      <w:pPr>
        <w:spacing w:line="640" w:lineRule="exact"/>
        <w:ind w:firstLine="640"/>
        <w:jc w:val="both"/>
        <w:outlineLvl w:val="2"/>
      </w:pPr>
      <w:r>
        <w:rPr>
          <w:rFonts w:ascii="黑体" w:hAnsi="黑体" w:eastAsia="黑体"/>
          <w:sz w:val="32"/>
        </w:rPr>
        <w:t>十一、预算绩效的情况说明</w:t>
      </w:r>
    </w:p>
    <w:p w14:paraId="72183D3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根据预算绩效管理要求，本部门2024年度预算绩效管理形成整体支出绩效自评表1个，全年预算总额635.41万元，实际执行总额578.12万元；预算绩效评价项目</w:t>
      </w:r>
      <w:r>
        <w:rPr>
          <w:rFonts w:hint="eastAsia" w:ascii="仿宋_GB2312" w:hAnsi="仿宋_GB2312" w:eastAsia="仿宋_GB2312"/>
          <w:b w:val="0"/>
          <w:sz w:val="32"/>
          <w:lang w:val="en-US" w:eastAsia="zh-CN"/>
        </w:rPr>
        <w:t>11</w:t>
      </w:r>
      <w:r>
        <w:rPr>
          <w:rFonts w:ascii="仿宋_GB2312" w:hAnsi="仿宋_GB2312" w:eastAsia="仿宋_GB2312"/>
          <w:b w:val="0"/>
          <w:sz w:val="32"/>
        </w:rPr>
        <w:t>个，全年预算数</w:t>
      </w:r>
      <w:r>
        <w:rPr>
          <w:rFonts w:hint="eastAsia" w:ascii="仿宋_GB2312" w:hAnsi="仿宋_GB2312" w:eastAsia="仿宋_GB2312"/>
          <w:b w:val="0"/>
          <w:sz w:val="32"/>
        </w:rPr>
        <w:t>510.6</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w:t>
      </w:r>
      <w:r>
        <w:rPr>
          <w:rFonts w:hint="eastAsia" w:ascii="仿宋_GB2312" w:hAnsi="仿宋_GB2312" w:eastAsia="仿宋_GB2312"/>
          <w:b w:val="0"/>
          <w:sz w:val="32"/>
        </w:rPr>
        <w:t>396.07</w:t>
      </w:r>
      <w:r>
        <w:rPr>
          <w:rFonts w:ascii="仿宋_GB2312" w:hAnsi="仿宋_GB2312" w:eastAsia="仿宋_GB2312"/>
          <w:b w:val="0"/>
          <w:sz w:val="32"/>
        </w:rPr>
        <w:t>万元。预算绩效管理取得的成效：推动数据共享，扩大应用范围，为单位科学决算和防范财务风险提供数据支撑。通过对数据的分析，预算绩效管理能帮助单位更好地规划和优化资金使用，有效控制成本，对潜在的风险信号进行预警。预算绩效管理为单位的全面发展和精细化管理提供强大的数据驱动力量。发现的问题及原因：存在的问题对绩效评价了解不够深入，对绩效管理的意义认识不清，还停留在是否按计划完成任务上，没有将工作重点放在效益和效果方面。原因是项目负责人和职工对绩效管理的认识存在误区，对绩效管理工作重点把握不到位。下一步改进措施：一是进一步加快绩效管理理念转变。绩效评价作为财政工作一种新的管理方法，要打破原有“重投入、轻产出”，“重分配、轻管理”，“重数量、轻质量”的管理模式，要把绩效评价贯穿整个预算编制、执行和监督的始终。同时要注重对人员的培训工作，将绩效管理的理念贯彻下去。具体附部门整体支出绩效自评表，项目支出绩效自评表和部门评价报告。</w:t>
      </w:r>
    </w:p>
    <w:p w14:paraId="32F0B4E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03C1ECE">
        <w:tblPrEx>
          <w:tblCellMar>
            <w:top w:w="0" w:type="dxa"/>
            <w:left w:w="108" w:type="dxa"/>
            <w:bottom w:w="0" w:type="dxa"/>
            <w:right w:w="108" w:type="dxa"/>
          </w:tblCellMar>
        </w:tblPrEx>
        <w:tc>
          <w:tcPr>
            <w:tcW w:w="8847" w:type="dxa"/>
            <w:gridSpan w:val="9"/>
            <w:vAlign w:val="center"/>
          </w:tcPr>
          <w:p w14:paraId="6E84E51C">
            <w:pPr>
              <w:jc w:val="center"/>
            </w:pPr>
            <w:r>
              <w:rPr>
                <w:rFonts w:ascii="宋体" w:hAnsi="宋体" w:eastAsia="宋体"/>
                <w:sz w:val="24"/>
              </w:rPr>
              <w:t>部门整体支出绩效自评表</w:t>
            </w:r>
          </w:p>
        </w:tc>
      </w:tr>
      <w:tr w14:paraId="2732F62B">
        <w:tblPrEx>
          <w:tblCellMar>
            <w:top w:w="0" w:type="dxa"/>
            <w:left w:w="108" w:type="dxa"/>
            <w:bottom w:w="0" w:type="dxa"/>
            <w:right w:w="108" w:type="dxa"/>
          </w:tblCellMar>
        </w:tblPrEx>
        <w:tc>
          <w:tcPr>
            <w:tcW w:w="8847" w:type="dxa"/>
            <w:gridSpan w:val="9"/>
            <w:vAlign w:val="center"/>
          </w:tcPr>
          <w:p w14:paraId="5CB0DBEE">
            <w:pPr>
              <w:jc w:val="center"/>
            </w:pPr>
            <w:r>
              <w:rPr>
                <w:rFonts w:ascii="宋体" w:hAnsi="宋体" w:eastAsia="宋体"/>
                <w:sz w:val="24"/>
              </w:rPr>
              <w:t>（2024年度）</w:t>
            </w:r>
          </w:p>
        </w:tc>
      </w:tr>
      <w:tr w14:paraId="3788E4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732A3">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2097B2">
            <w:pPr>
              <w:jc w:val="center"/>
            </w:pPr>
            <w:r>
              <w:rPr>
                <w:rFonts w:ascii="宋体" w:hAnsi="宋体" w:eastAsia="宋体"/>
                <w:sz w:val="16"/>
              </w:rPr>
              <w:t>喀什地区行政公署驻乌鲁木齐办事处</w:t>
            </w:r>
          </w:p>
        </w:tc>
      </w:tr>
      <w:tr w14:paraId="4B2AFE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5F82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EA4C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91A3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D131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C6F5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5409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B861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1B6F">
            <w:pPr>
              <w:jc w:val="center"/>
            </w:pPr>
            <w:r>
              <w:rPr>
                <w:rFonts w:ascii="宋体" w:hAnsi="宋体" w:eastAsia="宋体"/>
                <w:sz w:val="16"/>
              </w:rPr>
              <w:t>得分</w:t>
            </w:r>
          </w:p>
        </w:tc>
      </w:tr>
      <w:tr w14:paraId="59848C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2CB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9723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03CF1">
            <w:pPr>
              <w:jc w:val="center"/>
            </w:pPr>
            <w:r>
              <w:rPr>
                <w:rFonts w:ascii="宋体" w:hAnsi="宋体" w:eastAsia="宋体"/>
                <w:sz w:val="16"/>
              </w:rPr>
              <w:t>637.27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73A39">
            <w:pPr>
              <w:jc w:val="center"/>
            </w:pPr>
            <w:r>
              <w:rPr>
                <w:rFonts w:ascii="宋体" w:hAnsi="宋体" w:eastAsia="宋体"/>
                <w:sz w:val="16"/>
              </w:rPr>
              <w:t>635.41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69F3D">
            <w:pPr>
              <w:jc w:val="center"/>
            </w:pPr>
            <w:r>
              <w:rPr>
                <w:rFonts w:ascii="宋体" w:hAnsi="宋体" w:eastAsia="宋体"/>
                <w:sz w:val="16"/>
              </w:rPr>
              <w:t>578.12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A0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C29A9">
            <w:pPr>
              <w:jc w:val="center"/>
            </w:pPr>
            <w:r>
              <w:rPr>
                <w:rFonts w:ascii="宋体" w:hAnsi="宋体" w:eastAsia="宋体"/>
                <w:sz w:val="16"/>
              </w:rPr>
              <w:t>90.98%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7B2C5">
            <w:pPr>
              <w:jc w:val="center"/>
            </w:pPr>
            <w:r>
              <w:rPr>
                <w:rFonts w:ascii="宋体" w:hAnsi="宋体" w:eastAsia="宋体"/>
                <w:sz w:val="16"/>
              </w:rPr>
              <w:t>9.1</w:t>
            </w:r>
          </w:p>
        </w:tc>
      </w:tr>
      <w:tr w14:paraId="1D9EBC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533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8C2C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FA8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207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932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EA2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137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9780">
            <w:pPr>
              <w:jc w:val="center"/>
            </w:pPr>
            <w:r>
              <w:rPr>
                <w:rFonts w:ascii="宋体" w:hAnsi="宋体" w:eastAsia="宋体"/>
                <w:sz w:val="16"/>
              </w:rPr>
              <w:t>—</w:t>
            </w:r>
          </w:p>
        </w:tc>
      </w:tr>
      <w:tr w14:paraId="5D1026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68B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F9C8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4F4A">
            <w:pPr>
              <w:jc w:val="center"/>
            </w:pPr>
            <w:r>
              <w:rPr>
                <w:rFonts w:ascii="宋体" w:hAnsi="宋体" w:eastAsia="宋体"/>
                <w:sz w:val="16"/>
              </w:rPr>
              <w:t>588.37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4142A">
            <w:pPr>
              <w:jc w:val="center"/>
            </w:pPr>
            <w:r>
              <w:rPr>
                <w:rFonts w:ascii="宋体" w:hAnsi="宋体" w:eastAsia="宋体"/>
                <w:sz w:val="16"/>
              </w:rPr>
              <w:t>514.21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5DAD7">
            <w:pPr>
              <w:jc w:val="center"/>
            </w:pPr>
            <w:r>
              <w:rPr>
                <w:rFonts w:ascii="宋体" w:hAnsi="宋体" w:eastAsia="宋体"/>
                <w:sz w:val="16"/>
              </w:rPr>
              <w:t>506.93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FB3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F5A8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33583">
            <w:pPr>
              <w:jc w:val="center"/>
            </w:pPr>
            <w:r>
              <w:rPr>
                <w:rFonts w:ascii="宋体" w:hAnsi="宋体" w:eastAsia="宋体"/>
                <w:sz w:val="16"/>
              </w:rPr>
              <w:t>—</w:t>
            </w:r>
          </w:p>
        </w:tc>
      </w:tr>
      <w:tr w14:paraId="3DCEAA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51A1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FAA5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41FDB">
            <w:pPr>
              <w:jc w:val="center"/>
            </w:pPr>
            <w:r>
              <w:rPr>
                <w:rFonts w:ascii="宋体" w:hAnsi="宋体" w:eastAsia="宋体"/>
                <w:sz w:val="16"/>
              </w:rPr>
              <w:t>48.90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B5C03">
            <w:pPr>
              <w:jc w:val="center"/>
            </w:pPr>
            <w:r>
              <w:rPr>
                <w:rFonts w:ascii="宋体" w:hAnsi="宋体" w:eastAsia="宋体"/>
                <w:sz w:val="16"/>
              </w:rPr>
              <w:t>121.20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4DF65">
            <w:pPr>
              <w:jc w:val="center"/>
            </w:pPr>
            <w:r>
              <w:rPr>
                <w:rFonts w:ascii="宋体" w:hAnsi="宋体" w:eastAsia="宋体"/>
                <w:sz w:val="16"/>
              </w:rPr>
              <w:t>71.19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C7E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1B55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DEC63">
            <w:pPr>
              <w:jc w:val="center"/>
            </w:pPr>
            <w:r>
              <w:rPr>
                <w:rFonts w:ascii="宋体" w:hAnsi="宋体" w:eastAsia="宋体"/>
                <w:sz w:val="16"/>
              </w:rPr>
              <w:t>—</w:t>
            </w:r>
          </w:p>
        </w:tc>
      </w:tr>
      <w:tr w14:paraId="3CF9AB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401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E5FBF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1CC1A7">
            <w:pPr>
              <w:jc w:val="center"/>
            </w:pPr>
            <w:r>
              <w:rPr>
                <w:rFonts w:ascii="宋体" w:hAnsi="宋体" w:eastAsia="宋体"/>
                <w:sz w:val="16"/>
              </w:rPr>
              <w:t>实际完成情况</w:t>
            </w:r>
          </w:p>
        </w:tc>
      </w:tr>
      <w:tr w14:paraId="2C4B1D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567A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92B604">
            <w:pPr>
              <w:jc w:val="both"/>
            </w:pPr>
            <w:r>
              <w:rPr>
                <w:rFonts w:ascii="宋体" w:hAnsi="宋体" w:eastAsia="宋体"/>
                <w:sz w:val="16"/>
              </w:rPr>
              <w:t>做好地区党政领导在乌鲁木齐公务活动期间的服务保障350人次，协助处理地区和各县市在乌的信访案件数量50起，做好疆内喀什籍务工人员1.6万人的服务工作，充分发挥桥梁与纽带作用，协助地区做好招</w:t>
            </w:r>
            <w:r>
              <w:rPr>
                <w:rFonts w:hint="eastAsia" w:ascii="宋体" w:hAnsi="宋体"/>
                <w:sz w:val="16"/>
                <w:lang w:eastAsia="zh-CN"/>
              </w:rPr>
              <w:t>商引资</w:t>
            </w:r>
            <w:r>
              <w:rPr>
                <w:rFonts w:ascii="宋体" w:hAnsi="宋体" w:eastAsia="宋体"/>
                <w:sz w:val="16"/>
              </w:rPr>
              <w:t>、项目洽谈、对口援助等工作的联络协调和促进，加大对喀什的宣传推介力度；提升喀什籍人员有组织转移就业服务工作效率，提升社会服务能力和效率；提升信访工作质量，有效化解上访事件，保障社会持续和庇护；及时收集整理传递政务信息和经济信息，为喀什高质量发展做出贡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323B40">
            <w:pPr>
              <w:jc w:val="both"/>
            </w:pPr>
            <w:r>
              <w:rPr>
                <w:rFonts w:ascii="宋体" w:hAnsi="宋体" w:eastAsia="宋体"/>
                <w:sz w:val="16"/>
              </w:rPr>
              <w:t>完成地区党政领导在乌鲁木齐公务活动期间781人次的服务保障工作，协助处理地区和各县市在乌的信访案件数量85起382人次，做好1.87万名疆内喀什籍务工人员的服务保障工作，充分发挥了驻乌办的桥梁与纽带作用，协助地区做好招</w:t>
            </w:r>
            <w:r>
              <w:rPr>
                <w:rFonts w:hint="eastAsia" w:ascii="宋体" w:hAnsi="宋体"/>
                <w:sz w:val="16"/>
                <w:lang w:eastAsia="zh-CN"/>
              </w:rPr>
              <w:t>商引资</w:t>
            </w:r>
            <w:r>
              <w:rPr>
                <w:rFonts w:ascii="宋体" w:hAnsi="宋体" w:eastAsia="宋体"/>
                <w:sz w:val="16"/>
              </w:rPr>
              <w:t>、项目洽谈、对口援助等工作的联络协调和促进，加大对喀什的宣传推介力度；提升喀什籍人员有组织转移就业服务工作效率，提升社会服务能力和效率；提升信访工作质量，有效化解上访事件，保障社会持续和庇护；及时收集整理传递政务信息和经济信息，为喀什高质量发展做出贡献。</w:t>
            </w:r>
          </w:p>
        </w:tc>
      </w:tr>
      <w:tr w14:paraId="77B17D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E0F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4289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8B47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4F4C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8CFC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AA75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B4D2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743D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DCD2A">
            <w:pPr>
              <w:jc w:val="center"/>
            </w:pPr>
            <w:r>
              <w:rPr>
                <w:rFonts w:ascii="宋体" w:hAnsi="宋体" w:eastAsia="宋体"/>
                <w:sz w:val="16"/>
              </w:rPr>
              <w:t>得分</w:t>
            </w:r>
          </w:p>
        </w:tc>
      </w:tr>
      <w:tr w14:paraId="0F493E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FA4B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D676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043A0">
            <w:pPr>
              <w:jc w:val="center"/>
            </w:pPr>
            <w:r>
              <w:rPr>
                <w:rFonts w:ascii="宋体" w:hAnsi="宋体" w:eastAsia="宋体"/>
                <w:sz w:val="16"/>
              </w:rPr>
              <w:t>地区党政领导在乌政务服务保障人次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6DB28">
            <w:pPr>
              <w:jc w:val="center"/>
            </w:pPr>
            <w:r>
              <w:rPr>
                <w:rFonts w:ascii="宋体" w:hAnsi="宋体" w:eastAsia="宋体"/>
                <w:sz w:val="16"/>
              </w:rPr>
              <w:t>&gt;=350人次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687CA">
            <w:pPr>
              <w:jc w:val="center"/>
            </w:pPr>
            <w:r>
              <w:rPr>
                <w:rFonts w:ascii="宋体" w:hAnsi="宋体" w:eastAsia="宋体"/>
                <w:sz w:val="16"/>
              </w:rPr>
              <w:t>关于喀什地区行政公署驻乌鲁木齐办事处机构设置方案的通知（喀党编委</w:t>
            </w:r>
            <w:r>
              <w:rPr>
                <w:rFonts w:hint="eastAsia" w:ascii="宋体" w:hAnsi="宋体"/>
                <w:sz w:val="16"/>
                <w:lang w:eastAsia="zh-CN"/>
              </w:rPr>
              <w:t>〔2020〕58号</w:t>
            </w:r>
            <w:r>
              <w:rPr>
                <w:rFonts w:ascii="宋体" w:hAnsi="宋体" w:eastAsia="宋体"/>
                <w:sz w:val="16"/>
              </w:rPr>
              <w:t>）和2023年驻乌办工作总结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664B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666D6">
            <w:pPr>
              <w:jc w:val="center"/>
            </w:pPr>
            <w:r>
              <w:rPr>
                <w:rFonts w:ascii="宋体" w:hAnsi="宋体" w:eastAsia="宋体"/>
                <w:sz w:val="16"/>
              </w:rPr>
              <w:t>781人次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388E4">
            <w:pPr>
              <w:jc w:val="center"/>
            </w:pPr>
            <w:r>
              <w:rPr>
                <w:rFonts w:ascii="宋体" w:hAnsi="宋体" w:eastAsia="宋体"/>
                <w:sz w:val="16"/>
              </w:rPr>
              <w:t>223.14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991A8">
            <w:pPr>
              <w:jc w:val="center"/>
            </w:pPr>
            <w:r>
              <w:rPr>
                <w:rFonts w:ascii="宋体" w:hAnsi="宋体" w:eastAsia="宋体"/>
                <w:sz w:val="16"/>
              </w:rPr>
              <w:t>15</w:t>
            </w:r>
          </w:p>
        </w:tc>
      </w:tr>
      <w:tr w14:paraId="212419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E14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1B7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9A119">
            <w:pPr>
              <w:jc w:val="center"/>
            </w:pPr>
            <w:r>
              <w:rPr>
                <w:rFonts w:ascii="宋体" w:hAnsi="宋体" w:eastAsia="宋体"/>
                <w:sz w:val="16"/>
              </w:rPr>
              <w:t>协助处理地区在乌的信访案件数量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DA2D6">
            <w:pPr>
              <w:jc w:val="center"/>
            </w:pPr>
            <w:r>
              <w:rPr>
                <w:rFonts w:ascii="宋体" w:hAnsi="宋体" w:eastAsia="宋体"/>
                <w:sz w:val="16"/>
              </w:rPr>
              <w:t>&gt;=50起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D03B3">
            <w:pPr>
              <w:jc w:val="center"/>
            </w:pPr>
            <w:r>
              <w:rPr>
                <w:rFonts w:ascii="宋体" w:hAnsi="宋体" w:eastAsia="宋体"/>
                <w:sz w:val="16"/>
              </w:rPr>
              <w:t>关于喀什地区行政公署驻乌鲁木齐办事处机构设置方案的通知（喀党编委</w:t>
            </w:r>
            <w:r>
              <w:rPr>
                <w:rFonts w:hint="eastAsia" w:ascii="宋体" w:hAnsi="宋体"/>
                <w:sz w:val="16"/>
                <w:lang w:eastAsia="zh-CN"/>
              </w:rPr>
              <w:t>〔2020〕58号</w:t>
            </w:r>
            <w:r>
              <w:rPr>
                <w:rFonts w:ascii="宋体" w:hAnsi="宋体" w:eastAsia="宋体"/>
                <w:sz w:val="16"/>
              </w:rPr>
              <w:t>）和2023年信访工作总结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0C1D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28E45">
            <w:pPr>
              <w:jc w:val="center"/>
            </w:pPr>
            <w:r>
              <w:rPr>
                <w:rFonts w:ascii="宋体" w:hAnsi="宋体" w:eastAsia="宋体"/>
                <w:sz w:val="16"/>
              </w:rPr>
              <w:t>85起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63B13">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9B198">
            <w:pPr>
              <w:jc w:val="center"/>
            </w:pPr>
            <w:r>
              <w:rPr>
                <w:rFonts w:ascii="宋体" w:hAnsi="宋体" w:eastAsia="宋体"/>
                <w:sz w:val="16"/>
              </w:rPr>
              <w:t>15</w:t>
            </w:r>
          </w:p>
        </w:tc>
      </w:tr>
      <w:tr w14:paraId="70C040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CDA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7B3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EBC1C">
            <w:pPr>
              <w:jc w:val="center"/>
            </w:pPr>
            <w:r>
              <w:rPr>
                <w:rFonts w:ascii="宋体" w:hAnsi="宋体" w:eastAsia="宋体"/>
                <w:sz w:val="16"/>
              </w:rPr>
              <w:t>服务疆内喀什籍务工人员数量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DE126">
            <w:pPr>
              <w:jc w:val="center"/>
            </w:pPr>
            <w:r>
              <w:rPr>
                <w:rFonts w:ascii="宋体" w:hAnsi="宋体" w:eastAsia="宋体"/>
                <w:sz w:val="16"/>
              </w:rPr>
              <w:t>&gt;=1.60万人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450B6">
            <w:pPr>
              <w:jc w:val="center"/>
            </w:pPr>
            <w:r>
              <w:rPr>
                <w:rFonts w:ascii="宋体" w:hAnsi="宋体" w:eastAsia="宋体"/>
                <w:sz w:val="16"/>
              </w:rPr>
              <w:t>关于喀什地区行政公署驻乌鲁木齐办事处机构设置方案的通知（喀党编委</w:t>
            </w:r>
            <w:r>
              <w:rPr>
                <w:rFonts w:hint="eastAsia" w:ascii="宋体" w:hAnsi="宋体"/>
                <w:sz w:val="16"/>
                <w:lang w:eastAsia="zh-CN"/>
              </w:rPr>
              <w:t>〔2020〕58号</w:t>
            </w:r>
            <w:r>
              <w:rPr>
                <w:rFonts w:ascii="宋体" w:hAnsi="宋体" w:eastAsia="宋体"/>
                <w:sz w:val="16"/>
              </w:rPr>
              <w:t>）和2023年度疆内喀什籍务工人员服务工作专项组工作总结及情况说明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CE4E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37A8F">
            <w:pPr>
              <w:jc w:val="center"/>
            </w:pPr>
            <w:r>
              <w:rPr>
                <w:rFonts w:ascii="宋体" w:hAnsi="宋体" w:eastAsia="宋体"/>
                <w:sz w:val="16"/>
              </w:rPr>
              <w:t>1.87万人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EBD23">
            <w:pPr>
              <w:jc w:val="center"/>
            </w:pPr>
            <w:r>
              <w:rPr>
                <w:rFonts w:ascii="宋体" w:hAnsi="宋体" w:eastAsia="宋体"/>
                <w:sz w:val="16"/>
              </w:rPr>
              <w:t>116.88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39409">
            <w:pPr>
              <w:jc w:val="center"/>
            </w:pPr>
            <w:r>
              <w:rPr>
                <w:rFonts w:ascii="宋体" w:hAnsi="宋体" w:eastAsia="宋体"/>
                <w:sz w:val="16"/>
              </w:rPr>
              <w:t>15</w:t>
            </w:r>
          </w:p>
        </w:tc>
      </w:tr>
      <w:tr w14:paraId="58F2A4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B80B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F264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A38BA">
            <w:pPr>
              <w:jc w:val="center"/>
            </w:pPr>
            <w:r>
              <w:rPr>
                <w:rFonts w:ascii="宋体" w:hAnsi="宋体" w:eastAsia="宋体"/>
                <w:sz w:val="16"/>
              </w:rPr>
              <w:t>协助地区做好联络协调服务工作质量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29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A6784">
            <w:pPr>
              <w:jc w:val="center"/>
            </w:pPr>
            <w:r>
              <w:rPr>
                <w:rFonts w:ascii="宋体" w:hAnsi="宋体" w:eastAsia="宋体"/>
                <w:sz w:val="16"/>
              </w:rPr>
              <w:t>关于喀什地区行政公署驻乌鲁木齐办事处机构设置方案的通知（喀党编委</w:t>
            </w:r>
            <w:r>
              <w:rPr>
                <w:rFonts w:hint="eastAsia" w:ascii="宋体" w:hAnsi="宋体"/>
                <w:sz w:val="16"/>
                <w:lang w:eastAsia="zh-CN"/>
              </w:rPr>
              <w:t>〔2020〕58号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4672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DDC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FC7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8A782">
            <w:pPr>
              <w:jc w:val="center"/>
            </w:pPr>
            <w:r>
              <w:rPr>
                <w:rFonts w:ascii="宋体" w:hAnsi="宋体" w:eastAsia="宋体"/>
                <w:sz w:val="16"/>
              </w:rPr>
              <w:t>15</w:t>
            </w:r>
          </w:p>
        </w:tc>
      </w:tr>
      <w:tr w14:paraId="258641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3A6B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BB9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3577B">
            <w:pPr>
              <w:jc w:val="center"/>
            </w:pPr>
            <w:r>
              <w:rPr>
                <w:rFonts w:ascii="宋体" w:hAnsi="宋体" w:eastAsia="宋体"/>
                <w:sz w:val="16"/>
              </w:rPr>
              <w:t>做好地区招商引资对接服务保障工作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47A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FBE62">
            <w:pPr>
              <w:jc w:val="center"/>
            </w:pPr>
            <w:r>
              <w:rPr>
                <w:rFonts w:ascii="宋体" w:hAnsi="宋体" w:eastAsia="宋体"/>
                <w:sz w:val="16"/>
              </w:rPr>
              <w:t>关于喀什地区行政公署驻乌鲁木齐办事处机构设置方案的通知（喀党编委</w:t>
            </w:r>
            <w:r>
              <w:rPr>
                <w:rFonts w:hint="eastAsia" w:ascii="宋体" w:hAnsi="宋体"/>
                <w:sz w:val="16"/>
                <w:lang w:eastAsia="zh-CN"/>
              </w:rPr>
              <w:t>〔2020〕58号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E7D9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8D4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936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30737">
            <w:pPr>
              <w:jc w:val="center"/>
            </w:pPr>
            <w:r>
              <w:rPr>
                <w:rFonts w:ascii="宋体" w:hAnsi="宋体" w:eastAsia="宋体"/>
                <w:sz w:val="16"/>
              </w:rPr>
              <w:t>15</w:t>
            </w:r>
          </w:p>
        </w:tc>
      </w:tr>
      <w:tr w14:paraId="086776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4CE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139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C3A4A">
            <w:pPr>
              <w:jc w:val="center"/>
            </w:pPr>
            <w:r>
              <w:rPr>
                <w:rFonts w:ascii="宋体" w:hAnsi="宋体" w:eastAsia="宋体"/>
                <w:sz w:val="16"/>
              </w:rPr>
              <w:t>收集整理传递政务信息和经济信息的及时率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3AA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6C955">
            <w:pPr>
              <w:jc w:val="center"/>
            </w:pPr>
            <w:r>
              <w:rPr>
                <w:rFonts w:ascii="宋体" w:hAnsi="宋体" w:eastAsia="宋体"/>
                <w:sz w:val="16"/>
              </w:rPr>
              <w:t>关于喀什地区行政公署驻乌鲁木齐办事处机构设置方案的通知（喀党编委</w:t>
            </w:r>
            <w:r>
              <w:rPr>
                <w:rFonts w:hint="eastAsia" w:ascii="宋体" w:hAnsi="宋体"/>
                <w:sz w:val="16"/>
                <w:lang w:eastAsia="zh-CN"/>
              </w:rPr>
              <w:t>〔2020〕58号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9147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9B9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FCF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52F5B">
            <w:pPr>
              <w:jc w:val="center"/>
            </w:pPr>
            <w:r>
              <w:rPr>
                <w:rFonts w:ascii="宋体" w:hAnsi="宋体" w:eastAsia="宋体"/>
                <w:sz w:val="16"/>
              </w:rPr>
              <w:t>15</w:t>
            </w:r>
          </w:p>
        </w:tc>
      </w:tr>
    </w:tbl>
    <w:p w14:paraId="0117BD98">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6"/>
        <w:gridCol w:w="696"/>
        <w:gridCol w:w="628"/>
        <w:gridCol w:w="626"/>
        <w:gridCol w:w="626"/>
        <w:gridCol w:w="696"/>
        <w:gridCol w:w="632"/>
        <w:gridCol w:w="616"/>
        <w:gridCol w:w="630"/>
      </w:tblGrid>
      <w:tr w14:paraId="5E9E2A3C">
        <w:tblPrEx>
          <w:tblCellMar>
            <w:top w:w="0" w:type="dxa"/>
            <w:left w:w="108" w:type="dxa"/>
            <w:bottom w:w="0" w:type="dxa"/>
            <w:right w:w="108" w:type="dxa"/>
          </w:tblCellMar>
        </w:tblPrEx>
        <w:tc>
          <w:tcPr>
            <w:tcW w:w="8848" w:type="dxa"/>
            <w:gridSpan w:val="14"/>
            <w:vAlign w:val="center"/>
          </w:tcPr>
          <w:p w14:paraId="2BFFDEF5">
            <w:pPr>
              <w:jc w:val="center"/>
            </w:pPr>
            <w:r>
              <w:rPr>
                <w:rFonts w:ascii="宋体" w:hAnsi="宋体" w:eastAsia="宋体"/>
                <w:sz w:val="24"/>
              </w:rPr>
              <w:t>项目支出绩效自评表</w:t>
            </w:r>
          </w:p>
        </w:tc>
      </w:tr>
      <w:tr w14:paraId="3A3E7C3A">
        <w:tblPrEx>
          <w:tblCellMar>
            <w:top w:w="0" w:type="dxa"/>
            <w:left w:w="108" w:type="dxa"/>
            <w:bottom w:w="0" w:type="dxa"/>
            <w:right w:w="108" w:type="dxa"/>
          </w:tblCellMar>
        </w:tblPrEx>
        <w:tc>
          <w:tcPr>
            <w:tcW w:w="8848" w:type="dxa"/>
            <w:gridSpan w:val="14"/>
            <w:vAlign w:val="center"/>
          </w:tcPr>
          <w:p w14:paraId="4DFFD2DB">
            <w:pPr>
              <w:jc w:val="center"/>
            </w:pPr>
            <w:r>
              <w:rPr>
                <w:rFonts w:ascii="宋体" w:hAnsi="宋体" w:eastAsia="宋体"/>
                <w:sz w:val="24"/>
              </w:rPr>
              <w:t>(2024年度)</w:t>
            </w:r>
          </w:p>
        </w:tc>
      </w:tr>
      <w:tr w14:paraId="73295A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13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DBA150">
            <w:pPr>
              <w:jc w:val="center"/>
            </w:pPr>
            <w:r>
              <w:rPr>
                <w:rFonts w:ascii="宋体" w:hAnsi="宋体" w:eastAsia="宋体"/>
                <w:sz w:val="16"/>
              </w:rPr>
              <w:t>2024年度疆内喀什籍务工人员服务工作专项组流管办工作项目</w:t>
            </w:r>
          </w:p>
        </w:tc>
      </w:tr>
      <w:tr w14:paraId="6BFC15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E2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FE872">
            <w:pPr>
              <w:jc w:val="center"/>
            </w:pPr>
            <w:r>
              <w:rPr>
                <w:rFonts w:ascii="宋体" w:hAnsi="宋体" w:eastAsia="宋体"/>
                <w:sz w:val="16"/>
              </w:rPr>
              <w:t>喀什地区行署办公室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9A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5F9381">
            <w:pPr>
              <w:jc w:val="center"/>
            </w:pPr>
            <w:r>
              <w:rPr>
                <w:rFonts w:ascii="宋体" w:hAnsi="宋体" w:eastAsia="宋体"/>
                <w:sz w:val="16"/>
              </w:rPr>
              <w:t>喀什地区行政公署驻乌鲁木齐办事处</w:t>
            </w:r>
          </w:p>
        </w:tc>
      </w:tr>
      <w:tr w14:paraId="1348F3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649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232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EA1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544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0D5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CA5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221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5CDB">
            <w:pPr>
              <w:jc w:val="center"/>
            </w:pPr>
            <w:r>
              <w:rPr>
                <w:rFonts w:ascii="宋体" w:hAnsi="宋体" w:eastAsia="宋体"/>
                <w:sz w:val="16"/>
              </w:rPr>
              <w:t>得分</w:t>
            </w:r>
          </w:p>
        </w:tc>
      </w:tr>
      <w:tr w14:paraId="292CA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4E4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896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3F345">
            <w:pPr>
              <w:jc w:val="center"/>
            </w:pPr>
            <w:r>
              <w:rPr>
                <w:rFonts w:ascii="宋体" w:hAnsi="宋体" w:eastAsia="宋体"/>
                <w:sz w:val="16"/>
              </w:rPr>
              <w:t>48.91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7A1F7">
            <w:pPr>
              <w:jc w:val="center"/>
            </w:pPr>
            <w:r>
              <w:rPr>
                <w:rFonts w:ascii="宋体" w:hAnsi="宋体" w:eastAsia="宋体"/>
                <w:sz w:val="16"/>
              </w:rPr>
              <w:t>48.91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6438">
            <w:pPr>
              <w:jc w:val="center"/>
            </w:pPr>
            <w:r>
              <w:rPr>
                <w:rFonts w:ascii="宋体" w:hAnsi="宋体" w:eastAsia="宋体"/>
                <w:sz w:val="16"/>
              </w:rPr>
              <w:t>41.28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58A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1FA8D">
            <w:pPr>
              <w:jc w:val="center"/>
            </w:pPr>
            <w:r>
              <w:rPr>
                <w:rFonts w:ascii="宋体" w:hAnsi="宋体" w:eastAsia="宋体"/>
                <w:sz w:val="16"/>
              </w:rPr>
              <w:t>84.4%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BFFE">
            <w:pPr>
              <w:jc w:val="center"/>
            </w:pPr>
            <w:r>
              <w:rPr>
                <w:rFonts w:ascii="宋体" w:hAnsi="宋体" w:eastAsia="宋体"/>
                <w:sz w:val="16"/>
              </w:rPr>
              <w:t>6.10分</w:t>
            </w:r>
          </w:p>
        </w:tc>
      </w:tr>
      <w:tr w14:paraId="0B18F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CAA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46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90B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B5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9EE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207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78E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334D">
            <w:pPr>
              <w:jc w:val="center"/>
            </w:pPr>
            <w:r>
              <w:rPr>
                <w:rFonts w:ascii="宋体" w:hAnsi="宋体" w:eastAsia="宋体"/>
                <w:sz w:val="16"/>
              </w:rPr>
              <w:t>—</w:t>
            </w:r>
          </w:p>
        </w:tc>
      </w:tr>
      <w:tr w14:paraId="090B0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292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DD6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FD5F8">
            <w:pPr>
              <w:jc w:val="center"/>
            </w:pPr>
            <w:r>
              <w:rPr>
                <w:rFonts w:ascii="宋体" w:hAnsi="宋体" w:eastAsia="宋体"/>
                <w:sz w:val="16"/>
              </w:rPr>
              <w:t>48.91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DCC09">
            <w:pPr>
              <w:jc w:val="center"/>
            </w:pPr>
            <w:r>
              <w:rPr>
                <w:rFonts w:ascii="宋体" w:hAnsi="宋体" w:eastAsia="宋体"/>
                <w:sz w:val="16"/>
              </w:rPr>
              <w:t>48.91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EF78">
            <w:pPr>
              <w:jc w:val="center"/>
            </w:pPr>
            <w:r>
              <w:rPr>
                <w:rFonts w:ascii="宋体" w:hAnsi="宋体" w:eastAsia="宋体"/>
                <w:sz w:val="16"/>
              </w:rPr>
              <w:t>41.28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35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322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D0CF">
            <w:pPr>
              <w:jc w:val="center"/>
            </w:pPr>
            <w:r>
              <w:rPr>
                <w:rFonts w:ascii="宋体" w:hAnsi="宋体" w:eastAsia="宋体"/>
                <w:sz w:val="16"/>
              </w:rPr>
              <w:t>—</w:t>
            </w:r>
          </w:p>
        </w:tc>
      </w:tr>
      <w:tr w14:paraId="5246F8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039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A704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F90883">
            <w:pPr>
              <w:jc w:val="center"/>
            </w:pPr>
            <w:r>
              <w:rPr>
                <w:rFonts w:ascii="宋体" w:hAnsi="宋体" w:eastAsia="宋体"/>
                <w:sz w:val="16"/>
              </w:rPr>
              <w:t>实际完成情况</w:t>
            </w:r>
          </w:p>
        </w:tc>
      </w:tr>
      <w:tr w14:paraId="5896A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853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8D98FF">
            <w:pPr>
              <w:jc w:val="both"/>
            </w:pPr>
            <w:r>
              <w:rPr>
                <w:rFonts w:ascii="宋体" w:hAnsi="宋体" w:eastAsia="宋体"/>
                <w:sz w:val="16"/>
              </w:rPr>
              <w:t>申请项目资金48.91万元，以服务10.3万名喀什籍流动人员为重点，加强以服务好流动人口、处理信访诉求、化解矛盾纠纷，做好原籍与乌鲁木齐相关部门对接协调的双向管理工作等重点工作，切实维护社会大局和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3F4B91">
            <w:pPr>
              <w:jc w:val="both"/>
            </w:pPr>
            <w:r>
              <w:rPr>
                <w:rFonts w:ascii="宋体" w:hAnsi="宋体" w:eastAsia="宋体"/>
                <w:sz w:val="16"/>
              </w:rPr>
              <w:t>该项目实际支付资金41.28万元。通过项目实施，疆内喀什籍务工人员服务工作专项组流管办精心谋划部署，持续推动主题教育走深走实，组织集中学习14次，为全面做好喀什籍流动人口服务工作奠定坚实基础；强化“双向”管理，不断提升流动人口管理质效，协助社区解决喀什籍流动各种工作，配合各区县处理流动人口的工作，切实形成工作合力，有力推动各项工作；突出重点关注对象，确保外出人员底数清，情况明，建立流动人口台账、落实走访制度宣传教育、建立重点人员包联机制。解决困难诉求，拓展矛盾纠纷化解渠道，今年以来，收集解决群众困难诉求268件，已解决238件，跟进15件；开展暖心活动，凝心聚力，铸牢中华民族共同体，在春节及“十一”期间，对困难群众、特殊家庭进行慰问，对辖区110户喀什籍困难群众进行慰问，在“六一”期间向50名喀什籍贫困学生送去温暖。流管办切实保障流动人口合法权益，全面做好流动人口服务管理各项工作。</w:t>
            </w:r>
          </w:p>
        </w:tc>
      </w:tr>
      <w:tr w14:paraId="33FB9D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CE6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F8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2C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D4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E0B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D4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11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05C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84A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7C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48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90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65925">
            <w:pPr>
              <w:jc w:val="center"/>
            </w:pPr>
            <w:r>
              <w:rPr>
                <w:rFonts w:ascii="宋体" w:hAnsi="宋体" w:eastAsia="宋体"/>
                <w:sz w:val="16"/>
              </w:rPr>
              <w:t>偏差原因分析及改进措施</w:t>
            </w:r>
          </w:p>
        </w:tc>
      </w:tr>
      <w:tr w14:paraId="682EC9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C7F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C33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867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78D6">
            <w:pPr>
              <w:jc w:val="center"/>
            </w:pPr>
            <w:r>
              <w:rPr>
                <w:rFonts w:ascii="宋体" w:hAnsi="宋体" w:eastAsia="宋体"/>
                <w:sz w:val="16"/>
              </w:rPr>
              <w:t>在乌喀什籍流动人员数量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815C">
            <w:pPr>
              <w:jc w:val="center"/>
            </w:pPr>
            <w:r>
              <w:rPr>
                <w:rFonts w:ascii="宋体" w:hAnsi="宋体" w:eastAsia="宋体"/>
                <w:sz w:val="16"/>
              </w:rPr>
              <w:t>&gt;=10.30万人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6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79D5">
            <w:pPr>
              <w:jc w:val="center"/>
            </w:pPr>
            <w:r>
              <w:rPr>
                <w:rFonts w:ascii="宋体" w:hAnsi="宋体" w:eastAsia="宋体"/>
                <w:sz w:val="16"/>
              </w:rPr>
              <w:t>=13.03万人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4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3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63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7E0D">
            <w:pPr>
              <w:jc w:val="center"/>
            </w:pPr>
            <w:r>
              <w:rPr>
                <w:rFonts w:ascii="宋体" w:hAnsi="宋体" w:eastAsia="宋体"/>
                <w:sz w:val="16"/>
              </w:rPr>
              <w:t>=12.38万人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D9B8">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EF810">
            <w:pPr>
              <w:jc w:val="center"/>
            </w:pPr>
            <w:r>
              <w:rPr>
                <w:rFonts w:ascii="宋体" w:hAnsi="宋体" w:eastAsia="宋体"/>
                <w:sz w:val="16"/>
              </w:rPr>
              <w:t>偏差原因：该数据为动态数据，在乌喀什籍流动人员流动性较大，造成数据有些偏差。整改措施：继续加强流动人口数据</w:t>
            </w:r>
            <w:r>
              <w:rPr>
                <w:rFonts w:hint="eastAsia" w:ascii="宋体" w:hAnsi="宋体"/>
                <w:sz w:val="16"/>
                <w:lang w:val="en-US" w:eastAsia="zh-CN"/>
              </w:rPr>
              <w:t>跟踪</w:t>
            </w:r>
            <w:r>
              <w:rPr>
                <w:rFonts w:ascii="宋体" w:hAnsi="宋体" w:eastAsia="宋体"/>
                <w:sz w:val="16"/>
              </w:rPr>
              <w:t>，及时更新数据，将工作流程进一步细化完善，保证数据的准确性和完整性。</w:t>
            </w:r>
          </w:p>
        </w:tc>
      </w:tr>
      <w:tr w14:paraId="65367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66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BF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D1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4E10">
            <w:pPr>
              <w:jc w:val="center"/>
            </w:pPr>
            <w:r>
              <w:rPr>
                <w:rFonts w:ascii="宋体" w:hAnsi="宋体" w:eastAsia="宋体"/>
                <w:sz w:val="16"/>
              </w:rPr>
              <w:t>派驻专项组流管办干部人员数量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83C3">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3EA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949F">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5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8C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E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00B5">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A145">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D8AB3">
            <w:pPr>
              <w:jc w:val="center"/>
            </w:pPr>
            <w:r>
              <w:rPr>
                <w:rFonts w:ascii="宋体" w:hAnsi="宋体" w:eastAsia="宋体"/>
                <w:sz w:val="16"/>
              </w:rPr>
              <w:t>偏差原因：派驻专项组流班干部进行正常轮换，重新派驻班干部年底未到位；整改措施：加强对动态数量的关注，及时根据变化完成绩效目标的调整。</w:t>
            </w:r>
          </w:p>
        </w:tc>
      </w:tr>
      <w:tr w14:paraId="2DB0E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7BA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D7E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36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6DBE">
            <w:pPr>
              <w:jc w:val="center"/>
            </w:pPr>
            <w:r>
              <w:rPr>
                <w:rFonts w:ascii="宋体" w:hAnsi="宋体" w:eastAsia="宋体"/>
                <w:sz w:val="16"/>
              </w:rPr>
              <w:t>对在乌喀什籍流动人员重点服务对象工作完成率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0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2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6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B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B1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12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5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A4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5486B">
            <w:pPr>
              <w:jc w:val="center"/>
            </w:pPr>
          </w:p>
        </w:tc>
      </w:tr>
      <w:tr w14:paraId="4CC75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61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7CD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A5B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E2C9">
            <w:pPr>
              <w:jc w:val="center"/>
            </w:pPr>
            <w:r>
              <w:rPr>
                <w:rFonts w:ascii="宋体" w:hAnsi="宋体" w:eastAsia="宋体"/>
                <w:sz w:val="16"/>
              </w:rPr>
              <w:t>保障在乌喀什籍流动人员在疆内服务管理时限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D09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B1A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62CD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64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25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F4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F24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C1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4C6DE">
            <w:pPr>
              <w:jc w:val="center"/>
            </w:pPr>
          </w:p>
        </w:tc>
      </w:tr>
      <w:tr w14:paraId="328D3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1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EA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E8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1B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095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45A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3C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27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DD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3F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485B">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75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E7D5">
            <w:pPr>
              <w:jc w:val="center"/>
            </w:pPr>
          </w:p>
        </w:tc>
      </w:tr>
      <w:tr w14:paraId="0A07E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CBE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9CD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492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D1A2">
            <w:pPr>
              <w:jc w:val="center"/>
            </w:pPr>
            <w:r>
              <w:rPr>
                <w:rFonts w:ascii="宋体" w:hAnsi="宋体" w:eastAsia="宋体"/>
                <w:sz w:val="16"/>
              </w:rPr>
              <w:t>服务保障在乌喀什籍流动人员工作成本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D2FC">
            <w:pPr>
              <w:jc w:val="center"/>
            </w:pPr>
            <w:r>
              <w:rPr>
                <w:rFonts w:ascii="宋体" w:hAnsi="宋体" w:eastAsia="宋体"/>
                <w:sz w:val="16"/>
              </w:rPr>
              <w:t>&lt;=34.87万元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746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B4F4">
            <w:pPr>
              <w:jc w:val="center"/>
            </w:pPr>
            <w:r>
              <w:rPr>
                <w:rFonts w:ascii="宋体" w:hAnsi="宋体" w:eastAsia="宋体"/>
                <w:sz w:val="16"/>
              </w:rPr>
              <w:t>=24.91万元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32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C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50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8364">
            <w:pPr>
              <w:jc w:val="center"/>
            </w:pPr>
            <w:r>
              <w:rPr>
                <w:rFonts w:ascii="宋体" w:hAnsi="宋体" w:eastAsia="宋体"/>
                <w:sz w:val="16"/>
              </w:rPr>
              <w:t>=27.24万元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94E6">
            <w:pPr>
              <w:jc w:val="center"/>
            </w:pPr>
            <w:r>
              <w:rPr>
                <w:rFonts w:ascii="宋体" w:hAnsi="宋体" w:eastAsia="宋体"/>
                <w:sz w:val="16"/>
              </w:rPr>
              <w:t>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B817F">
            <w:pPr>
              <w:jc w:val="center"/>
            </w:pPr>
            <w:r>
              <w:rPr>
                <w:rFonts w:ascii="宋体" w:hAnsi="宋体" w:eastAsia="宋体"/>
                <w:sz w:val="16"/>
              </w:rPr>
              <w:t>偏差原因：因流管办机构调整，2024年办公场所维修和慰问活动未开展；整改措施：加强对动态绩效目标关注，合理设置项目绩效目标，在项目实施过程中，根据数量动态变化情况，及时完成绩效目标调整。</w:t>
            </w:r>
          </w:p>
        </w:tc>
      </w:tr>
      <w:tr w14:paraId="4F913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D5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433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32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C262">
            <w:pPr>
              <w:jc w:val="center"/>
            </w:pPr>
            <w:r>
              <w:rPr>
                <w:rFonts w:ascii="宋体" w:hAnsi="宋体" w:eastAsia="宋体"/>
                <w:sz w:val="16"/>
              </w:rPr>
              <w:t>各县市抽调干部伙食补助成本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FD0F">
            <w:pPr>
              <w:jc w:val="center"/>
            </w:pPr>
            <w:r>
              <w:rPr>
                <w:rFonts w:ascii="宋体" w:hAnsi="宋体" w:eastAsia="宋体"/>
                <w:sz w:val="16"/>
              </w:rPr>
              <w:t>&lt;=14.04万元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A1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3DDE">
            <w:pPr>
              <w:jc w:val="center"/>
            </w:pPr>
            <w:r>
              <w:rPr>
                <w:rFonts w:ascii="宋体" w:hAnsi="宋体" w:eastAsia="宋体"/>
                <w:sz w:val="16"/>
              </w:rPr>
              <w:t>=900元/人/月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6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22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08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B9A3">
            <w:pPr>
              <w:jc w:val="center"/>
            </w:pPr>
            <w:r>
              <w:rPr>
                <w:rFonts w:ascii="宋体" w:hAnsi="宋体" w:eastAsia="宋体"/>
                <w:sz w:val="16"/>
              </w:rPr>
              <w:t>=14.04万元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11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F340">
            <w:pPr>
              <w:jc w:val="center"/>
            </w:pPr>
          </w:p>
        </w:tc>
      </w:tr>
      <w:tr w14:paraId="03F42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08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85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7E8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644A0">
            <w:pPr>
              <w:jc w:val="center"/>
            </w:pPr>
            <w:r>
              <w:rPr>
                <w:rFonts w:ascii="宋体" w:hAnsi="宋体" w:eastAsia="宋体"/>
                <w:sz w:val="16"/>
              </w:rPr>
              <w:t>增强获得感、幸福感、安全感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D0A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98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886E">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F0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82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C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A9D3">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256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4E24">
            <w:pPr>
              <w:jc w:val="center"/>
            </w:pPr>
          </w:p>
        </w:tc>
      </w:tr>
      <w:tr w14:paraId="7F6044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08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71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7A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2465B">
            <w:pPr>
              <w:jc w:val="center"/>
            </w:pPr>
            <w:r>
              <w:rPr>
                <w:rFonts w:ascii="宋体" w:hAnsi="宋体" w:eastAsia="宋体"/>
                <w:sz w:val="16"/>
              </w:rPr>
              <w:t>在乌喀什籍流动人员满意度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A7D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5E2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781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EF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20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E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FC5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F6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AF3C">
            <w:pPr>
              <w:jc w:val="center"/>
            </w:pPr>
          </w:p>
        </w:tc>
      </w:tr>
      <w:tr w14:paraId="0E61DE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CEF9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C3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033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C443">
            <w:pPr>
              <w:jc w:val="center"/>
            </w:pPr>
            <w:r>
              <w:rPr>
                <w:rFonts w:ascii="宋体" w:hAnsi="宋体" w:eastAsia="宋体"/>
                <w:sz w:val="16"/>
              </w:rPr>
              <w:t>86.11分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E47A5A"/>
        </w:tc>
      </w:tr>
    </w:tbl>
    <w:p w14:paraId="3E5C8B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32"/>
        <w:gridCol w:w="632"/>
        <w:gridCol w:w="632"/>
        <w:gridCol w:w="632"/>
      </w:tblGrid>
      <w:tr w14:paraId="20A6FA70">
        <w:tblPrEx>
          <w:tblCellMar>
            <w:top w:w="0" w:type="dxa"/>
            <w:left w:w="108" w:type="dxa"/>
            <w:bottom w:w="0" w:type="dxa"/>
            <w:right w:w="108" w:type="dxa"/>
          </w:tblCellMar>
        </w:tblPrEx>
        <w:tc>
          <w:tcPr>
            <w:tcW w:w="8848" w:type="dxa"/>
            <w:gridSpan w:val="14"/>
            <w:vAlign w:val="center"/>
          </w:tcPr>
          <w:p w14:paraId="4DCB6EB7">
            <w:pPr>
              <w:jc w:val="center"/>
            </w:pPr>
            <w:r>
              <w:rPr>
                <w:rFonts w:ascii="宋体" w:hAnsi="宋体" w:eastAsia="宋体"/>
                <w:sz w:val="24"/>
              </w:rPr>
              <w:t>项目支出绩效自评表</w:t>
            </w:r>
          </w:p>
        </w:tc>
      </w:tr>
      <w:tr w14:paraId="1DAF46E6">
        <w:tblPrEx>
          <w:tblCellMar>
            <w:top w:w="0" w:type="dxa"/>
            <w:left w:w="108" w:type="dxa"/>
            <w:bottom w:w="0" w:type="dxa"/>
            <w:right w:w="108" w:type="dxa"/>
          </w:tblCellMar>
        </w:tblPrEx>
        <w:tc>
          <w:tcPr>
            <w:tcW w:w="8848" w:type="dxa"/>
            <w:gridSpan w:val="14"/>
            <w:vAlign w:val="center"/>
          </w:tcPr>
          <w:p w14:paraId="30743432">
            <w:pPr>
              <w:jc w:val="center"/>
            </w:pPr>
            <w:r>
              <w:rPr>
                <w:rFonts w:ascii="宋体" w:hAnsi="宋体" w:eastAsia="宋体"/>
                <w:sz w:val="24"/>
              </w:rPr>
              <w:t>(2024年度)</w:t>
            </w:r>
          </w:p>
        </w:tc>
      </w:tr>
      <w:tr w14:paraId="6420F8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2A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D52748">
            <w:pPr>
              <w:jc w:val="center"/>
            </w:pPr>
            <w:r>
              <w:rPr>
                <w:rFonts w:ascii="宋体" w:hAnsi="宋体" w:eastAsia="宋体"/>
                <w:sz w:val="16"/>
              </w:rPr>
              <w:t>乌鲁木齐市服务项目</w:t>
            </w:r>
          </w:p>
        </w:tc>
      </w:tr>
      <w:tr w14:paraId="43DCA1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D1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45464">
            <w:pPr>
              <w:jc w:val="center"/>
            </w:pPr>
            <w:r>
              <w:rPr>
                <w:rFonts w:ascii="宋体" w:hAnsi="宋体" w:eastAsia="宋体"/>
                <w:sz w:val="16"/>
              </w:rPr>
              <w:t>喀什地区行署办公室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B3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8264B">
            <w:pPr>
              <w:jc w:val="center"/>
            </w:pPr>
            <w:r>
              <w:rPr>
                <w:rFonts w:ascii="宋体" w:hAnsi="宋体" w:eastAsia="宋体"/>
                <w:sz w:val="16"/>
              </w:rPr>
              <w:t>喀什地区行政公署驻乌鲁木齐办事处</w:t>
            </w:r>
          </w:p>
        </w:tc>
      </w:tr>
      <w:tr w14:paraId="73F84F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A0F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50E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AB6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3E8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A8E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F52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E21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8765">
            <w:pPr>
              <w:jc w:val="center"/>
            </w:pPr>
            <w:r>
              <w:rPr>
                <w:rFonts w:ascii="宋体" w:hAnsi="宋体" w:eastAsia="宋体"/>
                <w:sz w:val="16"/>
              </w:rPr>
              <w:t>得分</w:t>
            </w:r>
          </w:p>
        </w:tc>
      </w:tr>
      <w:tr w14:paraId="7684B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70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E3F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37C3">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C068">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46916">
            <w:pPr>
              <w:jc w:val="center"/>
            </w:pPr>
            <w:r>
              <w:rPr>
                <w:rFonts w:ascii="宋体" w:hAnsi="宋体" w:eastAsia="宋体"/>
                <w:sz w:val="16"/>
              </w:rPr>
              <w:t>33.65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9D3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8B825">
            <w:pPr>
              <w:jc w:val="center"/>
            </w:pPr>
            <w:r>
              <w:rPr>
                <w:rFonts w:ascii="宋体" w:hAnsi="宋体" w:eastAsia="宋体"/>
                <w:sz w:val="16"/>
              </w:rPr>
              <w:t>96.1%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6CE1">
            <w:pPr>
              <w:jc w:val="center"/>
            </w:pPr>
            <w:r>
              <w:rPr>
                <w:rFonts w:ascii="宋体" w:hAnsi="宋体" w:eastAsia="宋体"/>
                <w:sz w:val="16"/>
              </w:rPr>
              <w:t>10.00分</w:t>
            </w:r>
          </w:p>
        </w:tc>
      </w:tr>
      <w:tr w14:paraId="7D40D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58B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D6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122B3">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2AB7">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6294D">
            <w:pPr>
              <w:jc w:val="center"/>
            </w:pPr>
            <w:r>
              <w:rPr>
                <w:rFonts w:ascii="宋体" w:hAnsi="宋体" w:eastAsia="宋体"/>
                <w:sz w:val="16"/>
              </w:rPr>
              <w:t>33.65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25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8E3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E693">
            <w:pPr>
              <w:jc w:val="center"/>
            </w:pPr>
            <w:r>
              <w:rPr>
                <w:rFonts w:ascii="宋体" w:hAnsi="宋体" w:eastAsia="宋体"/>
                <w:sz w:val="16"/>
              </w:rPr>
              <w:t>—</w:t>
            </w:r>
          </w:p>
        </w:tc>
      </w:tr>
      <w:tr w14:paraId="00C93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278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CAC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7C2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A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BB8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6ED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42D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04D4">
            <w:pPr>
              <w:jc w:val="center"/>
            </w:pPr>
            <w:r>
              <w:rPr>
                <w:rFonts w:ascii="宋体" w:hAnsi="宋体" w:eastAsia="宋体"/>
                <w:sz w:val="16"/>
              </w:rPr>
              <w:t>—</w:t>
            </w:r>
          </w:p>
        </w:tc>
      </w:tr>
      <w:tr w14:paraId="2EEEDB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90F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26B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57AFE1">
            <w:pPr>
              <w:jc w:val="center"/>
            </w:pPr>
            <w:r>
              <w:rPr>
                <w:rFonts w:ascii="宋体" w:hAnsi="宋体" w:eastAsia="宋体"/>
                <w:sz w:val="16"/>
              </w:rPr>
              <w:t>实际完成情况</w:t>
            </w:r>
          </w:p>
        </w:tc>
      </w:tr>
      <w:tr w14:paraId="193E3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DFB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8B79E">
            <w:pPr>
              <w:jc w:val="both"/>
            </w:pPr>
            <w:r>
              <w:rPr>
                <w:rFonts w:ascii="宋体" w:hAnsi="宋体" w:eastAsia="宋体"/>
                <w:sz w:val="16"/>
              </w:rPr>
              <w:t>本项目申请财政资金35万元，项目覆盖喀什地区在乌鲁木齐市的务工人员及流动人口服务管理工作。及时化解影响社会的矛盾纠纷，解决喀什籍人员反映的热点难点问题，密切关注喀什籍人员合法权益保障工作，扎实做好喀什籍人员就业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A83F03">
            <w:pPr>
              <w:jc w:val="both"/>
            </w:pPr>
            <w:r>
              <w:rPr>
                <w:rFonts w:ascii="宋体" w:hAnsi="宋体" w:eastAsia="宋体"/>
                <w:sz w:val="16"/>
              </w:rPr>
              <w:t>该项目实际支付项目资金33.65万元。通过项目实施，租赁办公场所1处，组织全体党员干部开展学习贯彻习近平新时代中国特色社会主义思想主题教育，开展督查指导工作，与用工单位负责人座谈交流，掌握务工人员工作生活情况。做好务工人员服务工作，确保在乌喀什籍务工人员4341人的服务保障工作。开展安全生产宣传教育，签订安全生产承诺书。督促用工单位依法签订劳动合同，按时发放工资和缴纳社保，组织开展民族团结文体活动，对140名“五好”员工进行表彰奖励，开展慰问活动84场，积极协调开发就业岗位，提供12批10203个岗位，筛选核实后全部推送回各输出县。用心、用情、用力解决务工人员就业难题，努力</w:t>
            </w:r>
            <w:r>
              <w:rPr>
                <w:rFonts w:hint="eastAsia" w:ascii="宋体" w:hAnsi="宋体"/>
                <w:sz w:val="16"/>
                <w:lang w:eastAsia="zh-CN"/>
              </w:rPr>
              <w:t>提升</w:t>
            </w:r>
            <w:r>
              <w:rPr>
                <w:rFonts w:ascii="宋体" w:hAnsi="宋体" w:eastAsia="宋体"/>
                <w:sz w:val="16"/>
              </w:rPr>
              <w:t>务工人员的收入，让务工人员的获得感成色更足，幸福感更可持续。</w:t>
            </w:r>
          </w:p>
        </w:tc>
      </w:tr>
      <w:tr w14:paraId="1EBE0B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1B2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40A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4E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69A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05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C1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FE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65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E1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CA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7A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21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10DF9">
            <w:pPr>
              <w:jc w:val="center"/>
            </w:pPr>
            <w:r>
              <w:rPr>
                <w:rFonts w:ascii="宋体" w:hAnsi="宋体" w:eastAsia="宋体"/>
                <w:sz w:val="16"/>
              </w:rPr>
              <w:t>偏差原因分析及改进措施</w:t>
            </w:r>
          </w:p>
        </w:tc>
      </w:tr>
      <w:tr w14:paraId="6586D9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662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051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761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ED22">
            <w:pPr>
              <w:jc w:val="center"/>
            </w:pPr>
            <w:r>
              <w:rPr>
                <w:rFonts w:ascii="宋体" w:hAnsi="宋体" w:eastAsia="宋体"/>
                <w:sz w:val="16"/>
              </w:rPr>
              <w:t>租赁办公场所数量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A129">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F7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C201">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8A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E8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C1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9EC7">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92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79150">
            <w:pPr>
              <w:jc w:val="center"/>
            </w:pPr>
          </w:p>
        </w:tc>
      </w:tr>
      <w:tr w14:paraId="5525C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7F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4E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EC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46C5">
            <w:pPr>
              <w:jc w:val="center"/>
            </w:pPr>
            <w:r>
              <w:rPr>
                <w:rFonts w:ascii="宋体" w:hAnsi="宋体" w:eastAsia="宋体"/>
                <w:sz w:val="16"/>
              </w:rPr>
              <w:t>喀什籍在乌务工人员数量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CD73">
            <w:pPr>
              <w:jc w:val="center"/>
            </w:pPr>
            <w:r>
              <w:rPr>
                <w:rFonts w:ascii="宋体" w:hAnsi="宋体" w:eastAsia="宋体"/>
                <w:sz w:val="16"/>
              </w:rPr>
              <w:t>&gt;=3299人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86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90F4">
            <w:pPr>
              <w:jc w:val="center"/>
            </w:pPr>
            <w:r>
              <w:rPr>
                <w:rFonts w:ascii="宋体" w:hAnsi="宋体" w:eastAsia="宋体"/>
                <w:sz w:val="16"/>
              </w:rPr>
              <w:t>&gt;=3299人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09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48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1A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3933">
            <w:pPr>
              <w:jc w:val="center"/>
            </w:pPr>
            <w:r>
              <w:rPr>
                <w:rFonts w:ascii="宋体" w:hAnsi="宋体" w:eastAsia="宋体"/>
                <w:sz w:val="16"/>
              </w:rPr>
              <w:t>=4341人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324B">
            <w:pPr>
              <w:jc w:val="center"/>
            </w:pPr>
            <w:r>
              <w:rPr>
                <w:rFonts w:ascii="宋体" w:hAnsi="宋体" w:eastAsia="宋体"/>
                <w:sz w:val="16"/>
              </w:rPr>
              <w:t>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1BFF6">
            <w:pPr>
              <w:jc w:val="center"/>
            </w:pPr>
            <w:r>
              <w:rPr>
                <w:rFonts w:ascii="宋体" w:hAnsi="宋体" w:eastAsia="宋体"/>
                <w:sz w:val="16"/>
              </w:rPr>
              <w:t>偏差原因：此数据呈动态变化，喀什籍务工人员在乌流动性偏大，故而造成与预设指标存在一定偏差。整改措施：不断优化并提升喀什籍务工人员数据体系，以确保其时效性与准确性得以同步强化。</w:t>
            </w:r>
          </w:p>
        </w:tc>
      </w:tr>
      <w:tr w14:paraId="41B91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D3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CE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40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4E44">
            <w:pPr>
              <w:jc w:val="center"/>
            </w:pPr>
            <w:r>
              <w:rPr>
                <w:rFonts w:ascii="宋体" w:hAnsi="宋体" w:eastAsia="宋体"/>
                <w:sz w:val="16"/>
              </w:rPr>
              <w:t>喀什籍务工人员合同签订率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8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53D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8E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19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8E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8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B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EF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D4D79">
            <w:pPr>
              <w:jc w:val="center"/>
            </w:pPr>
          </w:p>
        </w:tc>
      </w:tr>
      <w:tr w14:paraId="2FD18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A26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19C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646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02E2">
            <w:pPr>
              <w:jc w:val="center"/>
            </w:pPr>
            <w:r>
              <w:rPr>
                <w:rFonts w:ascii="宋体" w:hAnsi="宋体" w:eastAsia="宋体"/>
                <w:sz w:val="16"/>
              </w:rPr>
              <w:t>保障喀什籍务工人员在乌服务管理时限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3C96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A04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DD4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EB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66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D2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93A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294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2CCB2">
            <w:pPr>
              <w:jc w:val="center"/>
            </w:pPr>
          </w:p>
        </w:tc>
      </w:tr>
      <w:tr w14:paraId="08FCC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2EE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70E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58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1FE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505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96E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72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73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BC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B5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0622">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58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480E8">
            <w:pPr>
              <w:jc w:val="center"/>
            </w:pPr>
          </w:p>
        </w:tc>
      </w:tr>
      <w:tr w14:paraId="07B78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A9D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928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FA1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0B1D">
            <w:pPr>
              <w:jc w:val="center"/>
            </w:pPr>
            <w:r>
              <w:rPr>
                <w:rFonts w:ascii="宋体" w:hAnsi="宋体" w:eastAsia="宋体"/>
                <w:sz w:val="16"/>
              </w:rPr>
              <w:t>派驻人员工作费用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5EFB">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340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B976">
            <w:pPr>
              <w:jc w:val="center"/>
            </w:pPr>
            <w:r>
              <w:rPr>
                <w:rFonts w:ascii="宋体" w:hAnsi="宋体" w:eastAsia="宋体"/>
                <w:sz w:val="16"/>
              </w:rPr>
              <w:t>=10.53万元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78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70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A0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6FEA">
            <w:pPr>
              <w:jc w:val="center"/>
            </w:pPr>
            <w:r>
              <w:rPr>
                <w:rFonts w:ascii="宋体" w:hAnsi="宋体" w:eastAsia="宋体"/>
                <w:sz w:val="16"/>
              </w:rPr>
              <w:t>=7.65万元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0749">
            <w:pPr>
              <w:jc w:val="center"/>
            </w:pPr>
            <w:r>
              <w:rPr>
                <w:rFonts w:ascii="宋体" w:hAnsi="宋体" w:eastAsia="宋体"/>
                <w:sz w:val="16"/>
              </w:rPr>
              <w:t>6.25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302E5">
            <w:pPr>
              <w:jc w:val="center"/>
            </w:pPr>
            <w:r>
              <w:rPr>
                <w:rFonts w:ascii="宋体" w:hAnsi="宋体" w:eastAsia="宋体"/>
                <w:sz w:val="16"/>
              </w:rPr>
              <w:t>偏差原因：乌鲁木齐</w:t>
            </w:r>
            <w:r>
              <w:rPr>
                <w:rFonts w:hint="eastAsia" w:ascii="宋体" w:hAnsi="宋体"/>
                <w:sz w:val="16"/>
                <w:lang w:eastAsia="zh-CN"/>
              </w:rPr>
              <w:t>培训</w:t>
            </w:r>
            <w:r>
              <w:rPr>
                <w:rFonts w:ascii="宋体" w:hAnsi="宋体" w:eastAsia="宋体"/>
                <w:sz w:val="16"/>
              </w:rPr>
              <w:t>进行整合调整，</w:t>
            </w:r>
            <w:r>
              <w:rPr>
                <w:rFonts w:hint="eastAsia" w:ascii="宋体" w:hAnsi="宋体"/>
                <w:sz w:val="16"/>
                <w:lang w:eastAsia="zh-CN"/>
              </w:rPr>
              <w:t>不再</w:t>
            </w:r>
            <w:r>
              <w:rPr>
                <w:rFonts w:ascii="宋体" w:hAnsi="宋体" w:eastAsia="宋体"/>
                <w:sz w:val="16"/>
              </w:rPr>
              <w:t>有出差任务，差旅费不再支付；整改措施：加强部门预算金额的准确性与可靠性，在项目实施过程中，及时申请核减资金，调整绩效目标。</w:t>
            </w:r>
          </w:p>
        </w:tc>
      </w:tr>
      <w:tr w14:paraId="18EAD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438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DC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9D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441B">
            <w:pPr>
              <w:jc w:val="center"/>
            </w:pPr>
            <w:r>
              <w:rPr>
                <w:rFonts w:ascii="宋体" w:hAnsi="宋体" w:eastAsia="宋体"/>
                <w:sz w:val="16"/>
              </w:rPr>
              <w:t>租赁办公场所金额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2274">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6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DEDB">
            <w:pPr>
              <w:jc w:val="center"/>
            </w:pPr>
            <w:r>
              <w:rPr>
                <w:rFonts w:ascii="宋体" w:hAnsi="宋体" w:eastAsia="宋体"/>
                <w:sz w:val="16"/>
              </w:rPr>
              <w: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7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2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54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DB28">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0A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1979">
            <w:pPr>
              <w:jc w:val="center"/>
            </w:pPr>
          </w:p>
        </w:tc>
      </w:tr>
      <w:tr w14:paraId="4B449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21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21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E2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93D8">
            <w:pPr>
              <w:jc w:val="center"/>
            </w:pPr>
            <w:r>
              <w:rPr>
                <w:rFonts w:ascii="宋体" w:hAnsi="宋体" w:eastAsia="宋体"/>
                <w:sz w:val="16"/>
              </w:rPr>
              <w:t>增强务工人员获得感、幸福感、安全感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FBCF">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F34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3367">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C4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2F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A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9E4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1A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DC703">
            <w:pPr>
              <w:jc w:val="center"/>
            </w:pPr>
          </w:p>
        </w:tc>
      </w:tr>
      <w:tr w14:paraId="266C7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948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A9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CB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9687">
            <w:pPr>
              <w:jc w:val="center"/>
            </w:pPr>
            <w:r>
              <w:rPr>
                <w:rFonts w:ascii="宋体" w:hAnsi="宋体" w:eastAsia="宋体"/>
                <w:sz w:val="16"/>
              </w:rPr>
              <w:t>喀什籍在乌务工人员满意度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02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D6A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10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0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49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B25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435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3B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CE850">
            <w:pPr>
              <w:jc w:val="center"/>
            </w:pPr>
            <w:r>
              <w:rPr>
                <w:rFonts w:ascii="宋体" w:hAnsi="宋体" w:eastAsia="宋体"/>
                <w:sz w:val="16"/>
              </w:rPr>
              <w:t>偏差原因：在乌喀什籍务工人员薪酬福利较往年增长、合法权益也受到有效保障，故喀什籍务工人员满意度上涨。整改措施：加强对喀什籍务工人员数量</w:t>
            </w:r>
            <w:r>
              <w:rPr>
                <w:rFonts w:hint="eastAsia" w:ascii="宋体" w:hAnsi="宋体"/>
                <w:sz w:val="16"/>
                <w:lang w:val="en-US" w:eastAsia="zh-CN"/>
              </w:rPr>
              <w:t>跟踪</w:t>
            </w:r>
            <w:r>
              <w:rPr>
                <w:rFonts w:ascii="宋体" w:hAnsi="宋体" w:eastAsia="宋体"/>
                <w:sz w:val="16"/>
              </w:rPr>
              <w:t>，及时处理务工人员所遇困难。</w:t>
            </w:r>
          </w:p>
        </w:tc>
      </w:tr>
      <w:tr w14:paraId="62695B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837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136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776A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A932">
            <w:pPr>
              <w:jc w:val="center"/>
            </w:pPr>
            <w:r>
              <w:rPr>
                <w:rFonts w:ascii="宋体" w:hAnsi="宋体" w:eastAsia="宋体"/>
                <w:sz w:val="16"/>
              </w:rPr>
              <w:t>93.09分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204576"/>
        </w:tc>
      </w:tr>
    </w:tbl>
    <w:p w14:paraId="7DC4F989">
      <w:r>
        <w:br w:type="page"/>
      </w:r>
    </w:p>
    <w:tbl>
      <w:tblPr>
        <w:tblStyle w:val="9"/>
        <w:tblW w:w="0" w:type="auto"/>
        <w:tblInd w:w="0" w:type="dxa"/>
        <w:tblLayout w:type="autofit"/>
        <w:tblCellMar>
          <w:top w:w="0" w:type="dxa"/>
          <w:left w:w="108" w:type="dxa"/>
          <w:bottom w:w="0" w:type="dxa"/>
          <w:right w:w="108" w:type="dxa"/>
        </w:tblCellMar>
      </w:tblPr>
      <w:tblGrid>
        <w:gridCol w:w="614"/>
        <w:gridCol w:w="586"/>
        <w:gridCol w:w="586"/>
        <w:gridCol w:w="586"/>
        <w:gridCol w:w="856"/>
        <w:gridCol w:w="586"/>
        <w:gridCol w:w="856"/>
        <w:gridCol w:w="600"/>
        <w:gridCol w:w="586"/>
        <w:gridCol w:w="586"/>
        <w:gridCol w:w="856"/>
        <w:gridCol w:w="629"/>
        <w:gridCol w:w="518"/>
        <w:gridCol w:w="615"/>
      </w:tblGrid>
      <w:tr w14:paraId="25407C54">
        <w:tc>
          <w:tcPr>
            <w:tcW w:w="8848" w:type="dxa"/>
            <w:gridSpan w:val="14"/>
            <w:vAlign w:val="center"/>
          </w:tcPr>
          <w:p w14:paraId="133409DA">
            <w:pPr>
              <w:jc w:val="center"/>
            </w:pPr>
            <w:r>
              <w:rPr>
                <w:rFonts w:ascii="宋体" w:hAnsi="宋体" w:eastAsia="宋体"/>
                <w:sz w:val="24"/>
              </w:rPr>
              <w:t>项目支出绩效自评表</w:t>
            </w:r>
          </w:p>
        </w:tc>
      </w:tr>
      <w:tr w14:paraId="6D323FFE">
        <w:tblPrEx>
          <w:tblCellMar>
            <w:top w:w="0" w:type="dxa"/>
            <w:left w:w="108" w:type="dxa"/>
            <w:bottom w:w="0" w:type="dxa"/>
            <w:right w:w="108" w:type="dxa"/>
          </w:tblCellMar>
        </w:tblPrEx>
        <w:tc>
          <w:tcPr>
            <w:tcW w:w="8848" w:type="dxa"/>
            <w:gridSpan w:val="14"/>
            <w:vAlign w:val="center"/>
          </w:tcPr>
          <w:p w14:paraId="36EFA2C9">
            <w:pPr>
              <w:jc w:val="center"/>
            </w:pPr>
            <w:r>
              <w:rPr>
                <w:rFonts w:ascii="宋体" w:hAnsi="宋体" w:eastAsia="宋体"/>
                <w:sz w:val="24"/>
              </w:rPr>
              <w:t>(2024年度)</w:t>
            </w:r>
          </w:p>
        </w:tc>
      </w:tr>
      <w:tr w14:paraId="629FA6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CB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3E3CCA">
            <w:pPr>
              <w:jc w:val="center"/>
            </w:pPr>
            <w:r>
              <w:rPr>
                <w:rFonts w:ascii="宋体" w:hAnsi="宋体" w:eastAsia="宋体"/>
                <w:sz w:val="16"/>
              </w:rPr>
              <w:t>保障业务正常运转项目</w:t>
            </w:r>
          </w:p>
        </w:tc>
      </w:tr>
      <w:tr w14:paraId="45DDD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25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0EB0F">
            <w:pPr>
              <w:jc w:val="center"/>
            </w:pPr>
            <w:r>
              <w:rPr>
                <w:rFonts w:ascii="宋体" w:hAnsi="宋体" w:eastAsia="宋体"/>
                <w:sz w:val="16"/>
              </w:rPr>
              <w:t>喀什地区行署办公室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9F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6E1402">
            <w:pPr>
              <w:jc w:val="center"/>
            </w:pPr>
            <w:r>
              <w:rPr>
                <w:rFonts w:ascii="宋体" w:hAnsi="宋体" w:eastAsia="宋体"/>
                <w:sz w:val="16"/>
              </w:rPr>
              <w:t>喀什地区行政公署驻乌鲁木齐办事处</w:t>
            </w:r>
          </w:p>
        </w:tc>
      </w:tr>
      <w:tr w14:paraId="63608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89C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C4F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28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65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87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25F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2C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3A6D">
            <w:pPr>
              <w:jc w:val="center"/>
            </w:pPr>
            <w:r>
              <w:rPr>
                <w:rFonts w:ascii="宋体" w:hAnsi="宋体" w:eastAsia="宋体"/>
                <w:sz w:val="16"/>
              </w:rPr>
              <w:t>得分</w:t>
            </w:r>
          </w:p>
        </w:tc>
      </w:tr>
      <w:tr w14:paraId="6DE35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0A1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1D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DA78">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055BD">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E2233">
            <w:pPr>
              <w:jc w:val="center"/>
            </w:pPr>
            <w:r>
              <w:rPr>
                <w:rFonts w:ascii="宋体" w:hAnsi="宋体" w:eastAsia="宋体"/>
                <w:sz w:val="16"/>
              </w:rPr>
              <w:t>86.95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A24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1B58">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AA18">
            <w:pPr>
              <w:jc w:val="center"/>
            </w:pPr>
            <w:r>
              <w:rPr>
                <w:rFonts w:ascii="宋体" w:hAnsi="宋体" w:eastAsia="宋体"/>
                <w:sz w:val="16"/>
              </w:rPr>
              <w:t>9.98分</w:t>
            </w:r>
          </w:p>
        </w:tc>
      </w:tr>
      <w:tr w14:paraId="78270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4A3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1A4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7818D">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31747">
            <w:pPr>
              <w:jc w:val="center"/>
            </w:pPr>
            <w:r>
              <w:rPr>
                <w:rFonts w:ascii="宋体" w:hAnsi="宋体" w:eastAsia="宋体"/>
                <w:sz w:val="16"/>
              </w:rPr>
              <w:t>87.00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EE992">
            <w:pPr>
              <w:jc w:val="center"/>
            </w:pPr>
            <w:r>
              <w:rPr>
                <w:rFonts w:ascii="宋体" w:hAnsi="宋体" w:eastAsia="宋体"/>
                <w:sz w:val="16"/>
              </w:rPr>
              <w:t>86.95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BE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E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0C72">
            <w:pPr>
              <w:jc w:val="center"/>
            </w:pPr>
            <w:r>
              <w:rPr>
                <w:rFonts w:ascii="宋体" w:hAnsi="宋体" w:eastAsia="宋体"/>
                <w:sz w:val="16"/>
              </w:rPr>
              <w:t>—</w:t>
            </w:r>
          </w:p>
        </w:tc>
      </w:tr>
      <w:tr w14:paraId="5B785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E2C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BE3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A0A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A0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F57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45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4E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D363">
            <w:pPr>
              <w:jc w:val="center"/>
            </w:pPr>
            <w:r>
              <w:rPr>
                <w:rFonts w:ascii="宋体" w:hAnsi="宋体" w:eastAsia="宋体"/>
                <w:sz w:val="16"/>
              </w:rPr>
              <w:t>—</w:t>
            </w:r>
          </w:p>
        </w:tc>
      </w:tr>
      <w:tr w14:paraId="129819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702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39F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A370BB">
            <w:pPr>
              <w:jc w:val="center"/>
            </w:pPr>
            <w:r>
              <w:rPr>
                <w:rFonts w:ascii="宋体" w:hAnsi="宋体" w:eastAsia="宋体"/>
                <w:sz w:val="16"/>
              </w:rPr>
              <w:t>实际完成情况</w:t>
            </w:r>
          </w:p>
        </w:tc>
      </w:tr>
      <w:tr w14:paraId="19544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DB4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0501A">
            <w:pPr>
              <w:jc w:val="both"/>
            </w:pPr>
            <w:r>
              <w:rPr>
                <w:rFonts w:ascii="宋体" w:hAnsi="宋体" w:eastAsia="宋体"/>
                <w:sz w:val="16"/>
              </w:rPr>
              <w:t>本项目申请财政资金87万元，用于保障取暖面积2375.48平方米、保障8辆车辆正常运转、保障厨房正常运转，及时支付各项费用。通过项目实施，确保地委、行署及主要部门在乌市的公务运行、确保落实地委、行署交办的各项事项，保障机构正常运转，保障车辆正常运行，维修维护业务正常执行，高效完成工作及服务保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4E52E0">
            <w:pPr>
              <w:jc w:val="both"/>
            </w:pPr>
            <w:r>
              <w:rPr>
                <w:rFonts w:ascii="宋体" w:hAnsi="宋体" w:eastAsia="宋体"/>
                <w:sz w:val="16"/>
              </w:rPr>
              <w:t>通过项目实施，完成对本单位2375.48平方米的办公用房缴纳水费、电费等各项费用，保障公务用车8辆正常运行，购买电视2台、床2张、摄像机1台、厨房客房用品20批次。项目支付办事处运转经费86.95万元，其中支付办公费2.36万元，缴纳办公生活区域2375.48平方米水、电费用等2万元、邮电费5万元，物业费7.98万元，差旅费2.96万元，其他交通费1.75万元，维修（护）费18.72万元，委托业务费4万元，劳务费4.49万元，专用材料费32万元，办公设备购置4.14万元，其他商品服务支出1.55万元，达到年度预算目标，确保了办事处正常运转，提高了工作效率。</w:t>
            </w:r>
          </w:p>
        </w:tc>
      </w:tr>
      <w:tr w14:paraId="6F7F0C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0EA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94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09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882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19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B5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A4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8B6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B5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10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41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FD4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BA487">
            <w:pPr>
              <w:jc w:val="center"/>
            </w:pPr>
            <w:r>
              <w:rPr>
                <w:rFonts w:ascii="宋体" w:hAnsi="宋体" w:eastAsia="宋体"/>
                <w:sz w:val="16"/>
              </w:rPr>
              <w:t>偏差原因分析及改进措施</w:t>
            </w:r>
          </w:p>
        </w:tc>
      </w:tr>
      <w:tr w14:paraId="09A25F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0B4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C37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56B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B528B">
            <w:pPr>
              <w:jc w:val="center"/>
            </w:pPr>
            <w:r>
              <w:rPr>
                <w:rFonts w:ascii="宋体" w:hAnsi="宋体" w:eastAsia="宋体"/>
                <w:sz w:val="16"/>
              </w:rPr>
              <w:t>保障办公用房取暖面积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638F">
            <w:pPr>
              <w:jc w:val="center"/>
            </w:pPr>
            <w:r>
              <w:rPr>
                <w:rFonts w:ascii="宋体" w:hAnsi="宋体" w:eastAsia="宋体"/>
                <w:sz w:val="16"/>
              </w:rPr>
              <w:t>=2375.48平方米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D03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5529">
            <w:pPr>
              <w:jc w:val="center"/>
            </w:pPr>
            <w:r>
              <w:rPr>
                <w:rFonts w:ascii="宋体" w:hAnsi="宋体" w:eastAsia="宋体"/>
                <w:sz w:val="16"/>
              </w:rPr>
              <w:t>=2375.48平方米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5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08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D4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43AF">
            <w:pPr>
              <w:jc w:val="center"/>
            </w:pPr>
            <w:r>
              <w:rPr>
                <w:rFonts w:ascii="宋体" w:hAnsi="宋体" w:eastAsia="宋体"/>
                <w:sz w:val="16"/>
              </w:rPr>
              <w:t>=2375.48平方米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F1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F6161">
            <w:pPr>
              <w:jc w:val="center"/>
            </w:pPr>
          </w:p>
        </w:tc>
      </w:tr>
      <w:tr w14:paraId="23041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5D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244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D2B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0ECB">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E11B">
            <w:pPr>
              <w:jc w:val="center"/>
            </w:pPr>
            <w:r>
              <w:rPr>
                <w:rFonts w:ascii="宋体" w:hAnsi="宋体" w:eastAsia="宋体"/>
                <w:sz w:val="16"/>
              </w:rPr>
              <w:t>=8辆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A20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B7BE">
            <w:pPr>
              <w:jc w:val="center"/>
            </w:pPr>
            <w:r>
              <w:rPr>
                <w:rFonts w:ascii="宋体" w:hAnsi="宋体" w:eastAsia="宋体"/>
                <w:sz w:val="16"/>
              </w:rPr>
              <w:t>=8辆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B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AB1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FD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7E30">
            <w:pPr>
              <w:jc w:val="center"/>
            </w:pPr>
            <w:r>
              <w:rPr>
                <w:rFonts w:ascii="宋体" w:hAnsi="宋体" w:eastAsia="宋体"/>
                <w:sz w:val="16"/>
              </w:rPr>
              <w:t>=8辆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15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09545">
            <w:pPr>
              <w:jc w:val="center"/>
            </w:pPr>
          </w:p>
        </w:tc>
      </w:tr>
      <w:tr w14:paraId="78D96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2B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CC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263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F161">
            <w:pPr>
              <w:jc w:val="center"/>
            </w:pPr>
            <w:r>
              <w:rPr>
                <w:rFonts w:ascii="宋体" w:hAnsi="宋体" w:eastAsia="宋体"/>
                <w:sz w:val="16"/>
              </w:rPr>
              <w:t>厨房材料结算次数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3D3B">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18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DF97">
            <w:pPr>
              <w:jc w:val="center"/>
            </w:pPr>
            <w:r>
              <w:rPr>
                <w:rFonts w:ascii="宋体" w:hAnsi="宋体" w:eastAsia="宋体"/>
                <w:sz w:val="16"/>
              </w:rPr>
              <w:t>&gt;=21次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0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BB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3F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B8AD">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74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F8013">
            <w:pPr>
              <w:jc w:val="center"/>
            </w:pPr>
          </w:p>
        </w:tc>
      </w:tr>
      <w:tr w14:paraId="155B9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11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C8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3D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F030D">
            <w:pPr>
              <w:jc w:val="center"/>
            </w:pPr>
            <w:r>
              <w:rPr>
                <w:rFonts w:ascii="宋体" w:hAnsi="宋体" w:eastAsia="宋体"/>
                <w:sz w:val="16"/>
              </w:rPr>
              <w:t>服务工作保证完成率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9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D3E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E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FC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55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C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0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426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D761A">
            <w:pPr>
              <w:jc w:val="center"/>
            </w:pPr>
          </w:p>
        </w:tc>
      </w:tr>
      <w:tr w14:paraId="4BF0E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7D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E29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449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D41D">
            <w:pPr>
              <w:jc w:val="center"/>
            </w:pPr>
            <w:r>
              <w:rPr>
                <w:rFonts w:ascii="宋体" w:hAnsi="宋体" w:eastAsia="宋体"/>
                <w:sz w:val="16"/>
              </w:rPr>
              <w:t>运转经费支付及时率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B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BF4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98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538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265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F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A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B0AB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5ED36">
            <w:pPr>
              <w:jc w:val="center"/>
            </w:pPr>
          </w:p>
        </w:tc>
      </w:tr>
      <w:tr w14:paraId="281D9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66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3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67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C6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365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81B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85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18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64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77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FCD4">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C3A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A4336">
            <w:pPr>
              <w:jc w:val="center"/>
            </w:pPr>
          </w:p>
        </w:tc>
      </w:tr>
      <w:tr w14:paraId="3FA48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AA2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1178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694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532F">
            <w:pPr>
              <w:jc w:val="center"/>
            </w:pPr>
            <w:r>
              <w:rPr>
                <w:rFonts w:ascii="宋体" w:hAnsi="宋体" w:eastAsia="宋体"/>
                <w:sz w:val="16"/>
              </w:rPr>
              <w:t>开展保障工作运转成本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AA44">
            <w:pPr>
              <w:jc w:val="center"/>
            </w:pPr>
            <w:r>
              <w:rPr>
                <w:rFonts w:ascii="宋体" w:hAnsi="宋体" w:eastAsia="宋体"/>
                <w:sz w:val="16"/>
              </w:rPr>
              <w:t>&lt;=52万元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87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65995">
            <w:pPr>
              <w:jc w:val="center"/>
            </w:pPr>
            <w:r>
              <w:rPr>
                <w:rFonts w:ascii="宋体" w:hAnsi="宋体" w:eastAsia="宋体"/>
                <w:sz w:val="16"/>
              </w:rPr>
              <w:t>=54.76万元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7F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A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2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42BD6">
            <w:pPr>
              <w:jc w:val="center"/>
            </w:pPr>
            <w:r>
              <w:rPr>
                <w:rFonts w:ascii="宋体" w:hAnsi="宋体" w:eastAsia="宋体"/>
                <w:sz w:val="16"/>
              </w:rPr>
              <w:t>=53.2万元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2716">
            <w:pPr>
              <w:jc w:val="center"/>
            </w:pPr>
            <w:r>
              <w:rPr>
                <w:rFonts w:ascii="宋体" w:hAnsi="宋体" w:eastAsia="宋体"/>
                <w:sz w:val="16"/>
              </w:rPr>
              <w:t>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BBCDE">
            <w:pPr>
              <w:jc w:val="center"/>
            </w:pPr>
            <w:r>
              <w:rPr>
                <w:rFonts w:ascii="宋体" w:hAnsi="宋体" w:eastAsia="宋体"/>
                <w:sz w:val="16"/>
              </w:rPr>
              <w:t>偏差原因：因今年驻乌办重点公务活动的服务保障和对接联络工作增多，故开展保障工作运转成本增加；改进措施：合理设置绩效目标，关注项目实施动态变化，及时调整绩效目标，发挥资金最大效益。</w:t>
            </w:r>
          </w:p>
        </w:tc>
      </w:tr>
      <w:tr w14:paraId="722488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16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ECF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020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A152">
            <w:pPr>
              <w:jc w:val="center"/>
            </w:pPr>
            <w:r>
              <w:rPr>
                <w:rFonts w:ascii="宋体" w:hAnsi="宋体" w:eastAsia="宋体"/>
                <w:sz w:val="16"/>
              </w:rPr>
              <w:t>公务保障用车运转成本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2D3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CA2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2483">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6E3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0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FB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DE74">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F5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6C3E">
            <w:pPr>
              <w:jc w:val="center"/>
            </w:pPr>
            <w:r>
              <w:rPr>
                <w:rFonts w:ascii="宋体" w:hAnsi="宋体" w:eastAsia="宋体"/>
                <w:sz w:val="16"/>
              </w:rPr>
              <w:t>偏差原因：因驻乌办车辆更新，故服务保障工作用车运转成本大幅减少；改进措施：在项目实施过程中，加强绩效目标管理，及时完成绩效目标调整。</w:t>
            </w:r>
          </w:p>
        </w:tc>
      </w:tr>
      <w:tr w14:paraId="30A48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45F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8D9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7A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99C9A">
            <w:pPr>
              <w:jc w:val="center"/>
            </w:pPr>
            <w:r>
              <w:rPr>
                <w:rFonts w:ascii="宋体" w:hAnsi="宋体" w:eastAsia="宋体"/>
                <w:sz w:val="16"/>
              </w:rPr>
              <w:t>保障厨房运转成本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38B0">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095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3D186">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B5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6C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B0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4D32">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1DE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9CE2">
            <w:pPr>
              <w:jc w:val="center"/>
            </w:pPr>
          </w:p>
        </w:tc>
      </w:tr>
      <w:tr w14:paraId="3D03B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64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0C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E1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1045">
            <w:pPr>
              <w:jc w:val="center"/>
            </w:pPr>
            <w:r>
              <w:rPr>
                <w:rFonts w:ascii="宋体" w:hAnsi="宋体" w:eastAsia="宋体"/>
                <w:sz w:val="16"/>
              </w:rPr>
              <w:t>保障工作需要情况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FE4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28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626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DD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DC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0C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79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FA9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974C">
            <w:pPr>
              <w:jc w:val="center"/>
            </w:pPr>
          </w:p>
        </w:tc>
      </w:tr>
      <w:tr w14:paraId="52B43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64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2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22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3677">
            <w:pPr>
              <w:jc w:val="center"/>
            </w:pPr>
            <w:r>
              <w:rPr>
                <w:rFonts w:ascii="宋体" w:hAnsi="宋体" w:eastAsia="宋体"/>
                <w:sz w:val="16"/>
              </w:rPr>
              <w:t>驻乌办工作人员满意度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D3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602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DF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A0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1F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73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0C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7A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11E6F">
            <w:pPr>
              <w:jc w:val="center"/>
            </w:pPr>
          </w:p>
        </w:tc>
      </w:tr>
      <w:tr w14:paraId="50E881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9887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BA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E4C3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C3AE5">
            <w:pPr>
              <w:jc w:val="center"/>
            </w:pPr>
            <w:r>
              <w:rPr>
                <w:rFonts w:ascii="宋体" w:hAnsi="宋体" w:eastAsia="宋体"/>
                <w:sz w:val="16"/>
              </w:rPr>
              <w:t>97.75分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E80B9C"/>
        </w:tc>
      </w:tr>
    </w:tbl>
    <w:p w14:paraId="575F62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0602C60">
        <w:tblPrEx>
          <w:tblCellMar>
            <w:top w:w="0" w:type="dxa"/>
            <w:left w:w="108" w:type="dxa"/>
            <w:bottom w:w="0" w:type="dxa"/>
            <w:right w:w="108" w:type="dxa"/>
          </w:tblCellMar>
        </w:tblPrEx>
        <w:tc>
          <w:tcPr>
            <w:tcW w:w="8848" w:type="dxa"/>
            <w:gridSpan w:val="14"/>
            <w:vAlign w:val="center"/>
          </w:tcPr>
          <w:p w14:paraId="65A095DB">
            <w:pPr>
              <w:jc w:val="center"/>
            </w:pPr>
            <w:r>
              <w:rPr>
                <w:rFonts w:ascii="宋体" w:hAnsi="宋体" w:eastAsia="宋体"/>
                <w:sz w:val="24"/>
              </w:rPr>
              <w:t>项目支出绩效自评表</w:t>
            </w:r>
          </w:p>
        </w:tc>
      </w:tr>
      <w:tr w14:paraId="2751A045">
        <w:tblPrEx>
          <w:tblCellMar>
            <w:top w:w="0" w:type="dxa"/>
            <w:left w:w="108" w:type="dxa"/>
            <w:bottom w:w="0" w:type="dxa"/>
            <w:right w:w="108" w:type="dxa"/>
          </w:tblCellMar>
        </w:tblPrEx>
        <w:tc>
          <w:tcPr>
            <w:tcW w:w="8848" w:type="dxa"/>
            <w:gridSpan w:val="14"/>
            <w:vAlign w:val="center"/>
          </w:tcPr>
          <w:p w14:paraId="7751DAAF">
            <w:pPr>
              <w:jc w:val="center"/>
            </w:pPr>
            <w:r>
              <w:rPr>
                <w:rFonts w:ascii="宋体" w:hAnsi="宋体" w:eastAsia="宋体"/>
                <w:sz w:val="24"/>
              </w:rPr>
              <w:t>(2024年度)</w:t>
            </w:r>
          </w:p>
        </w:tc>
      </w:tr>
      <w:tr w14:paraId="6493A8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94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F84D60">
            <w:pPr>
              <w:jc w:val="center"/>
            </w:pPr>
            <w:r>
              <w:rPr>
                <w:rFonts w:ascii="宋体" w:hAnsi="宋体" w:eastAsia="宋体"/>
                <w:sz w:val="16"/>
              </w:rPr>
              <w:t>信访流管工作项目</w:t>
            </w:r>
          </w:p>
        </w:tc>
      </w:tr>
      <w:tr w14:paraId="7DFF0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7C5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8286C9">
            <w:pPr>
              <w:jc w:val="center"/>
            </w:pPr>
            <w:r>
              <w:rPr>
                <w:rFonts w:ascii="宋体" w:hAnsi="宋体" w:eastAsia="宋体"/>
                <w:sz w:val="16"/>
              </w:rPr>
              <w:t>喀什地区行署办公室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BE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D8C94">
            <w:pPr>
              <w:jc w:val="center"/>
            </w:pPr>
            <w:r>
              <w:rPr>
                <w:rFonts w:ascii="宋体" w:hAnsi="宋体" w:eastAsia="宋体"/>
                <w:sz w:val="16"/>
              </w:rPr>
              <w:t>喀什地区行政公署驻乌鲁木齐办事处</w:t>
            </w:r>
          </w:p>
        </w:tc>
      </w:tr>
      <w:tr w14:paraId="3E97DB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ED8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EB5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882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931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F2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DE5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23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872E">
            <w:pPr>
              <w:jc w:val="center"/>
            </w:pPr>
            <w:r>
              <w:rPr>
                <w:rFonts w:ascii="宋体" w:hAnsi="宋体" w:eastAsia="宋体"/>
                <w:sz w:val="16"/>
              </w:rPr>
              <w:t>得分</w:t>
            </w:r>
          </w:p>
        </w:tc>
      </w:tr>
      <w:tr w14:paraId="75755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E6D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C14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0F3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AF6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0567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881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AE9A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B9AD">
            <w:pPr>
              <w:jc w:val="center"/>
            </w:pPr>
            <w:r>
              <w:rPr>
                <w:rFonts w:ascii="宋体" w:hAnsi="宋体" w:eastAsia="宋体"/>
                <w:sz w:val="16"/>
              </w:rPr>
              <w:t>10.00分</w:t>
            </w:r>
          </w:p>
        </w:tc>
      </w:tr>
      <w:tr w14:paraId="67F78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F3B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37D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4EE6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41F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79E0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3C5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0B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95FD">
            <w:pPr>
              <w:jc w:val="center"/>
            </w:pPr>
            <w:r>
              <w:rPr>
                <w:rFonts w:ascii="宋体" w:hAnsi="宋体" w:eastAsia="宋体"/>
                <w:sz w:val="16"/>
              </w:rPr>
              <w:t>—</w:t>
            </w:r>
          </w:p>
        </w:tc>
      </w:tr>
      <w:tr w14:paraId="02FAE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7A1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C27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4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AF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36E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A5F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A26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1F80">
            <w:pPr>
              <w:jc w:val="center"/>
            </w:pPr>
            <w:r>
              <w:rPr>
                <w:rFonts w:ascii="宋体" w:hAnsi="宋体" w:eastAsia="宋体"/>
                <w:sz w:val="16"/>
              </w:rPr>
              <w:t>—</w:t>
            </w:r>
          </w:p>
        </w:tc>
      </w:tr>
      <w:tr w14:paraId="5C931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3B1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5F42">
            <w:pPr>
              <w:jc w:val="center"/>
            </w:pPr>
            <w:r>
              <w:rPr>
                <w:rFonts w:ascii="宋体" w:hAnsi="宋体" w:eastAsia="宋体"/>
                <w:sz w:val="16"/>
              </w:rPr>
              <w:t>预期目标</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21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ECB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9B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462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C5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327F">
            <w:pPr>
              <w:jc w:val="center"/>
            </w:pPr>
          </w:p>
        </w:tc>
      </w:tr>
      <w:tr w14:paraId="71BCA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8E4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8A6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E32463">
            <w:pPr>
              <w:jc w:val="center"/>
            </w:pPr>
            <w:r>
              <w:rPr>
                <w:rFonts w:ascii="宋体" w:hAnsi="宋体" w:eastAsia="宋体"/>
                <w:sz w:val="16"/>
              </w:rPr>
              <w:t>实际完成情况</w:t>
            </w:r>
          </w:p>
        </w:tc>
      </w:tr>
      <w:tr w14:paraId="4C91C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D1F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E2C13">
            <w:pPr>
              <w:jc w:val="both"/>
            </w:pPr>
            <w:r>
              <w:rPr>
                <w:rFonts w:ascii="宋体" w:hAnsi="宋体" w:eastAsia="宋体"/>
                <w:sz w:val="16"/>
              </w:rPr>
              <w:t>结合喀什地区行政公署驻乌鲁木齐办事处协助地区信访局和相关县市处理地区在乌鲁木齐市的信访工作职能，申请项目资金5万元，其中财政资金5万元，解决在乌喀什籍人员的社会救助、流浪儿童救助保护、喀什籍上访及务工信访人员的困难诉求等,预计劝返上访50批次100人左右，通过项目实施，更好</w:t>
            </w:r>
            <w:r>
              <w:rPr>
                <w:rFonts w:hint="eastAsia" w:ascii="宋体" w:hAnsi="宋体"/>
                <w:sz w:val="16"/>
                <w:lang w:eastAsia="zh-CN"/>
              </w:rPr>
              <w:t>地</w:t>
            </w:r>
            <w:r>
              <w:rPr>
                <w:rFonts w:ascii="宋体" w:hAnsi="宋体" w:eastAsia="宋体"/>
                <w:sz w:val="16"/>
              </w:rPr>
              <w:t>贯彻落实地委、行署工作的各项决策部署，提升信访工作质量，有效化解上访事件，保障社会持续和谐。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ABEEDC">
            <w:pPr>
              <w:jc w:val="both"/>
            </w:pPr>
            <w:r>
              <w:rPr>
                <w:rFonts w:ascii="宋体" w:hAnsi="宋体" w:eastAsia="宋体"/>
                <w:sz w:val="16"/>
              </w:rPr>
              <w:t>通过项目实施，支付项目资金5万元，根据办事处工作职责，当年常规接访85起，382人次，成功劝返382人次，完成了年度预期目标，有效提高了信访工作质量，保障了社会和谐。</w:t>
            </w:r>
          </w:p>
        </w:tc>
      </w:tr>
      <w:tr w14:paraId="57283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3FA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52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F9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B5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EB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E5C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63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CE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FB6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64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415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06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31739">
            <w:pPr>
              <w:jc w:val="center"/>
            </w:pPr>
            <w:r>
              <w:rPr>
                <w:rFonts w:ascii="宋体" w:hAnsi="宋体" w:eastAsia="宋体"/>
                <w:sz w:val="16"/>
              </w:rPr>
              <w:t>偏差原因分析及改进措施</w:t>
            </w:r>
          </w:p>
        </w:tc>
      </w:tr>
      <w:tr w14:paraId="4936B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18A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404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B99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DF7F">
            <w:pPr>
              <w:jc w:val="center"/>
            </w:pPr>
            <w:r>
              <w:rPr>
                <w:rFonts w:ascii="宋体" w:hAnsi="宋体" w:eastAsia="宋体"/>
                <w:sz w:val="16"/>
              </w:rPr>
              <w:t>预计劝返数量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9DB1">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EAA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7332">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A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00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03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EED0">
            <w:pPr>
              <w:jc w:val="center"/>
            </w:pPr>
            <w:r>
              <w:rPr>
                <w:rFonts w:ascii="宋体" w:hAnsi="宋体" w:eastAsia="宋体"/>
                <w:sz w:val="16"/>
              </w:rPr>
              <w:t>=382人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6B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E3F4">
            <w:pPr>
              <w:jc w:val="center"/>
            </w:pPr>
            <w:r>
              <w:rPr>
                <w:rFonts w:ascii="宋体" w:hAnsi="宋体" w:eastAsia="宋体"/>
                <w:sz w:val="16"/>
              </w:rPr>
              <w:t>偏差原因：该项目属于应对突发性信访事件工作经费，实际工作中,劝返人员数量不可预测。改进措施：时刻关注信访突发事件，和喀什各地信访部门保持紧密联系，确保信访案件在当地得到有效处置，及时进行绩效目标调整。</w:t>
            </w:r>
          </w:p>
        </w:tc>
      </w:tr>
      <w:tr w14:paraId="3A017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00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213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61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7763">
            <w:pPr>
              <w:jc w:val="center"/>
            </w:pPr>
            <w:r>
              <w:rPr>
                <w:rFonts w:ascii="宋体" w:hAnsi="宋体" w:eastAsia="宋体"/>
                <w:sz w:val="16"/>
              </w:rPr>
              <w:t>预计劝返批次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BEE9">
            <w:pPr>
              <w:jc w:val="center"/>
            </w:pPr>
            <w:r>
              <w:rPr>
                <w:rFonts w:ascii="宋体" w:hAnsi="宋体" w:eastAsia="宋体"/>
                <w:sz w:val="16"/>
              </w:rPr>
              <w:t>&gt;=50批次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5AB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B601">
            <w:pPr>
              <w:jc w:val="center"/>
            </w:pPr>
            <w:r>
              <w:rPr>
                <w:rFonts w:ascii="宋体" w:hAnsi="宋体" w:eastAsia="宋体"/>
                <w:sz w:val="16"/>
              </w:rPr>
              <w:t>=47批次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8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5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F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AAC9">
            <w:pPr>
              <w:jc w:val="center"/>
            </w:pPr>
            <w:r>
              <w:rPr>
                <w:rFonts w:ascii="宋体" w:hAnsi="宋体" w:eastAsia="宋体"/>
                <w:sz w:val="16"/>
              </w:rPr>
              <w:t>=85批次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7E9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DC59E">
            <w:pPr>
              <w:jc w:val="center"/>
            </w:pPr>
            <w:r>
              <w:rPr>
                <w:rFonts w:ascii="宋体" w:hAnsi="宋体" w:eastAsia="宋体"/>
                <w:sz w:val="16"/>
              </w:rPr>
              <w:t>偏差原因：该项目属于应对突发性信访事件工作经费，实际工作中,劝返批次数量不可预测。改进措施：时刻关注信访突发事件，和喀什各地信访部门保持紧密联系，确保信访案件在当地得到有效处置，及时进行绩效目标调整。</w:t>
            </w:r>
          </w:p>
        </w:tc>
      </w:tr>
      <w:tr w14:paraId="61CF8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68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E8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A3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7B2A">
            <w:pPr>
              <w:jc w:val="center"/>
            </w:pPr>
            <w:r>
              <w:rPr>
                <w:rFonts w:ascii="宋体" w:hAnsi="宋体" w:eastAsia="宋体"/>
                <w:sz w:val="16"/>
              </w:rPr>
              <w:t>劝返成功率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7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F9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2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4C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BF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87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2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88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51D37">
            <w:pPr>
              <w:jc w:val="center"/>
            </w:pPr>
          </w:p>
        </w:tc>
      </w:tr>
      <w:tr w14:paraId="6D134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D5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78E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2DA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B2AF">
            <w:pPr>
              <w:jc w:val="center"/>
            </w:pPr>
            <w:r>
              <w:rPr>
                <w:rFonts w:ascii="宋体" w:hAnsi="宋体" w:eastAsia="宋体"/>
                <w:sz w:val="16"/>
              </w:rPr>
              <w:t>完成劝返时效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46D3">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15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CCCC">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AF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8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C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4D8E">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CC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3C1C8">
            <w:pPr>
              <w:jc w:val="center"/>
            </w:pPr>
          </w:p>
        </w:tc>
      </w:tr>
      <w:tr w14:paraId="22F57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6F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06C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56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EA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E77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5E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E7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BC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F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6F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2746">
            <w:pPr>
              <w:jc w:val="center"/>
            </w:pPr>
            <w:r>
              <w:rPr>
                <w:rFonts w:ascii="宋体" w:hAnsi="宋体" w:eastAsia="宋体"/>
                <w:sz w:val="16"/>
              </w:rPr>
              <w:t>=2024年9月24日前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088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ED81">
            <w:pPr>
              <w:jc w:val="center"/>
            </w:pPr>
          </w:p>
        </w:tc>
      </w:tr>
      <w:tr w14:paraId="04DED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DF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746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33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178D">
            <w:pPr>
              <w:jc w:val="center"/>
            </w:pPr>
            <w:r>
              <w:rPr>
                <w:rFonts w:ascii="宋体" w:hAnsi="宋体" w:eastAsia="宋体"/>
                <w:sz w:val="16"/>
              </w:rPr>
              <w:t>劝返成本控制率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7CC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35A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B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16B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F2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32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5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482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FD200">
            <w:pPr>
              <w:jc w:val="center"/>
            </w:pPr>
          </w:p>
        </w:tc>
      </w:tr>
      <w:tr w14:paraId="5A8C3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84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DE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64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CB20">
            <w:pPr>
              <w:jc w:val="center"/>
            </w:pPr>
            <w:r>
              <w:rPr>
                <w:rFonts w:ascii="宋体" w:hAnsi="宋体" w:eastAsia="宋体"/>
                <w:sz w:val="16"/>
              </w:rPr>
              <w:t>保证社会和谐、各项工作有序开展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DA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537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50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5B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2C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2D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E60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496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E9B5C">
            <w:pPr>
              <w:jc w:val="center"/>
            </w:pPr>
          </w:p>
        </w:tc>
      </w:tr>
      <w:tr w14:paraId="0E6D8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70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E9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FD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2F3E">
            <w:pPr>
              <w:jc w:val="center"/>
            </w:pPr>
            <w:r>
              <w:rPr>
                <w:rFonts w:ascii="宋体" w:hAnsi="宋体" w:eastAsia="宋体"/>
                <w:sz w:val="16"/>
              </w:rPr>
              <w:t>上访人员满意度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6D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448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D8A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89A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A5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9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2E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68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900F6">
            <w:pPr>
              <w:jc w:val="center"/>
            </w:pPr>
          </w:p>
        </w:tc>
      </w:tr>
      <w:tr w14:paraId="797F02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9D36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51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1B7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2533">
            <w:pPr>
              <w:jc w:val="center"/>
            </w:pPr>
            <w:r>
              <w:rPr>
                <w:rFonts w:ascii="宋体" w:hAnsi="宋体" w:eastAsia="宋体"/>
                <w:sz w:val="16"/>
              </w:rPr>
              <w:t>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75F855"/>
        </w:tc>
      </w:tr>
    </w:tbl>
    <w:p w14:paraId="55491A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E21BFD">
        <w:tblPrEx>
          <w:tblCellMar>
            <w:top w:w="0" w:type="dxa"/>
            <w:left w:w="108" w:type="dxa"/>
            <w:bottom w:w="0" w:type="dxa"/>
            <w:right w:w="108" w:type="dxa"/>
          </w:tblCellMar>
        </w:tblPrEx>
        <w:tc>
          <w:tcPr>
            <w:tcW w:w="8848" w:type="dxa"/>
            <w:gridSpan w:val="14"/>
            <w:vAlign w:val="center"/>
          </w:tcPr>
          <w:p w14:paraId="2972B1EB">
            <w:pPr>
              <w:jc w:val="center"/>
            </w:pPr>
            <w:r>
              <w:rPr>
                <w:rFonts w:ascii="宋体" w:hAnsi="宋体" w:eastAsia="宋体"/>
                <w:sz w:val="24"/>
              </w:rPr>
              <w:t>项目支出绩效自评表</w:t>
            </w:r>
          </w:p>
        </w:tc>
      </w:tr>
      <w:tr w14:paraId="7E5F5338">
        <w:tblPrEx>
          <w:tblCellMar>
            <w:top w:w="0" w:type="dxa"/>
            <w:left w:w="108" w:type="dxa"/>
            <w:bottom w:w="0" w:type="dxa"/>
            <w:right w:w="108" w:type="dxa"/>
          </w:tblCellMar>
        </w:tblPrEx>
        <w:tc>
          <w:tcPr>
            <w:tcW w:w="8848" w:type="dxa"/>
            <w:gridSpan w:val="14"/>
            <w:vAlign w:val="center"/>
          </w:tcPr>
          <w:p w14:paraId="58CE69BE">
            <w:pPr>
              <w:jc w:val="center"/>
            </w:pPr>
            <w:r>
              <w:rPr>
                <w:rFonts w:ascii="宋体" w:hAnsi="宋体" w:eastAsia="宋体"/>
                <w:sz w:val="24"/>
              </w:rPr>
              <w:t>(2024年度)</w:t>
            </w:r>
          </w:p>
        </w:tc>
      </w:tr>
      <w:tr w14:paraId="6BA5EA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0C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3AE4EF">
            <w:pPr>
              <w:jc w:val="center"/>
            </w:pPr>
            <w:r>
              <w:rPr>
                <w:rFonts w:ascii="宋体" w:hAnsi="宋体" w:eastAsia="宋体"/>
                <w:sz w:val="16"/>
              </w:rPr>
              <w:t>关爱离退休慰问项目</w:t>
            </w:r>
          </w:p>
        </w:tc>
      </w:tr>
      <w:tr w14:paraId="03A467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DB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D914E6">
            <w:pPr>
              <w:jc w:val="center"/>
            </w:pPr>
            <w:r>
              <w:rPr>
                <w:rFonts w:ascii="宋体" w:hAnsi="宋体" w:eastAsia="宋体"/>
                <w:sz w:val="16"/>
              </w:rPr>
              <w:t>喀什地区行署办公室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A4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121CE8">
            <w:pPr>
              <w:jc w:val="center"/>
            </w:pPr>
            <w:r>
              <w:rPr>
                <w:rFonts w:ascii="宋体" w:hAnsi="宋体" w:eastAsia="宋体"/>
                <w:sz w:val="16"/>
              </w:rPr>
              <w:t>喀什地区行政公署驻乌鲁木齐办事处</w:t>
            </w:r>
          </w:p>
        </w:tc>
      </w:tr>
      <w:tr w14:paraId="7A6EEA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0DD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6D0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9E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05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A7B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E8A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39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D0C5">
            <w:pPr>
              <w:jc w:val="center"/>
            </w:pPr>
            <w:r>
              <w:rPr>
                <w:rFonts w:ascii="宋体" w:hAnsi="宋体" w:eastAsia="宋体"/>
                <w:sz w:val="16"/>
              </w:rPr>
              <w:t>得分</w:t>
            </w:r>
          </w:p>
        </w:tc>
      </w:tr>
      <w:tr w14:paraId="5906C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3C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F28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1CD24">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BBDBE">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AF43D">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45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E308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159F">
            <w:pPr>
              <w:jc w:val="center"/>
            </w:pPr>
            <w:r>
              <w:rPr>
                <w:rFonts w:ascii="宋体" w:hAnsi="宋体" w:eastAsia="宋体"/>
                <w:sz w:val="16"/>
              </w:rPr>
              <w:t>10.00分</w:t>
            </w:r>
          </w:p>
        </w:tc>
      </w:tr>
      <w:tr w14:paraId="58E3C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A2C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901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E698E">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EDE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74DE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7E4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D2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F574">
            <w:pPr>
              <w:jc w:val="center"/>
            </w:pPr>
            <w:r>
              <w:rPr>
                <w:rFonts w:ascii="宋体" w:hAnsi="宋体" w:eastAsia="宋体"/>
                <w:sz w:val="16"/>
              </w:rPr>
              <w:t>—</w:t>
            </w:r>
          </w:p>
        </w:tc>
      </w:tr>
      <w:tr w14:paraId="7EB13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0AF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C35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69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C0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238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F97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8FA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B00E">
            <w:pPr>
              <w:jc w:val="center"/>
            </w:pPr>
            <w:r>
              <w:rPr>
                <w:rFonts w:ascii="宋体" w:hAnsi="宋体" w:eastAsia="宋体"/>
                <w:sz w:val="16"/>
              </w:rPr>
              <w:t>—</w:t>
            </w:r>
          </w:p>
        </w:tc>
      </w:tr>
      <w:tr w14:paraId="67D18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756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342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4B8820">
            <w:pPr>
              <w:jc w:val="center"/>
            </w:pPr>
            <w:r>
              <w:rPr>
                <w:rFonts w:ascii="宋体" w:hAnsi="宋体" w:eastAsia="宋体"/>
                <w:sz w:val="16"/>
              </w:rPr>
              <w:t>实际完成情况</w:t>
            </w:r>
          </w:p>
        </w:tc>
      </w:tr>
      <w:tr w14:paraId="09217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3C2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8C465">
            <w:pPr>
              <w:jc w:val="both"/>
            </w:pPr>
            <w:r>
              <w:rPr>
                <w:rFonts w:ascii="宋体" w:hAnsi="宋体" w:eastAsia="宋体"/>
                <w:sz w:val="16"/>
              </w:rPr>
              <w:t>发放40名离退休人员享受活动费300元/人，共计12000元，提高离退休人员社会生活水平。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23F64C">
            <w:pPr>
              <w:jc w:val="both"/>
            </w:pPr>
            <w:r>
              <w:rPr>
                <w:rFonts w:ascii="宋体" w:hAnsi="宋体" w:eastAsia="宋体"/>
                <w:sz w:val="16"/>
              </w:rPr>
              <w:t>通过项目实施，在春节前及时对40名离退休人员进行一次慰问，发放慰问费300元/人，共计发放慰问费1.2万元，通过节日慰问，切实提高了离退休人员幸福感。</w:t>
            </w:r>
          </w:p>
        </w:tc>
      </w:tr>
      <w:tr w14:paraId="554F2D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EA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89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98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FA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EB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76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7A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47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E1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3D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656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AA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22CA1">
            <w:pPr>
              <w:jc w:val="center"/>
            </w:pPr>
            <w:r>
              <w:rPr>
                <w:rFonts w:ascii="宋体" w:hAnsi="宋体" w:eastAsia="宋体"/>
                <w:sz w:val="16"/>
              </w:rPr>
              <w:t>偏差原因分析及改进措施</w:t>
            </w:r>
          </w:p>
        </w:tc>
      </w:tr>
      <w:tr w14:paraId="7226A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A41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CF5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A0B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C9CF">
            <w:pPr>
              <w:jc w:val="center"/>
            </w:pPr>
            <w:r>
              <w:rPr>
                <w:rFonts w:ascii="宋体" w:hAnsi="宋体" w:eastAsia="宋体"/>
                <w:sz w:val="16"/>
              </w:rPr>
              <w:t>保障离退休人员数量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8DE9">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906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F311">
            <w:pPr>
              <w:jc w:val="center"/>
            </w:pPr>
            <w:r>
              <w:rPr>
                <w:rFonts w:ascii="宋体" w:hAnsi="宋体" w:eastAsia="宋体"/>
                <w:sz w:val="16"/>
              </w:rPr>
              <w:t>=41人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6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95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F5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1C43">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62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30244">
            <w:pPr>
              <w:jc w:val="center"/>
            </w:pPr>
          </w:p>
        </w:tc>
      </w:tr>
      <w:tr w14:paraId="60C30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69E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28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748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7803">
            <w:pPr>
              <w:jc w:val="center"/>
            </w:pPr>
            <w:r>
              <w:rPr>
                <w:rFonts w:ascii="宋体" w:hAnsi="宋体" w:eastAsia="宋体"/>
                <w:sz w:val="16"/>
              </w:rPr>
              <w:t>离退休人员活动用品发放次数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CD3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6F9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40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27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DF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2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93B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848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A4A7C">
            <w:pPr>
              <w:jc w:val="center"/>
            </w:pPr>
          </w:p>
        </w:tc>
      </w:tr>
      <w:tr w14:paraId="70F25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4A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B1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68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579D">
            <w:pPr>
              <w:jc w:val="center"/>
            </w:pPr>
            <w:r>
              <w:rPr>
                <w:rFonts w:ascii="宋体" w:hAnsi="宋体" w:eastAsia="宋体"/>
                <w:sz w:val="16"/>
              </w:rPr>
              <w:t>保障离退休人员的活动用品发放率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D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6D7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7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FA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E9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41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D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BE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4878">
            <w:pPr>
              <w:jc w:val="center"/>
            </w:pPr>
          </w:p>
        </w:tc>
      </w:tr>
      <w:tr w14:paraId="0919B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75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051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234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87AC">
            <w:pPr>
              <w:jc w:val="center"/>
            </w:pPr>
            <w:r>
              <w:rPr>
                <w:rFonts w:ascii="宋体" w:hAnsi="宋体" w:eastAsia="宋体"/>
                <w:sz w:val="16"/>
              </w:rPr>
              <w:t>保障离退休人员活动用品发放及时率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1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571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EA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D9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F7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0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D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83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D99EC">
            <w:pPr>
              <w:jc w:val="center"/>
            </w:pPr>
          </w:p>
        </w:tc>
      </w:tr>
      <w:tr w14:paraId="5CC3B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D0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5A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A5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8A5D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4A0E">
            <w:pPr>
              <w:jc w:val="center"/>
            </w:pPr>
            <w:r>
              <w:rPr>
                <w:rFonts w:ascii="宋体" w:hAnsi="宋体" w:eastAsia="宋体"/>
                <w:sz w:val="16"/>
              </w:rPr>
              <w:t>=2024年6月前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BD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B1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E7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99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59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0B12">
            <w:pPr>
              <w:jc w:val="center"/>
            </w:pPr>
            <w:r>
              <w:rPr>
                <w:rFonts w:ascii="宋体" w:hAnsi="宋体" w:eastAsia="宋体"/>
                <w:sz w:val="16"/>
              </w:rPr>
              <w:t>=2024年2月6日完成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35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43039">
            <w:pPr>
              <w:jc w:val="center"/>
            </w:pPr>
          </w:p>
        </w:tc>
      </w:tr>
      <w:tr w14:paraId="610F6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F1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20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B9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A96C">
            <w:pPr>
              <w:jc w:val="center"/>
            </w:pPr>
            <w:r>
              <w:rPr>
                <w:rFonts w:ascii="宋体" w:hAnsi="宋体" w:eastAsia="宋体"/>
                <w:sz w:val="16"/>
              </w:rPr>
              <w:t>离退休人员活动用品发放标准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85C41">
            <w:pPr>
              <w:jc w:val="center"/>
            </w:pPr>
            <w:r>
              <w:rPr>
                <w:rFonts w:ascii="宋体" w:hAnsi="宋体" w:eastAsia="宋体"/>
                <w:sz w:val="16"/>
              </w:rPr>
              <w:t>&lt;=300元/人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7C4D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D269">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0C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8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47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B3E9">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14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138E">
            <w:pPr>
              <w:jc w:val="center"/>
            </w:pPr>
          </w:p>
        </w:tc>
      </w:tr>
      <w:tr w14:paraId="365F8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902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84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99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281E">
            <w:pPr>
              <w:jc w:val="center"/>
            </w:pPr>
            <w:r>
              <w:rPr>
                <w:rFonts w:ascii="宋体" w:hAnsi="宋体" w:eastAsia="宋体"/>
                <w:sz w:val="16"/>
              </w:rPr>
              <w:t>保障离退休人员享受党和政府的关爱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19E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39F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D53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43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D4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7F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EDC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1C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B99E2">
            <w:pPr>
              <w:jc w:val="center"/>
            </w:pPr>
          </w:p>
        </w:tc>
      </w:tr>
      <w:tr w14:paraId="2D35A7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64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4D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0D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08FF">
            <w:pPr>
              <w:jc w:val="center"/>
            </w:pPr>
            <w:r>
              <w:rPr>
                <w:rFonts w:ascii="宋体" w:hAnsi="宋体" w:eastAsia="宋体"/>
                <w:sz w:val="16"/>
              </w:rPr>
              <w:t>离退休人员满意度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25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58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E0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20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04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0C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02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60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37EB">
            <w:pPr>
              <w:jc w:val="center"/>
            </w:pPr>
          </w:p>
        </w:tc>
      </w:tr>
      <w:tr w14:paraId="38BAB5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663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1D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EE4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A0B3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4ADA99"/>
        </w:tc>
      </w:tr>
    </w:tbl>
    <w:p w14:paraId="728C84E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6"/>
        <w:gridCol w:w="696"/>
        <w:gridCol w:w="628"/>
        <w:gridCol w:w="626"/>
        <w:gridCol w:w="626"/>
        <w:gridCol w:w="696"/>
        <w:gridCol w:w="632"/>
        <w:gridCol w:w="616"/>
        <w:gridCol w:w="630"/>
      </w:tblGrid>
      <w:tr w14:paraId="3805AE1A">
        <w:tblPrEx>
          <w:tblCellMar>
            <w:top w:w="0" w:type="dxa"/>
            <w:left w:w="108" w:type="dxa"/>
            <w:bottom w:w="0" w:type="dxa"/>
            <w:right w:w="108" w:type="dxa"/>
          </w:tblCellMar>
        </w:tblPrEx>
        <w:tc>
          <w:tcPr>
            <w:tcW w:w="8848" w:type="dxa"/>
            <w:gridSpan w:val="14"/>
            <w:vAlign w:val="center"/>
          </w:tcPr>
          <w:p w14:paraId="1C6AA32F">
            <w:pPr>
              <w:jc w:val="center"/>
            </w:pPr>
            <w:r>
              <w:rPr>
                <w:rFonts w:ascii="宋体" w:hAnsi="宋体" w:eastAsia="宋体"/>
                <w:sz w:val="24"/>
              </w:rPr>
              <w:t>项目支出绩效自评表</w:t>
            </w:r>
          </w:p>
        </w:tc>
      </w:tr>
      <w:tr w14:paraId="72ED5AA2">
        <w:tblPrEx>
          <w:tblCellMar>
            <w:top w:w="0" w:type="dxa"/>
            <w:left w:w="108" w:type="dxa"/>
            <w:bottom w:w="0" w:type="dxa"/>
            <w:right w:w="108" w:type="dxa"/>
          </w:tblCellMar>
        </w:tblPrEx>
        <w:tc>
          <w:tcPr>
            <w:tcW w:w="8848" w:type="dxa"/>
            <w:gridSpan w:val="14"/>
            <w:vAlign w:val="center"/>
          </w:tcPr>
          <w:p w14:paraId="2F7E32E6">
            <w:pPr>
              <w:jc w:val="center"/>
            </w:pPr>
            <w:r>
              <w:rPr>
                <w:rFonts w:ascii="宋体" w:hAnsi="宋体" w:eastAsia="宋体"/>
                <w:sz w:val="24"/>
              </w:rPr>
              <w:t>(2024年度)</w:t>
            </w:r>
          </w:p>
        </w:tc>
      </w:tr>
      <w:tr w14:paraId="235049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73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4F4648">
            <w:pPr>
              <w:jc w:val="center"/>
            </w:pPr>
            <w:r>
              <w:rPr>
                <w:rFonts w:ascii="宋体" w:hAnsi="宋体" w:eastAsia="宋体"/>
                <w:sz w:val="16"/>
              </w:rPr>
              <w:t>疆内喀什籍务工人员服务工作专项组项目</w:t>
            </w:r>
          </w:p>
        </w:tc>
      </w:tr>
      <w:tr w14:paraId="62B6B9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61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4799C0">
            <w:pPr>
              <w:jc w:val="center"/>
            </w:pPr>
            <w:r>
              <w:rPr>
                <w:rFonts w:ascii="宋体" w:hAnsi="宋体" w:eastAsia="宋体"/>
                <w:sz w:val="16"/>
              </w:rPr>
              <w:t>喀什地区行署办公室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31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7CB40">
            <w:pPr>
              <w:jc w:val="center"/>
            </w:pPr>
            <w:r>
              <w:rPr>
                <w:rFonts w:ascii="宋体" w:hAnsi="宋体" w:eastAsia="宋体"/>
                <w:sz w:val="16"/>
              </w:rPr>
              <w:t>喀什地区行政公署驻乌鲁木齐办事处</w:t>
            </w:r>
          </w:p>
        </w:tc>
      </w:tr>
      <w:tr w14:paraId="12A25A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9AD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28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388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0CB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D31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786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30D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B5DE">
            <w:pPr>
              <w:jc w:val="center"/>
            </w:pPr>
            <w:r>
              <w:rPr>
                <w:rFonts w:ascii="宋体" w:hAnsi="宋体" w:eastAsia="宋体"/>
                <w:sz w:val="16"/>
              </w:rPr>
              <w:t>得分</w:t>
            </w:r>
          </w:p>
        </w:tc>
      </w:tr>
      <w:tr w14:paraId="0F8E7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AD6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A8B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3DD1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A8B01">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1D47">
            <w:pPr>
              <w:jc w:val="center"/>
            </w:pPr>
            <w:r>
              <w:rPr>
                <w:rFonts w:ascii="宋体" w:hAnsi="宋体" w:eastAsia="宋体"/>
                <w:sz w:val="16"/>
              </w:rPr>
              <w:t>44.11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EC6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F151D">
            <w:pPr>
              <w:jc w:val="center"/>
            </w:pPr>
            <w:r>
              <w:rPr>
                <w:rFonts w:ascii="宋体" w:hAnsi="宋体" w:eastAsia="宋体"/>
                <w:sz w:val="16"/>
              </w:rPr>
              <w:t>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E664">
            <w:pPr>
              <w:jc w:val="center"/>
            </w:pPr>
            <w:r>
              <w:rPr>
                <w:rFonts w:ascii="宋体" w:hAnsi="宋体" w:eastAsia="宋体"/>
                <w:sz w:val="16"/>
              </w:rPr>
              <w:t>7.05分</w:t>
            </w:r>
          </w:p>
        </w:tc>
      </w:tr>
      <w:tr w14:paraId="1AE2D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D5C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D9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B714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D3448">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75D18">
            <w:pPr>
              <w:jc w:val="center"/>
            </w:pPr>
            <w:r>
              <w:rPr>
                <w:rFonts w:ascii="宋体" w:hAnsi="宋体" w:eastAsia="宋体"/>
                <w:sz w:val="16"/>
              </w:rPr>
              <w:t>44.11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87E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BA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DAED">
            <w:pPr>
              <w:jc w:val="center"/>
            </w:pPr>
            <w:r>
              <w:rPr>
                <w:rFonts w:ascii="宋体" w:hAnsi="宋体" w:eastAsia="宋体"/>
                <w:sz w:val="16"/>
              </w:rPr>
              <w:t>—</w:t>
            </w:r>
          </w:p>
        </w:tc>
      </w:tr>
      <w:tr w14:paraId="085EE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432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CC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D1F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20F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DB6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D4D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FD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FDFE">
            <w:pPr>
              <w:jc w:val="center"/>
            </w:pPr>
            <w:r>
              <w:rPr>
                <w:rFonts w:ascii="宋体" w:hAnsi="宋体" w:eastAsia="宋体"/>
                <w:sz w:val="16"/>
              </w:rPr>
              <w:t>—</w:t>
            </w:r>
          </w:p>
        </w:tc>
      </w:tr>
      <w:tr w14:paraId="519BF6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5C6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DADC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9BB5E2">
            <w:pPr>
              <w:jc w:val="center"/>
            </w:pPr>
            <w:r>
              <w:rPr>
                <w:rFonts w:ascii="宋体" w:hAnsi="宋体" w:eastAsia="宋体"/>
                <w:sz w:val="16"/>
              </w:rPr>
              <w:t>实际完成情况</w:t>
            </w:r>
          </w:p>
        </w:tc>
      </w:tr>
      <w:tr w14:paraId="6934A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A8B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836A8">
            <w:pPr>
              <w:jc w:val="both"/>
            </w:pPr>
            <w:r>
              <w:rPr>
                <w:rFonts w:ascii="宋体" w:hAnsi="宋体" w:eastAsia="宋体"/>
                <w:sz w:val="16"/>
              </w:rPr>
              <w:t>申请项目资金50万元，认真贯彻落实自治区党委和喀什地委的各项工作要求，进一步总结经验，弥补不足，以向疆内11个地州市有组织转移就业的1.6万名喀什籍务工人员为重点，做好岗位安置、稳岗增收、服务管理、促发展等方面的工作，进一步压紧压实工作责任，落细落实各项</w:t>
            </w:r>
            <w:r>
              <w:rPr>
                <w:rFonts w:hint="eastAsia" w:ascii="宋体" w:hAnsi="宋体"/>
                <w:sz w:val="16"/>
                <w:lang w:eastAsia="zh-CN"/>
              </w:rPr>
              <w:t>WW</w:t>
            </w:r>
            <w:r>
              <w:rPr>
                <w:rFonts w:ascii="宋体" w:hAnsi="宋体" w:eastAsia="宋体"/>
                <w:sz w:val="16"/>
              </w:rPr>
              <w:t>措施，以切实加强服务管理为重点。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460D21">
            <w:pPr>
              <w:jc w:val="both"/>
            </w:pPr>
            <w:r>
              <w:rPr>
                <w:rFonts w:ascii="宋体" w:hAnsi="宋体" w:eastAsia="宋体"/>
                <w:sz w:val="16"/>
              </w:rPr>
              <w:t>实际支付项目资金44.11万元，通过项目实施，切实做好喀什籍人员在疆内转移就业、增进民族团结、关心关爱等重点工作。专项组把开展主题教育与推动确保喀什籍外出务工人员平安相结合，组织全体党员干部交流研讨，铸牢做到“两个维护”的思想根基；加强与派出县市及驻地相关部门的沟通对接，畅通喀什籍外出务工人员沟通协调途径；加强调研指导、督导检查力度，定期不定期深入疆内十一个地州市相关县市务工点位，指导各地州市动工作落实；认真指导各地州市协调对接人社、工业园区等相关职能部门和用工企业，认真分析企业用工需要，开发优质岗位，并及时对接后方县市人社部门，搭建起劳务信息沟通平台，拓宽就业渠道，共同稳妥解决喀什籍员工就业问题。今年以来开发工作岗位7868个，安置就业5991人，开发季节性务工岗位14788个，安置就业9948人。项目的实施，实现了喀什籍务工人员稳岗增收，为巩固拓展脱贫攻坚成果，扎实推进乡村振兴贡献力量，增加了群众</w:t>
            </w:r>
            <w:r>
              <w:rPr>
                <w:rFonts w:hint="eastAsia" w:ascii="宋体" w:hAnsi="宋体"/>
                <w:sz w:val="16"/>
                <w:lang w:eastAsia="zh-CN"/>
              </w:rPr>
              <w:t>获得感、幸福感、安全感</w:t>
            </w:r>
            <w:r>
              <w:rPr>
                <w:rFonts w:ascii="宋体" w:hAnsi="宋体" w:eastAsia="宋体"/>
                <w:sz w:val="16"/>
              </w:rPr>
              <w:t>。</w:t>
            </w:r>
          </w:p>
        </w:tc>
      </w:tr>
      <w:tr w14:paraId="1413A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F89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E9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C45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ED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0B1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44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D7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E8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DA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1B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4F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1F1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0924">
            <w:pPr>
              <w:jc w:val="center"/>
            </w:pPr>
            <w:r>
              <w:rPr>
                <w:rFonts w:ascii="宋体" w:hAnsi="宋体" w:eastAsia="宋体"/>
                <w:sz w:val="16"/>
              </w:rPr>
              <w:t>偏差原因分析及改进措施</w:t>
            </w:r>
          </w:p>
        </w:tc>
      </w:tr>
      <w:tr w14:paraId="56B8B7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6F6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50C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2F3C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6A4F">
            <w:pPr>
              <w:jc w:val="center"/>
            </w:pPr>
            <w:r>
              <w:rPr>
                <w:rFonts w:ascii="宋体" w:hAnsi="宋体" w:eastAsia="宋体"/>
                <w:sz w:val="16"/>
              </w:rPr>
              <w:t>喀什籍务工人员数量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C537">
            <w:pPr>
              <w:jc w:val="center"/>
            </w:pPr>
            <w:r>
              <w:rPr>
                <w:rFonts w:ascii="宋体" w:hAnsi="宋体" w:eastAsia="宋体"/>
                <w:sz w:val="16"/>
              </w:rPr>
              <w:t>&gt;=1.60万人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7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9C6AA">
            <w:pPr>
              <w:jc w:val="center"/>
            </w:pPr>
            <w:r>
              <w:rPr>
                <w:rFonts w:ascii="宋体" w:hAnsi="宋体" w:eastAsia="宋体"/>
                <w:sz w:val="16"/>
              </w:rPr>
              <w:t>=1.9万人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DA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60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9D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46B3">
            <w:pPr>
              <w:jc w:val="center"/>
            </w:pPr>
            <w:r>
              <w:rPr>
                <w:rFonts w:ascii="宋体" w:hAnsi="宋体" w:eastAsia="宋体"/>
                <w:sz w:val="16"/>
              </w:rPr>
              <w:t>=1.87万人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0B632">
            <w:pPr>
              <w:jc w:val="center"/>
            </w:pPr>
            <w:r>
              <w:rPr>
                <w:rFonts w:ascii="宋体" w:hAnsi="宋体" w:eastAsia="宋体"/>
                <w:sz w:val="16"/>
              </w:rPr>
              <w:t>8.31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5AAF">
            <w:pPr>
              <w:jc w:val="center"/>
            </w:pPr>
            <w:r>
              <w:rPr>
                <w:rFonts w:ascii="宋体" w:hAnsi="宋体" w:eastAsia="宋体"/>
                <w:sz w:val="16"/>
              </w:rPr>
              <w:t>偏差原因：为有效提高家庭收入水平迈上新台阶，喀什地区外出务工人员数量呈现稳步增长的趋势；改进措施:在项目执行过程中，我们将密切</w:t>
            </w:r>
            <w:r>
              <w:rPr>
                <w:rFonts w:hint="eastAsia" w:ascii="宋体" w:hAnsi="宋体"/>
                <w:sz w:val="16"/>
                <w:lang w:val="en-US" w:eastAsia="zh-CN"/>
              </w:rPr>
              <w:t>跟踪</w:t>
            </w:r>
            <w:r>
              <w:rPr>
                <w:rFonts w:ascii="宋体" w:hAnsi="宋体" w:eastAsia="宋体"/>
                <w:sz w:val="16"/>
              </w:rPr>
              <w:t>喀什籍务工人员数量的动态变化，并致力于提升项目绩效目标精细化管理水平。</w:t>
            </w:r>
          </w:p>
        </w:tc>
      </w:tr>
      <w:tr w14:paraId="6DDC35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B87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23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55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DFE0">
            <w:pPr>
              <w:jc w:val="center"/>
            </w:pPr>
            <w:r>
              <w:rPr>
                <w:rFonts w:ascii="宋体" w:hAnsi="宋体" w:eastAsia="宋体"/>
                <w:sz w:val="16"/>
              </w:rPr>
              <w:t>派驻专项组干部人员数量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CDBD">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F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2869">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E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EB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03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5A62">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3E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B85E5">
            <w:pPr>
              <w:jc w:val="center"/>
            </w:pPr>
            <w:r>
              <w:rPr>
                <w:rFonts w:ascii="宋体" w:hAnsi="宋体" w:eastAsia="宋体"/>
                <w:sz w:val="16"/>
              </w:rPr>
              <w:t>偏差原因：喀什籍务工人员增加，为确保其服务保障工作得以进一步推进和优化，专项组优化干部人员配置，以提升服务效能；改进措施：在项目执行过程中，我们将密切关注喀什籍务工人员务工人数的动态波动变化，深化项目绩效指标的精细化管理策略，并根据实时数据变化，及时调整和优化绩效目标。</w:t>
            </w:r>
          </w:p>
        </w:tc>
      </w:tr>
      <w:tr w14:paraId="7079B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F0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DA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FC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E7B0E">
            <w:pPr>
              <w:jc w:val="center"/>
            </w:pPr>
            <w:r>
              <w:rPr>
                <w:rFonts w:ascii="宋体" w:hAnsi="宋体" w:eastAsia="宋体"/>
                <w:sz w:val="16"/>
              </w:rPr>
              <w:t>喀什籍务工人员稳岗就业率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9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EE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B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75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C1B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C1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1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C9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AD0EE">
            <w:pPr>
              <w:jc w:val="center"/>
            </w:pPr>
          </w:p>
        </w:tc>
      </w:tr>
      <w:tr w14:paraId="556FC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932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A33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407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EFD2">
            <w:pPr>
              <w:jc w:val="center"/>
            </w:pPr>
            <w:r>
              <w:rPr>
                <w:rFonts w:ascii="宋体" w:hAnsi="宋体" w:eastAsia="宋体"/>
                <w:sz w:val="16"/>
              </w:rPr>
              <w:t>保障喀什籍务工人员在疆内服务时限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940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651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115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DD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F0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F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1EE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4A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C522">
            <w:pPr>
              <w:jc w:val="center"/>
            </w:pPr>
          </w:p>
        </w:tc>
      </w:tr>
      <w:tr w14:paraId="59FCD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86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4BF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26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92D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CEA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5F8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DC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42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79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37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0AE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41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4E24D">
            <w:pPr>
              <w:jc w:val="center"/>
            </w:pPr>
          </w:p>
        </w:tc>
      </w:tr>
      <w:tr w14:paraId="77252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69A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3FE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FC48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0129">
            <w:pPr>
              <w:jc w:val="center"/>
            </w:pPr>
            <w:r>
              <w:rPr>
                <w:rFonts w:ascii="宋体" w:hAnsi="宋体" w:eastAsia="宋体"/>
                <w:sz w:val="16"/>
              </w:rPr>
              <w:t>服务保障开展疆内喀什籍务工人员服务工作成本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9D97">
            <w:pPr>
              <w:jc w:val="center"/>
            </w:pPr>
            <w:r>
              <w:rPr>
                <w:rFonts w:ascii="宋体" w:hAnsi="宋体" w:eastAsia="宋体"/>
                <w:sz w:val="16"/>
              </w:rPr>
              <w:t>&lt;=26.38万元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3E8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18C6">
            <w:pPr>
              <w:jc w:val="center"/>
            </w:pPr>
            <w:r>
              <w:rPr>
                <w:rFonts w:ascii="宋体" w:hAnsi="宋体" w:eastAsia="宋体"/>
                <w:sz w:val="16"/>
              </w:rPr>
              <w:t>=26.83万元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2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95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5B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0F7F">
            <w:pPr>
              <w:jc w:val="center"/>
            </w:pPr>
            <w:r>
              <w:rPr>
                <w:rFonts w:ascii="宋体" w:hAnsi="宋体" w:eastAsia="宋体"/>
                <w:sz w:val="16"/>
              </w:rPr>
              <w:t>=25.04万元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B99B">
            <w:pPr>
              <w:jc w:val="center"/>
            </w:pPr>
            <w:r>
              <w:rPr>
                <w:rFonts w:ascii="宋体" w:hAnsi="宋体" w:eastAsia="宋体"/>
                <w:sz w:val="16"/>
              </w:rPr>
              <w:t>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C748">
            <w:pPr>
              <w:jc w:val="center"/>
            </w:pPr>
            <w:r>
              <w:rPr>
                <w:rFonts w:ascii="宋体" w:hAnsi="宋体" w:eastAsia="宋体"/>
                <w:sz w:val="16"/>
              </w:rPr>
              <w:t>偏差原因：专项组进一步优化工作方法流程节能降耗，确保服务保障工作高效开展同时减少服务工作成本；改进措施：加强项目绩效目标管理，及时调整绩效目标。</w:t>
            </w:r>
          </w:p>
        </w:tc>
      </w:tr>
      <w:tr w14:paraId="67725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C2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08B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7C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3102">
            <w:pPr>
              <w:jc w:val="center"/>
            </w:pPr>
            <w:r>
              <w:rPr>
                <w:rFonts w:ascii="宋体" w:hAnsi="宋体" w:eastAsia="宋体"/>
                <w:sz w:val="16"/>
              </w:rPr>
              <w:t>专项组赴输出地走访调研考核成本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7994">
            <w:pPr>
              <w:jc w:val="center"/>
            </w:pPr>
            <w:r>
              <w:rPr>
                <w:rFonts w:ascii="宋体" w:hAnsi="宋体" w:eastAsia="宋体"/>
                <w:sz w:val="16"/>
              </w:rPr>
              <w:t>&lt;=23.62万元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B75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2DF3">
            <w:pPr>
              <w:jc w:val="center"/>
            </w:pPr>
            <w:r>
              <w:rPr>
                <w:rFonts w:ascii="宋体" w:hAnsi="宋体" w:eastAsia="宋体"/>
                <w:sz w:val="16"/>
              </w:rPr>
              <w: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6E4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3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DD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360C">
            <w:pPr>
              <w:jc w:val="center"/>
            </w:pPr>
            <w:r>
              <w:rPr>
                <w:rFonts w:ascii="宋体" w:hAnsi="宋体" w:eastAsia="宋体"/>
                <w:sz w:val="16"/>
              </w:rPr>
              <w:t>=19.07万元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C5BD">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D4697">
            <w:pPr>
              <w:jc w:val="center"/>
            </w:pPr>
            <w:r>
              <w:rPr>
                <w:rFonts w:ascii="宋体" w:hAnsi="宋体" w:eastAsia="宋体"/>
                <w:sz w:val="16"/>
              </w:rPr>
              <w:t>偏差原因：专项组进一步利用视联网等远程先进科技手段指导检查工作，减少实地考核调研次数，提高</w:t>
            </w:r>
            <w:r>
              <w:rPr>
                <w:rFonts w:hint="eastAsia" w:ascii="宋体" w:hAnsi="宋体"/>
                <w:sz w:val="16"/>
                <w:lang w:eastAsia="zh-CN"/>
              </w:rPr>
              <w:t>考察</w:t>
            </w:r>
            <w:r>
              <w:rPr>
                <w:rFonts w:ascii="宋体" w:hAnsi="宋体" w:eastAsia="宋体"/>
                <w:sz w:val="16"/>
              </w:rPr>
              <w:t>调研效率，减少走访调研考核成本；改进措施:在项目实施中，根据喀什籍务工人员务工地偏差原因：实际工作开展情况，调整</w:t>
            </w:r>
            <w:r>
              <w:rPr>
                <w:rFonts w:hint="eastAsia" w:ascii="宋体" w:hAnsi="宋体"/>
                <w:sz w:val="16"/>
                <w:lang w:eastAsia="zh-CN"/>
              </w:rPr>
              <w:t>考察</w:t>
            </w:r>
            <w:r>
              <w:rPr>
                <w:rFonts w:ascii="宋体" w:hAnsi="宋体" w:eastAsia="宋体"/>
                <w:sz w:val="16"/>
              </w:rPr>
              <w:t>调研工作频次，及时调整绩效目标。</w:t>
            </w:r>
          </w:p>
        </w:tc>
      </w:tr>
      <w:tr w14:paraId="24013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BD4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8D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FD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4FC4">
            <w:pPr>
              <w:jc w:val="center"/>
            </w:pPr>
            <w:r>
              <w:rPr>
                <w:rFonts w:ascii="宋体" w:hAnsi="宋体" w:eastAsia="宋体"/>
                <w:sz w:val="16"/>
              </w:rPr>
              <w:t>增强获得感、幸福感、安全感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FA82">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F9B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A56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85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BE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3D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43CB">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76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4D5DB">
            <w:pPr>
              <w:jc w:val="center"/>
            </w:pPr>
          </w:p>
        </w:tc>
      </w:tr>
      <w:tr w14:paraId="76CD4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2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648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86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1F4C">
            <w:pPr>
              <w:jc w:val="center"/>
            </w:pPr>
            <w:r>
              <w:rPr>
                <w:rFonts w:ascii="宋体" w:hAnsi="宋体" w:eastAsia="宋体"/>
                <w:sz w:val="16"/>
              </w:rPr>
              <w:t>喀什籍务工人员满意度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FDE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2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1B4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56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59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A6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2DBD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79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79B71">
            <w:pPr>
              <w:jc w:val="center"/>
            </w:pPr>
          </w:p>
        </w:tc>
      </w:tr>
      <w:tr w14:paraId="6CE6FD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FE5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A81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085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5757">
            <w:pPr>
              <w:jc w:val="center"/>
            </w:pPr>
            <w:r>
              <w:rPr>
                <w:rFonts w:ascii="宋体" w:hAnsi="宋体" w:eastAsia="宋体"/>
                <w:sz w:val="16"/>
              </w:rPr>
              <w:t>87.27分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208EF8"/>
        </w:tc>
      </w:tr>
    </w:tbl>
    <w:p w14:paraId="2CE9188A">
      <w:r>
        <w:br w:type="page"/>
      </w:r>
    </w:p>
    <w:p w14:paraId="50E2E86C">
      <w:pPr>
        <w:spacing w:line="640" w:lineRule="exact"/>
        <w:ind w:firstLine="640"/>
        <w:jc w:val="both"/>
        <w:outlineLvl w:val="2"/>
      </w:pPr>
      <w:r>
        <w:rPr>
          <w:rFonts w:ascii="黑体" w:hAnsi="黑体" w:eastAsia="黑体"/>
          <w:sz w:val="32"/>
        </w:rPr>
        <w:t>十二、其他需说明的事项</w:t>
      </w:r>
    </w:p>
    <w:p w14:paraId="2054BDDC">
      <w:pPr>
        <w:spacing w:line="580" w:lineRule="exact"/>
        <w:ind w:firstLine="640"/>
        <w:jc w:val="both"/>
      </w:pPr>
      <w:r>
        <w:rPr>
          <w:rFonts w:hint="eastAsia" w:ascii="仿宋_GB2312" w:hAnsi="仿宋_GB2312" w:eastAsia="仿宋_GB2312"/>
          <w:b w:val="0"/>
          <w:sz w:val="32"/>
        </w:rPr>
        <w:t>本年本部门涉密项目5个，全年预算数283.49万元，全年执行数183.88万元。</w:t>
      </w:r>
    </w:p>
    <w:p w14:paraId="429582B0">
      <w:r>
        <w:br w:type="page"/>
      </w:r>
      <w:bookmarkStart w:id="0" w:name="_GoBack"/>
      <w:bookmarkEnd w:id="0"/>
    </w:p>
    <w:p w14:paraId="14A4BD8C">
      <w:pPr>
        <w:spacing w:line="240" w:lineRule="auto"/>
        <w:jc w:val="center"/>
        <w:outlineLvl w:val="1"/>
      </w:pPr>
      <w:r>
        <w:rPr>
          <w:rFonts w:ascii="黑体" w:hAnsi="黑体" w:eastAsia="黑体"/>
          <w:sz w:val="32"/>
        </w:rPr>
        <w:t>第三部分 专业名词解释</w:t>
      </w:r>
    </w:p>
    <w:p w14:paraId="3873F59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AEA2DD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170C5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4FF9B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F66081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FC43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D4BBA6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B2218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C169B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28880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83C78A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0913DB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73966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CF2650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50543E">
      <w:r>
        <w:br w:type="page"/>
      </w:r>
    </w:p>
    <w:p w14:paraId="2044FF7B">
      <w:pPr>
        <w:spacing w:line="240" w:lineRule="auto"/>
        <w:jc w:val="center"/>
        <w:outlineLvl w:val="1"/>
      </w:pPr>
      <w:r>
        <w:rPr>
          <w:rFonts w:ascii="黑体" w:hAnsi="黑体" w:eastAsia="黑体"/>
          <w:sz w:val="32"/>
        </w:rPr>
        <w:t>第四部分 部门决算报表（见附表）</w:t>
      </w:r>
    </w:p>
    <w:p w14:paraId="2D6660B0">
      <w:pPr>
        <w:spacing w:line="240" w:lineRule="auto"/>
        <w:ind w:firstLine="640"/>
        <w:jc w:val="both"/>
      </w:pPr>
      <w:r>
        <w:rPr>
          <w:rFonts w:ascii="仿宋_GB2312" w:hAnsi="仿宋_GB2312" w:eastAsia="仿宋_GB2312"/>
          <w:b w:val="0"/>
          <w:sz w:val="32"/>
        </w:rPr>
        <w:t>一、《收入支出决算总表》</w:t>
      </w:r>
    </w:p>
    <w:p w14:paraId="6E0F8A8D">
      <w:pPr>
        <w:spacing w:line="240" w:lineRule="auto"/>
        <w:ind w:firstLine="640"/>
        <w:jc w:val="both"/>
      </w:pPr>
      <w:r>
        <w:rPr>
          <w:rFonts w:ascii="仿宋_GB2312" w:hAnsi="仿宋_GB2312" w:eastAsia="仿宋_GB2312"/>
          <w:b w:val="0"/>
          <w:sz w:val="32"/>
        </w:rPr>
        <w:t>二、《收入决算表》</w:t>
      </w:r>
    </w:p>
    <w:p w14:paraId="5924393D">
      <w:pPr>
        <w:spacing w:line="240" w:lineRule="auto"/>
        <w:ind w:firstLine="640"/>
        <w:jc w:val="both"/>
      </w:pPr>
      <w:r>
        <w:rPr>
          <w:rFonts w:ascii="仿宋_GB2312" w:hAnsi="仿宋_GB2312" w:eastAsia="仿宋_GB2312"/>
          <w:b w:val="0"/>
          <w:sz w:val="32"/>
        </w:rPr>
        <w:t>三、《支出决算表》</w:t>
      </w:r>
    </w:p>
    <w:p w14:paraId="21C0EE30">
      <w:pPr>
        <w:spacing w:line="240" w:lineRule="auto"/>
        <w:ind w:firstLine="640"/>
        <w:jc w:val="both"/>
      </w:pPr>
      <w:r>
        <w:rPr>
          <w:rFonts w:ascii="仿宋_GB2312" w:hAnsi="仿宋_GB2312" w:eastAsia="仿宋_GB2312"/>
          <w:b w:val="0"/>
          <w:sz w:val="32"/>
        </w:rPr>
        <w:t>四、《财政拨款收入支出决算总表》</w:t>
      </w:r>
    </w:p>
    <w:p w14:paraId="510D0804">
      <w:pPr>
        <w:spacing w:line="240" w:lineRule="auto"/>
        <w:ind w:firstLine="640"/>
        <w:jc w:val="both"/>
      </w:pPr>
      <w:r>
        <w:rPr>
          <w:rFonts w:ascii="仿宋_GB2312" w:hAnsi="仿宋_GB2312" w:eastAsia="仿宋_GB2312"/>
          <w:b w:val="0"/>
          <w:sz w:val="32"/>
        </w:rPr>
        <w:t>五、《一般公共预算财政拨款支出决算表》</w:t>
      </w:r>
    </w:p>
    <w:p w14:paraId="5419E063">
      <w:pPr>
        <w:spacing w:line="240" w:lineRule="auto"/>
        <w:ind w:firstLine="640"/>
        <w:jc w:val="both"/>
      </w:pPr>
      <w:r>
        <w:rPr>
          <w:rFonts w:ascii="仿宋_GB2312" w:hAnsi="仿宋_GB2312" w:eastAsia="仿宋_GB2312"/>
          <w:b w:val="0"/>
          <w:sz w:val="32"/>
        </w:rPr>
        <w:t>六、《一般公共预算财政拨款基本支出决算表》</w:t>
      </w:r>
    </w:p>
    <w:p w14:paraId="0B8A8560">
      <w:pPr>
        <w:spacing w:line="240" w:lineRule="auto"/>
        <w:ind w:firstLine="640"/>
        <w:jc w:val="both"/>
      </w:pPr>
      <w:r>
        <w:rPr>
          <w:rFonts w:ascii="仿宋_GB2312" w:hAnsi="仿宋_GB2312" w:eastAsia="仿宋_GB2312"/>
          <w:b w:val="0"/>
          <w:sz w:val="32"/>
        </w:rPr>
        <w:t>七、《政府性基金预算财政拨款收入支出决算表》</w:t>
      </w:r>
    </w:p>
    <w:p w14:paraId="01385A9B">
      <w:pPr>
        <w:spacing w:line="240" w:lineRule="auto"/>
        <w:ind w:firstLine="640"/>
        <w:jc w:val="both"/>
      </w:pPr>
      <w:r>
        <w:rPr>
          <w:rFonts w:ascii="仿宋_GB2312" w:hAnsi="仿宋_GB2312" w:eastAsia="仿宋_GB2312"/>
          <w:b w:val="0"/>
          <w:sz w:val="32"/>
        </w:rPr>
        <w:t>八、《国有资本经营预算财政拨款收入支出决算表》</w:t>
      </w:r>
    </w:p>
    <w:p w14:paraId="6E6A5E16">
      <w:pPr>
        <w:spacing w:line="240" w:lineRule="auto"/>
        <w:ind w:firstLine="640"/>
        <w:jc w:val="both"/>
      </w:pPr>
      <w:r>
        <w:rPr>
          <w:rFonts w:ascii="仿宋_GB2312" w:hAnsi="仿宋_GB2312" w:eastAsia="仿宋_GB2312"/>
          <w:b w:val="0"/>
          <w:sz w:val="32"/>
        </w:rPr>
        <w:t>九、《财政拨款“三公”经费支出决算表》</w:t>
      </w:r>
    </w:p>
    <w:p w14:paraId="09D75AAF">
      <w:pPr>
        <w:spacing w:line="240" w:lineRule="auto"/>
        <w:ind w:firstLine="640"/>
        <w:jc w:val="both"/>
      </w:pPr>
    </w:p>
    <w:p w14:paraId="24C18D5D">
      <w:pPr>
        <w:spacing w:line="240" w:lineRule="auto"/>
        <w:ind w:firstLine="640"/>
        <w:jc w:val="both"/>
      </w:pPr>
    </w:p>
    <w:p w14:paraId="28E2FD8D">
      <w:pPr>
        <w:spacing w:line="240" w:lineRule="auto"/>
        <w:ind w:firstLine="640"/>
        <w:jc w:val="both"/>
      </w:pPr>
    </w:p>
    <w:p w14:paraId="5905DF02">
      <w:pPr>
        <w:spacing w:line="240" w:lineRule="auto"/>
        <w:ind w:firstLine="640"/>
        <w:jc w:val="both"/>
      </w:pPr>
    </w:p>
    <w:p w14:paraId="47946BC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BED31D-3EA1-4108-86A0-677703AF4D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3BBDCB8-7A03-4351-891B-7C2731D20F30}"/>
  </w:font>
  <w:font w:name="方正小标宋_GBK">
    <w:panose1 w:val="02000000000000000000"/>
    <w:charset w:val="86"/>
    <w:family w:val="script"/>
    <w:pitch w:val="default"/>
    <w:sig w:usb0="A00002BF" w:usb1="38CF7CFA" w:usb2="00082016" w:usb3="00000000" w:csb0="00040001" w:csb1="00000000"/>
    <w:embedRegular r:id="rId3" w:fontKey="{F9E3EC6A-3078-4923-BB96-C246DCBD9CE8}"/>
  </w:font>
  <w:font w:name="楷体_GB2312">
    <w:panose1 w:val="02010609030101010101"/>
    <w:charset w:val="86"/>
    <w:family w:val="auto"/>
    <w:pitch w:val="default"/>
    <w:sig w:usb0="00000001" w:usb1="080E0000" w:usb2="00000000" w:usb3="00000000" w:csb0="00040000" w:csb1="00000000"/>
    <w:embedRegular r:id="rId4" w:fontKey="{20FF19F8-F990-4008-8456-D8E87389669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5D4F1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C2149D"/>
    <w:rsid w:val="2C1965E9"/>
    <w:rsid w:val="2D1136DF"/>
    <w:rsid w:val="2DAE0E44"/>
    <w:rsid w:val="2FC133A7"/>
    <w:rsid w:val="2FD27414"/>
    <w:rsid w:val="313F1D52"/>
    <w:rsid w:val="31743C8B"/>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CC5728"/>
    <w:rsid w:val="503F5510"/>
    <w:rsid w:val="50DB5F45"/>
    <w:rsid w:val="5149673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7247BD"/>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FF2E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4776</Words>
  <Characters>5450</Characters>
  <Lines>0</Lines>
  <Paragraphs>0</Paragraphs>
  <TotalTime>13</TotalTime>
  <ScaleCrop>false</ScaleCrop>
  <LinksUpToDate>false</LinksUpToDate>
  <CharactersWithSpaces>5458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