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DA453F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喀什地区行政服务中心</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3A4D12C">
      <w:r>
        <w:br w:type="page"/>
      </w:r>
    </w:p>
    <w:p w14:paraId="7C4872CF">
      <w:pPr>
        <w:spacing w:line="640" w:lineRule="exact"/>
        <w:jc w:val="center"/>
        <w:outlineLvl w:val="1"/>
      </w:pPr>
      <w:r>
        <w:rPr>
          <w:rFonts w:ascii="黑体" w:hAnsi="黑体" w:eastAsia="黑体"/>
          <w:sz w:val="32"/>
        </w:rPr>
        <w:t>第一部分 部门概况</w:t>
      </w:r>
    </w:p>
    <w:p w14:paraId="2E11E265">
      <w:pPr>
        <w:spacing w:line="640" w:lineRule="exact"/>
        <w:ind w:firstLine="640"/>
        <w:jc w:val="both"/>
        <w:outlineLvl w:val="2"/>
      </w:pPr>
      <w:r>
        <w:rPr>
          <w:rFonts w:ascii="黑体" w:hAnsi="黑体" w:eastAsia="黑体"/>
          <w:sz w:val="32"/>
        </w:rPr>
        <w:t>一、主要职能</w:t>
      </w:r>
    </w:p>
    <w:p w14:paraId="52E046B2">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贯彻落实国家、自治区、地区深化“放管服”改革有关政策。</w:t>
      </w:r>
    </w:p>
    <w:p w14:paraId="04D57962">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负责“一站式”政务服务大厅和政务服务信息系统的建设、管理、运用。</w:t>
      </w:r>
    </w:p>
    <w:p w14:paraId="4F37DF71">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负责制定进驻大厅的部门服务窗口考核评价体系，对进驻窗口实施组织、协调、管理，对窗口工作人员进行相关培训、考核。</w:t>
      </w:r>
    </w:p>
    <w:p w14:paraId="5D563557">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完成地区数字化发展局交办的其他工作。</w:t>
      </w:r>
    </w:p>
    <w:p w14:paraId="5D00C238">
      <w:pPr>
        <w:spacing w:line="640" w:lineRule="exact"/>
        <w:ind w:firstLine="640"/>
        <w:jc w:val="both"/>
        <w:outlineLvl w:val="2"/>
      </w:pPr>
      <w:r>
        <w:rPr>
          <w:rFonts w:ascii="黑体" w:hAnsi="黑体" w:eastAsia="黑体"/>
          <w:sz w:val="32"/>
        </w:rPr>
        <w:t>二、机构设置及人员情况</w:t>
      </w:r>
    </w:p>
    <w:p w14:paraId="7C9097D1">
      <w:pPr>
        <w:spacing w:line="580" w:lineRule="exact"/>
        <w:ind w:firstLine="640"/>
        <w:jc w:val="both"/>
      </w:pPr>
      <w:r>
        <w:rPr>
          <w:rFonts w:ascii="仿宋_GB2312" w:hAnsi="仿宋_GB2312" w:eastAsia="仿宋_GB2312"/>
          <w:sz w:val="32"/>
        </w:rPr>
        <w:t>喀什地区行政服务中心2024年度，实有人数16人，其中：在职人员16人，增加1人；离休人员0人，增加0人；退休人员0人,增加0人。</w:t>
      </w:r>
    </w:p>
    <w:p w14:paraId="48AD62A1">
      <w:pPr>
        <w:spacing w:line="580" w:lineRule="exact"/>
        <w:ind w:firstLine="640"/>
        <w:jc w:val="both"/>
      </w:pPr>
      <w:r>
        <w:rPr>
          <w:rFonts w:ascii="仿宋_GB2312" w:hAnsi="仿宋_GB2312" w:eastAsia="仿宋_GB2312"/>
          <w:sz w:val="32"/>
        </w:rPr>
        <w:t>喀什地区行政服务中心无下属预算单位，下设5个科室，分别是：办公室、网络科、绩效督查科、业务科、12345政务热线服务科。</w:t>
      </w:r>
    </w:p>
    <w:p w14:paraId="385BD48F">
      <w:r>
        <w:br w:type="page"/>
      </w:r>
    </w:p>
    <w:p w14:paraId="17F029D6">
      <w:pPr>
        <w:spacing w:line="240" w:lineRule="auto"/>
        <w:jc w:val="center"/>
        <w:outlineLvl w:val="1"/>
      </w:pPr>
      <w:r>
        <w:rPr>
          <w:rFonts w:ascii="黑体" w:hAnsi="黑体" w:eastAsia="黑体"/>
          <w:sz w:val="32"/>
        </w:rPr>
        <w:t>第二部分 部门决算情况说明</w:t>
      </w:r>
    </w:p>
    <w:p w14:paraId="0B5283F2">
      <w:pPr>
        <w:spacing w:line="640" w:lineRule="exact"/>
        <w:ind w:firstLine="640"/>
        <w:jc w:val="both"/>
        <w:outlineLvl w:val="2"/>
      </w:pPr>
      <w:r>
        <w:rPr>
          <w:rFonts w:ascii="黑体" w:hAnsi="黑体" w:eastAsia="黑体"/>
          <w:sz w:val="32"/>
        </w:rPr>
        <w:t>一、收入支出决算总体情况说明</w:t>
      </w:r>
    </w:p>
    <w:p w14:paraId="7A18ACFF">
      <w:pPr>
        <w:spacing w:line="580" w:lineRule="exact"/>
        <w:ind w:firstLine="640"/>
        <w:jc w:val="both"/>
      </w:pPr>
      <w:r>
        <w:rPr>
          <w:rFonts w:ascii="仿宋_GB2312" w:hAnsi="仿宋_GB2312" w:eastAsia="仿宋_GB2312"/>
          <w:b/>
          <w:sz w:val="32"/>
        </w:rPr>
        <w:t>2024年度收入总计321.01万元，</w:t>
      </w:r>
      <w:r>
        <w:rPr>
          <w:rFonts w:ascii="仿宋_GB2312" w:hAnsi="仿宋_GB2312" w:eastAsia="仿宋_GB2312"/>
          <w:b w:val="0"/>
          <w:sz w:val="32"/>
        </w:rPr>
        <w:t>其中：本年收入合计321.01万元，使用非财政拨款结余（含专用结余）0.00万元，年初结转和结余0.00万元。</w:t>
      </w:r>
    </w:p>
    <w:p w14:paraId="15F1A7C8">
      <w:pPr>
        <w:spacing w:line="580" w:lineRule="exact"/>
        <w:ind w:firstLine="640"/>
        <w:jc w:val="both"/>
      </w:pPr>
      <w:r>
        <w:rPr>
          <w:rFonts w:ascii="仿宋_GB2312" w:hAnsi="仿宋_GB2312" w:eastAsia="仿宋_GB2312"/>
          <w:b/>
          <w:sz w:val="32"/>
        </w:rPr>
        <w:t>2024年度支出总计321.01万元，</w:t>
      </w:r>
      <w:r>
        <w:rPr>
          <w:rFonts w:ascii="仿宋_GB2312" w:hAnsi="仿宋_GB2312" w:eastAsia="仿宋_GB2312"/>
          <w:b w:val="0"/>
          <w:sz w:val="32"/>
        </w:rPr>
        <w:t>其中：本年支出合计321.01万元，结余分配0.00万元，年末结转和结余0.00万元。</w:t>
      </w:r>
    </w:p>
    <w:p w14:paraId="4760C3EC">
      <w:pPr>
        <w:spacing w:line="580" w:lineRule="exact"/>
        <w:ind w:firstLine="640"/>
        <w:jc w:val="both"/>
      </w:pPr>
      <w:r>
        <w:rPr>
          <w:rFonts w:ascii="仿宋_GB2312" w:hAnsi="仿宋_GB2312" w:eastAsia="仿宋_GB2312"/>
          <w:b w:val="0"/>
          <w:sz w:val="32"/>
        </w:rPr>
        <w:t>收入支出总体与上年相比，减少61.16万元，下降16.00%，主要原因是：本年减少聘用人员工资经费，其他工资福利支出减少，减少行政服务综合保障、服务大厅吊顶维修等项目经费，导致相关经费减少。</w:t>
      </w:r>
    </w:p>
    <w:p w14:paraId="617B2B47">
      <w:pPr>
        <w:spacing w:line="640" w:lineRule="exact"/>
        <w:ind w:firstLine="640"/>
        <w:jc w:val="both"/>
        <w:outlineLvl w:val="2"/>
      </w:pPr>
      <w:r>
        <w:rPr>
          <w:rFonts w:ascii="黑体" w:hAnsi="黑体" w:eastAsia="黑体"/>
          <w:sz w:val="32"/>
        </w:rPr>
        <w:t>二、收入决算情况说明</w:t>
      </w:r>
    </w:p>
    <w:p w14:paraId="463A8D87">
      <w:pPr>
        <w:spacing w:line="580" w:lineRule="exact"/>
        <w:ind w:firstLine="640"/>
        <w:jc w:val="both"/>
      </w:pPr>
      <w:r>
        <w:rPr>
          <w:rFonts w:ascii="仿宋_GB2312" w:hAnsi="仿宋_GB2312" w:eastAsia="仿宋_GB2312"/>
          <w:b/>
          <w:sz w:val="32"/>
        </w:rPr>
        <w:t>本年收入321.01万元，</w:t>
      </w:r>
      <w:r>
        <w:rPr>
          <w:rFonts w:ascii="仿宋_GB2312" w:hAnsi="仿宋_GB2312" w:eastAsia="仿宋_GB2312"/>
          <w:b w:val="0"/>
          <w:sz w:val="32"/>
        </w:rPr>
        <w:t>其中：财政拨款收入321.01万元，占100.00%；上级补助收入0.00万元，占0.00%；事业收入0.00万元，占0.00%；经营收入0.00万元，占0.00%；附属单位上缴收入0.00万元，占0.00%；其他收入0.00万元，占0.00%。</w:t>
      </w:r>
    </w:p>
    <w:p w14:paraId="2B443CE3">
      <w:pPr>
        <w:spacing w:line="640" w:lineRule="exact"/>
        <w:ind w:firstLine="640"/>
        <w:jc w:val="both"/>
        <w:outlineLvl w:val="2"/>
      </w:pPr>
      <w:r>
        <w:rPr>
          <w:rFonts w:ascii="黑体" w:hAnsi="黑体" w:eastAsia="黑体"/>
          <w:sz w:val="32"/>
        </w:rPr>
        <w:t>三、支出决算情况说明</w:t>
      </w:r>
    </w:p>
    <w:p w14:paraId="49C77A13">
      <w:pPr>
        <w:spacing w:line="580" w:lineRule="exact"/>
        <w:ind w:firstLine="640"/>
        <w:jc w:val="both"/>
      </w:pPr>
      <w:r>
        <w:rPr>
          <w:rFonts w:ascii="仿宋_GB2312" w:hAnsi="仿宋_GB2312" w:eastAsia="仿宋_GB2312"/>
          <w:b/>
          <w:sz w:val="32"/>
        </w:rPr>
        <w:t>本年支出321.01万元，</w:t>
      </w:r>
      <w:r>
        <w:rPr>
          <w:rFonts w:ascii="仿宋_GB2312" w:hAnsi="仿宋_GB2312" w:eastAsia="仿宋_GB2312"/>
          <w:b w:val="0"/>
          <w:sz w:val="32"/>
        </w:rPr>
        <w:t>其中：基本支出293.66万元，占91.48%；项目支出27.35万元，占8.52%；上缴上级支出0.00万元，占0.00%；经营支出0.00万元，占0.00%；对附属单位补助支出0.00万元，占0.00%。</w:t>
      </w:r>
    </w:p>
    <w:p w14:paraId="07F7CB2E">
      <w:pPr>
        <w:spacing w:line="640" w:lineRule="exact"/>
        <w:ind w:firstLine="640"/>
        <w:jc w:val="both"/>
        <w:outlineLvl w:val="2"/>
      </w:pPr>
      <w:r>
        <w:rPr>
          <w:rFonts w:ascii="黑体" w:hAnsi="黑体" w:eastAsia="黑体"/>
          <w:sz w:val="32"/>
        </w:rPr>
        <w:t>四、财政拨款收入支出决算总体情况说明</w:t>
      </w:r>
    </w:p>
    <w:p w14:paraId="3026D181">
      <w:pPr>
        <w:spacing w:line="580" w:lineRule="exact"/>
        <w:ind w:firstLine="640"/>
        <w:jc w:val="both"/>
      </w:pPr>
      <w:r>
        <w:rPr>
          <w:rFonts w:ascii="仿宋_GB2312" w:hAnsi="仿宋_GB2312" w:eastAsia="仿宋_GB2312"/>
          <w:b/>
          <w:sz w:val="32"/>
        </w:rPr>
        <w:t>2024年度财政拨款收入总计321.01万元，</w:t>
      </w:r>
      <w:r>
        <w:rPr>
          <w:rFonts w:ascii="仿宋_GB2312" w:hAnsi="仿宋_GB2312" w:eastAsia="仿宋_GB2312"/>
          <w:b w:val="0"/>
          <w:sz w:val="32"/>
        </w:rPr>
        <w:t>其中：年初财政拨款结转和结余0.00万元，本年财政拨款收入321.01万元。</w:t>
      </w:r>
      <w:r>
        <w:rPr>
          <w:rFonts w:ascii="仿宋_GB2312" w:hAnsi="仿宋_GB2312" w:eastAsia="仿宋_GB2312"/>
          <w:b/>
          <w:sz w:val="32"/>
        </w:rPr>
        <w:t>财政拨款支出总计321.01万元，</w:t>
      </w:r>
      <w:r>
        <w:rPr>
          <w:rFonts w:ascii="仿宋_GB2312" w:hAnsi="仿宋_GB2312" w:eastAsia="仿宋_GB2312"/>
          <w:b w:val="0"/>
          <w:sz w:val="32"/>
        </w:rPr>
        <w:t>其中：年末财政拨款结转和结余0.00万元，本年财政拨款支出321.01万元。</w:t>
      </w:r>
    </w:p>
    <w:p w14:paraId="418102D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减少61.16万元，下降16.00%，主要原因是：本年减少聘用人员工资经费，其他工资福利支出减少，减少行政服务综合保障、服务大厅吊顶维修等项目经费，导致相关经费减少。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年初预算数431.93万元，决算数321.01万元，预决算差异率-25.68%，主要原因是：年中调减群众服务大厅运行保障等项目经费，导致预决算差异。</w:t>
      </w:r>
    </w:p>
    <w:p w14:paraId="2FC4051A">
      <w:pPr>
        <w:spacing w:line="640" w:lineRule="exact"/>
        <w:ind w:firstLine="640"/>
        <w:jc w:val="both"/>
        <w:outlineLvl w:val="2"/>
      </w:pPr>
      <w:r>
        <w:rPr>
          <w:rFonts w:ascii="黑体" w:hAnsi="黑体" w:eastAsia="黑体"/>
          <w:sz w:val="32"/>
        </w:rPr>
        <w:t>五、一般公共预算财政拨款支出决算情况说明</w:t>
      </w:r>
    </w:p>
    <w:p w14:paraId="232CE960">
      <w:pPr>
        <w:spacing w:line="640" w:lineRule="exact"/>
        <w:ind w:firstLine="640"/>
        <w:jc w:val="both"/>
        <w:outlineLvl w:val="3"/>
      </w:pPr>
      <w:r>
        <w:rPr>
          <w:rFonts w:ascii="楷体_GB2312" w:hAnsi="楷体_GB2312" w:eastAsia="楷体_GB2312"/>
          <w:b/>
          <w:sz w:val="32"/>
        </w:rPr>
        <w:t>（一）一般公共预算财政拨款支出决算总体情况</w:t>
      </w:r>
    </w:p>
    <w:p w14:paraId="24490E66">
      <w:pPr>
        <w:spacing w:line="580" w:lineRule="exact"/>
        <w:ind w:firstLine="640"/>
        <w:jc w:val="both"/>
      </w:pPr>
      <w:r>
        <w:rPr>
          <w:rFonts w:ascii="仿宋_GB2312" w:hAnsi="仿宋_GB2312" w:eastAsia="仿宋_GB2312"/>
          <w:b/>
          <w:sz w:val="32"/>
        </w:rPr>
        <w:t>2024年度一般公共预算财政拨款支出321.01万元，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减少61.16万元，下降16.00%，主要原因是：本年减少聘用人员工资经费，其他工资福利支出减少，减少行政服务综合保障、服务大厅吊顶维修等项目经费，导致相关经费减少。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年初预算数431.93万元，决算数321.01万元，预决算差异率-25.68%，主要原因是：年中调减群众服务大厅运行保障等项目经费，导致预决算差异。</w:t>
      </w:r>
    </w:p>
    <w:p w14:paraId="7CB9A560">
      <w:pPr>
        <w:spacing w:line="640" w:lineRule="exact"/>
        <w:ind w:firstLine="640"/>
        <w:jc w:val="both"/>
        <w:outlineLvl w:val="3"/>
      </w:pPr>
      <w:r>
        <w:rPr>
          <w:rFonts w:ascii="楷体_GB2312" w:hAnsi="楷体_GB2312" w:eastAsia="楷体_GB2312"/>
          <w:b/>
          <w:sz w:val="32"/>
        </w:rPr>
        <w:t>（二）一般公共预算财政拨款支出决算结构情况</w:t>
      </w:r>
    </w:p>
    <w:p w14:paraId="33ADC1C2">
      <w:pPr>
        <w:spacing w:line="580" w:lineRule="exact"/>
        <w:ind w:firstLine="640"/>
        <w:jc w:val="both"/>
      </w:pPr>
      <w:r>
        <w:rPr>
          <w:rFonts w:ascii="仿宋_GB2312" w:hAnsi="仿宋_GB2312" w:eastAsia="仿宋_GB2312"/>
          <w:b w:val="0"/>
          <w:sz w:val="32"/>
        </w:rPr>
        <w:t>1.一般公共服务支出(类)258.90万元,占80.65%。</w:t>
      </w:r>
    </w:p>
    <w:p w14:paraId="0A4FD9FA">
      <w:pPr>
        <w:spacing w:line="580" w:lineRule="exact"/>
        <w:ind w:firstLine="640"/>
        <w:jc w:val="both"/>
      </w:pPr>
      <w:r>
        <w:rPr>
          <w:rFonts w:ascii="仿宋_GB2312" w:hAnsi="仿宋_GB2312" w:eastAsia="仿宋_GB2312"/>
          <w:b w:val="0"/>
          <w:sz w:val="32"/>
        </w:rPr>
        <w:t>2.社会保障和就业支出(类)27.17万元,占8.46%。</w:t>
      </w:r>
    </w:p>
    <w:p w14:paraId="1A2D169A">
      <w:pPr>
        <w:spacing w:line="580" w:lineRule="exact"/>
        <w:ind w:firstLine="640"/>
        <w:jc w:val="both"/>
      </w:pPr>
      <w:r>
        <w:rPr>
          <w:rFonts w:ascii="仿宋_GB2312" w:hAnsi="仿宋_GB2312" w:eastAsia="仿宋_GB2312"/>
          <w:b w:val="0"/>
          <w:sz w:val="32"/>
        </w:rPr>
        <w:t>3.卫生健康支出(类)11.55万元,占3.60%。</w:t>
      </w:r>
    </w:p>
    <w:p w14:paraId="2D0E5219">
      <w:pPr>
        <w:spacing w:line="580" w:lineRule="exact"/>
        <w:ind w:firstLine="640"/>
        <w:jc w:val="both"/>
      </w:pPr>
      <w:r>
        <w:rPr>
          <w:rFonts w:ascii="仿宋_GB2312" w:hAnsi="仿宋_GB2312" w:eastAsia="仿宋_GB2312"/>
          <w:b w:val="0"/>
          <w:sz w:val="32"/>
        </w:rPr>
        <w:t>4.住房保障支出(类)23.39万元,占7.29%。</w:t>
      </w:r>
    </w:p>
    <w:p w14:paraId="1A5503BE">
      <w:pPr>
        <w:spacing w:line="640" w:lineRule="exact"/>
        <w:ind w:firstLine="640"/>
        <w:jc w:val="both"/>
        <w:outlineLvl w:val="3"/>
      </w:pPr>
      <w:r>
        <w:rPr>
          <w:rFonts w:ascii="楷体_GB2312" w:hAnsi="楷体_GB2312" w:eastAsia="楷体_GB2312"/>
          <w:b/>
          <w:sz w:val="32"/>
        </w:rPr>
        <w:t>（三）一般公共预算财政拨款支出决算具体情况</w:t>
      </w:r>
    </w:p>
    <w:p w14:paraId="06390067">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231.55万元，比上年决算减少29.05万元，下降11.15%,主要原因是：本年减少聘用人员工资经费，其他工资福利支出减少，导致相关经费减少。</w:t>
      </w:r>
    </w:p>
    <w:p w14:paraId="18D7E22A">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27.35万元，比上年决算减少32.31万元，下降54.16%,主要原因是：本年减少行政服务综合保障、服务大厅吊顶维修等项目经费，导致相关经费减少。</w:t>
      </w:r>
    </w:p>
    <w:p w14:paraId="6E824A10">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27.17万元，比上年决算增加2.45万元，增长9.91%,主要原因是：本年在职人员增加，养老保险缴费较上年增加。</w:t>
      </w:r>
    </w:p>
    <w:p w14:paraId="3B9C828E">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4.91万元，下降100.00%,主要原因是：本年无新增调出外县人员，职业年金缴费较上年减少。</w:t>
      </w:r>
    </w:p>
    <w:p w14:paraId="3583AAA8">
      <w:pPr>
        <w:spacing w:line="580" w:lineRule="exact"/>
        <w:ind w:firstLine="640"/>
        <w:jc w:val="both"/>
      </w:pPr>
      <w:r>
        <w:rPr>
          <w:rFonts w:ascii="仿宋_GB2312" w:hAnsi="仿宋_GB2312" w:eastAsia="仿宋_GB2312"/>
          <w:b w:val="0"/>
          <w:sz w:val="32"/>
        </w:rPr>
        <w:t>5.卫生健康支出(类)行政事业单位医疗(款)事业单位医疗(项):支出决算数为11.55万元，比上年决算增加1.05万元，增长10.00%,主要原因是：本年在职人员增加，事业单位医疗支出较上年增加。</w:t>
      </w:r>
    </w:p>
    <w:p w14:paraId="46751AD8">
      <w:pPr>
        <w:spacing w:line="580" w:lineRule="exact"/>
        <w:ind w:firstLine="640"/>
        <w:jc w:val="both"/>
      </w:pPr>
      <w:r>
        <w:rPr>
          <w:rFonts w:ascii="仿宋_GB2312" w:hAnsi="仿宋_GB2312" w:eastAsia="仿宋_GB2312"/>
          <w:b w:val="0"/>
          <w:sz w:val="32"/>
        </w:rPr>
        <w:t>6.住房保障支出(类)住房改革支出(款)住房公积金(项):支出决算数为23.39万元，比上年决算增加2.69万元，增长13.00%,主要原因是：本年在职人员增加，住房公积金支出较上年增加。</w:t>
      </w:r>
    </w:p>
    <w:p w14:paraId="011F714B">
      <w:pPr>
        <w:spacing w:line="580" w:lineRule="exact"/>
        <w:ind w:firstLine="640"/>
        <w:jc w:val="both"/>
      </w:pPr>
      <w:r>
        <w:rPr>
          <w:rFonts w:ascii="仿宋_GB2312" w:hAnsi="仿宋_GB2312" w:eastAsia="仿宋_GB2312"/>
          <w:b w:val="0"/>
          <w:sz w:val="32"/>
        </w:rPr>
        <w:t>7.其他支出(类)其他支出(款)其他支出(项):支出决算数为0.00万元，比上年决算减少1.08万元，下降100.00%,主要原因是：</w:t>
      </w:r>
      <w:r>
        <w:rPr>
          <w:rFonts w:hint="eastAsia" w:ascii="仿宋_GB2312" w:hAnsi="仿宋_GB2312" w:eastAsia="仿宋_GB2312"/>
          <w:b w:val="0"/>
          <w:sz w:val="32"/>
        </w:rPr>
        <w:t>减少</w:t>
      </w:r>
      <w:r>
        <w:rPr>
          <w:rFonts w:hint="eastAsia" w:ascii="仿宋_GB2312" w:hAnsi="仿宋_GB2312" w:eastAsia="仿宋_GB2312"/>
          <w:b w:val="0"/>
          <w:sz w:val="32"/>
          <w:lang w:val="en-US" w:eastAsia="zh-CN"/>
        </w:rPr>
        <w:t>信息建设</w:t>
      </w:r>
      <w:r>
        <w:rPr>
          <w:rFonts w:hint="eastAsia" w:ascii="仿宋_GB2312" w:hAnsi="仿宋_GB2312" w:eastAsia="仿宋_GB2312"/>
          <w:b w:val="0"/>
          <w:sz w:val="32"/>
        </w:rPr>
        <w:t>质保专项项目</w:t>
      </w:r>
      <w:r>
        <w:rPr>
          <w:rFonts w:ascii="仿宋_GB2312" w:hAnsi="仿宋_GB2312" w:eastAsia="仿宋_GB2312"/>
          <w:b w:val="0"/>
          <w:sz w:val="32"/>
        </w:rPr>
        <w:t>。</w:t>
      </w:r>
    </w:p>
    <w:p w14:paraId="0F93561A">
      <w:pPr>
        <w:spacing w:line="640" w:lineRule="exact"/>
        <w:ind w:firstLine="640"/>
        <w:jc w:val="both"/>
        <w:outlineLvl w:val="2"/>
      </w:pPr>
      <w:r>
        <w:rPr>
          <w:rFonts w:ascii="黑体" w:hAnsi="黑体" w:eastAsia="黑体"/>
          <w:sz w:val="32"/>
        </w:rPr>
        <w:t>六、一般公共预算财政拨</w:t>
      </w:r>
      <w:bookmarkStart w:id="0" w:name="_GoBack"/>
      <w:bookmarkEnd w:id="0"/>
      <w:r>
        <w:rPr>
          <w:rFonts w:ascii="黑体" w:hAnsi="黑体" w:eastAsia="黑体"/>
          <w:sz w:val="32"/>
        </w:rPr>
        <w:t>款基本支出决算情况说明</w:t>
      </w:r>
    </w:p>
    <w:p w14:paraId="4485B2C2">
      <w:pPr>
        <w:spacing w:line="580" w:lineRule="exact"/>
        <w:ind w:firstLine="640"/>
        <w:jc w:val="both"/>
      </w:pPr>
      <w:r>
        <w:rPr>
          <w:rFonts w:ascii="仿宋_GB2312" w:hAnsi="仿宋_GB2312" w:eastAsia="仿宋_GB2312"/>
          <w:b w:val="0"/>
          <w:sz w:val="32"/>
        </w:rPr>
        <w:t>2024年度一般公共预算财政拨款基本支出293.66万元，其中：</w:t>
      </w:r>
      <w:r>
        <w:rPr>
          <w:rFonts w:ascii="仿宋_GB2312" w:hAnsi="仿宋_GB2312" w:eastAsia="仿宋_GB2312"/>
          <w:b/>
          <w:sz w:val="32"/>
        </w:rPr>
        <w:t>人员经费284.40万元，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包括：基本工资、津贴补贴、奖金、绩效工资、机关事业单位基本养老保险缴费、职工基本医疗保险缴费、其他社会保障缴费、住房公积金、其他工资福利支出、生活补助、奖励金。</w:t>
      </w:r>
    </w:p>
    <w:p w14:paraId="587FCB7F">
      <w:pPr>
        <w:spacing w:line="580" w:lineRule="exact"/>
        <w:ind w:firstLine="640"/>
        <w:jc w:val="both"/>
      </w:pPr>
      <w:r>
        <w:rPr>
          <w:rFonts w:ascii="仿宋_GB2312" w:hAnsi="仿宋_GB2312" w:eastAsia="仿宋_GB2312"/>
          <w:b/>
          <w:sz w:val="32"/>
        </w:rPr>
        <w:t>公用经费9.27万元，</w:t>
      </w:r>
      <w:r>
        <w:rPr>
          <w:rFonts w:ascii="仿宋_GB2312" w:hAnsi="仿宋_GB2312" w:eastAsia="仿宋_GB2312"/>
          <w:b w:val="0"/>
          <w:sz w:val="32"/>
        </w:rPr>
        <w:t>包括：办公费、手续费、物业管理费、维修（护）费、工会经费、其他交通费用、其他商品和服务支出。</w:t>
      </w:r>
    </w:p>
    <w:p w14:paraId="07613B4E">
      <w:pPr>
        <w:spacing w:line="640" w:lineRule="exact"/>
        <w:ind w:firstLine="640"/>
        <w:jc w:val="both"/>
        <w:outlineLvl w:val="2"/>
      </w:pPr>
      <w:r>
        <w:rPr>
          <w:rFonts w:ascii="黑体" w:hAnsi="黑体" w:eastAsia="黑体"/>
          <w:sz w:val="32"/>
        </w:rPr>
        <w:t>七、政府性基金预算财政拨款收入支出决算情况说明</w:t>
      </w:r>
    </w:p>
    <w:p w14:paraId="31E715B9">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66B99499">
      <w:pPr>
        <w:spacing w:line="640" w:lineRule="exact"/>
        <w:ind w:firstLine="640"/>
        <w:jc w:val="both"/>
        <w:outlineLvl w:val="2"/>
      </w:pPr>
      <w:r>
        <w:rPr>
          <w:rFonts w:ascii="黑体" w:hAnsi="黑体" w:eastAsia="黑体"/>
          <w:sz w:val="32"/>
        </w:rPr>
        <w:t>八、国有资本经营预算财政拨款收入支出决算情况说明</w:t>
      </w:r>
    </w:p>
    <w:p w14:paraId="1454D905">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40A5F12E">
      <w:pPr>
        <w:spacing w:line="640" w:lineRule="exact"/>
        <w:ind w:firstLine="640"/>
        <w:jc w:val="both"/>
        <w:outlineLvl w:val="2"/>
      </w:pPr>
      <w:r>
        <w:rPr>
          <w:rFonts w:ascii="黑体" w:hAnsi="黑体" w:eastAsia="黑体"/>
          <w:sz w:val="32"/>
        </w:rPr>
        <w:t>九、财政拨款“三公”经费支出决算情况说明</w:t>
      </w:r>
    </w:p>
    <w:p w14:paraId="4289F4A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1.80万元，下降100.00%，主要原因是：因本部门公务用车于2023年7月调拨至喀什地区盖孜库山河流域管理处，本年无公务用车运行维护费。其中：因公出国（境）费支出0.00万元，占0.00%，比上年增加0.00万元，增长0.00%，主要原因是：2023年与2024年均未安排因公出国（境）费支出。公务用车购置及运行维护费支出0.00万元，占0.00%，比上年减少1.80万元，下降100.00%，主要原因是：因本部门公务用车于2023年7月调拨至喀什地区盖孜库山河流域管理处，本年无公务用车运行维护费。公务接待费支出0.00万元，占0.00%，比上年增加0.00万元，增长0.00%，主要原因是：2023年与2024年均未安排公务接待费支出。</w:t>
      </w:r>
    </w:p>
    <w:p w14:paraId="51511DD7">
      <w:pPr>
        <w:spacing w:line="580" w:lineRule="exact"/>
        <w:ind w:firstLine="640"/>
        <w:jc w:val="both"/>
      </w:pPr>
      <w:r>
        <w:rPr>
          <w:rFonts w:ascii="仿宋_GB2312" w:hAnsi="仿宋_GB2312" w:eastAsia="仿宋_GB2312"/>
          <w:b/>
          <w:sz w:val="32"/>
        </w:rPr>
        <w:t>具体情况如下：</w:t>
      </w:r>
    </w:p>
    <w:p w14:paraId="6D785AA6">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C2D107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0辆，与公务用车保有量差异原因是：本部门无固定资产车辆。</w:t>
      </w:r>
    </w:p>
    <w:p w14:paraId="5ECB06CF">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142446B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13A20D97">
      <w:pPr>
        <w:spacing w:line="640" w:lineRule="exact"/>
        <w:ind w:firstLine="640"/>
        <w:jc w:val="both"/>
        <w:outlineLvl w:val="2"/>
      </w:pPr>
      <w:r>
        <w:rPr>
          <w:rFonts w:ascii="黑体" w:hAnsi="黑体" w:eastAsia="黑体"/>
          <w:sz w:val="32"/>
        </w:rPr>
        <w:t>十、其他重要事项的情况说明</w:t>
      </w:r>
    </w:p>
    <w:p w14:paraId="27FC6470">
      <w:pPr>
        <w:spacing w:line="640" w:lineRule="exact"/>
        <w:ind w:firstLine="640"/>
        <w:jc w:val="both"/>
        <w:outlineLvl w:val="3"/>
      </w:pPr>
      <w:r>
        <w:rPr>
          <w:rFonts w:ascii="楷体_GB2312" w:hAnsi="楷体_GB2312" w:eastAsia="楷体_GB2312"/>
          <w:b/>
          <w:sz w:val="32"/>
        </w:rPr>
        <w:t>（一）机关运行经费及公用经费支出情况</w:t>
      </w:r>
    </w:p>
    <w:p w14:paraId="418B0B35">
      <w:pPr>
        <w:spacing w:line="580" w:lineRule="exact"/>
        <w:ind w:firstLine="640"/>
        <w:jc w:val="both"/>
      </w:pPr>
      <w:r>
        <w:rPr>
          <w:rFonts w:ascii="仿宋_GB2312" w:hAnsi="仿宋_GB2312" w:eastAsia="仿宋_GB2312"/>
          <w:b w:val="0"/>
          <w:sz w:val="32"/>
        </w:rPr>
        <w:t>2024年度喀什地区行政服务中心（事业单位）公用经费支出9.27万元，比上年增加0.20万元，增长2.21%，主要原因是：本年在职人员增加，办公费用增加。</w:t>
      </w:r>
    </w:p>
    <w:p w14:paraId="452BABAA">
      <w:pPr>
        <w:spacing w:line="640" w:lineRule="exact"/>
        <w:ind w:firstLine="640"/>
        <w:jc w:val="both"/>
        <w:outlineLvl w:val="3"/>
      </w:pPr>
      <w:r>
        <w:rPr>
          <w:rFonts w:ascii="楷体_GB2312" w:hAnsi="楷体_GB2312" w:eastAsia="楷体_GB2312"/>
          <w:b/>
          <w:sz w:val="32"/>
        </w:rPr>
        <w:t>（二）政府采购情况</w:t>
      </w:r>
    </w:p>
    <w:p w14:paraId="2E84B875">
      <w:pPr>
        <w:spacing w:line="580" w:lineRule="exact"/>
        <w:ind w:firstLine="640"/>
        <w:jc w:val="both"/>
      </w:pPr>
      <w:r>
        <w:rPr>
          <w:rFonts w:ascii="仿宋_GB2312" w:hAnsi="仿宋_GB2312" w:eastAsia="仿宋_GB2312"/>
          <w:b w:val="0"/>
          <w:sz w:val="32"/>
        </w:rPr>
        <w:t>2024年度政府采购支出总额29.52万元，其中：政府采购货物支出3.70万元、政府采购工程支出0.00万元、政府采购服务支出25.82万元。</w:t>
      </w:r>
    </w:p>
    <w:p w14:paraId="3249D1BD">
      <w:pPr>
        <w:spacing w:line="580" w:lineRule="exact"/>
        <w:ind w:firstLine="640"/>
        <w:jc w:val="both"/>
      </w:pPr>
      <w:r>
        <w:rPr>
          <w:rFonts w:ascii="仿宋_GB2312" w:hAnsi="仿宋_GB2312" w:eastAsia="仿宋_GB2312"/>
          <w:b w:val="0"/>
          <w:sz w:val="32"/>
        </w:rPr>
        <w:t>授予中小企业合同金额28.01万元，占政府采购支出总额的94.88%，其中：授予小微企业合同金额9.46万元，占政府采购支出总额的32.05%。</w:t>
      </w:r>
    </w:p>
    <w:p w14:paraId="676EBC92">
      <w:pPr>
        <w:spacing w:line="640" w:lineRule="exact"/>
        <w:ind w:firstLine="640"/>
        <w:jc w:val="both"/>
        <w:outlineLvl w:val="3"/>
      </w:pPr>
      <w:r>
        <w:rPr>
          <w:rFonts w:ascii="楷体_GB2312" w:hAnsi="楷体_GB2312" w:eastAsia="楷体_GB2312"/>
          <w:b/>
          <w:sz w:val="32"/>
        </w:rPr>
        <w:t>（三）国有资产占用情况说明</w:t>
      </w:r>
    </w:p>
    <w:p w14:paraId="70E38F7A">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0台（套）。</w:t>
      </w:r>
    </w:p>
    <w:p w14:paraId="25AC5C2D">
      <w:pPr>
        <w:spacing w:line="640" w:lineRule="exact"/>
        <w:ind w:firstLine="640"/>
        <w:jc w:val="both"/>
        <w:outlineLvl w:val="2"/>
      </w:pPr>
      <w:r>
        <w:rPr>
          <w:rFonts w:ascii="黑体" w:hAnsi="黑体" w:eastAsia="黑体"/>
          <w:sz w:val="32"/>
        </w:rPr>
        <w:t>十一、预算绩效的情况说明</w:t>
      </w:r>
    </w:p>
    <w:p w14:paraId="41E88E14">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324.51万元，实际执行总额321.01万元；预算绩效评价项目2个，全年预算数29.60万元，全年执行数27.32万元。预算绩效管理取得的成效：一是根据本年的绩效管理数据，合理安排各项资金的预算使用情况，保基本的前提下，合理安排项目支出。二是在一定程度上节约了资金浪费，发挥资金的最大使用效率。三是公用经费进一步压缩支出趋于合理，支出结构得到进一步优化。发现的问题及原因：一是预算执行进度缓慢，造成绩效不能如实反映资金的绩效效果；二是单位对资金预算不够全面，不能对资金使用作出合理合规的资金使用计划和方案，使资金使用滞缓。下一步改进措施：一是在以后年度，</w:t>
      </w:r>
      <w:r>
        <w:rPr>
          <w:rFonts w:hint="eastAsia" w:ascii="仿宋_GB2312" w:hAnsi="仿宋_GB2312" w:eastAsia="仿宋_GB2312"/>
          <w:b w:val="0"/>
          <w:sz w:val="32"/>
          <w:lang w:val="en-US" w:eastAsia="zh-CN"/>
        </w:rPr>
        <w:t>本部门</w:t>
      </w:r>
      <w:r>
        <w:rPr>
          <w:rFonts w:ascii="仿宋_GB2312" w:hAnsi="仿宋_GB2312" w:eastAsia="仿宋_GB2312"/>
          <w:b w:val="0"/>
          <w:sz w:val="32"/>
        </w:rPr>
        <w:t>会充分考虑、预测实际情况来进行预算的填报，提高预算数据的准确度；二是加强对以前年度资金使用情况的分析和总结，加强预算编制科学化、精细化管理，增强预算编制的严肃性和权威性。具体附部门整体支出绩效自评表，项目支出绩效自评表和部门评价报告。</w:t>
      </w:r>
    </w:p>
    <w:p w14:paraId="0EEB307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2E2B195">
        <w:tc>
          <w:tcPr>
            <w:tcW w:w="8847" w:type="dxa"/>
            <w:gridSpan w:val="9"/>
            <w:vAlign w:val="center"/>
          </w:tcPr>
          <w:p w14:paraId="6CC07F36">
            <w:pPr>
              <w:jc w:val="center"/>
            </w:pPr>
            <w:r>
              <w:rPr>
                <w:rFonts w:ascii="宋体" w:hAnsi="宋体" w:eastAsia="宋体"/>
                <w:sz w:val="24"/>
              </w:rPr>
              <w:t>部门整体支出绩效自评表</w:t>
            </w:r>
          </w:p>
        </w:tc>
      </w:tr>
      <w:tr w14:paraId="43B7DE78">
        <w:tblPrEx>
          <w:tblCellMar>
            <w:top w:w="0" w:type="dxa"/>
            <w:left w:w="108" w:type="dxa"/>
            <w:bottom w:w="0" w:type="dxa"/>
            <w:right w:w="108" w:type="dxa"/>
          </w:tblCellMar>
        </w:tblPrEx>
        <w:tc>
          <w:tcPr>
            <w:tcW w:w="8847" w:type="dxa"/>
            <w:gridSpan w:val="9"/>
            <w:vAlign w:val="center"/>
          </w:tcPr>
          <w:p w14:paraId="1026E0D1">
            <w:pPr>
              <w:jc w:val="center"/>
            </w:pPr>
            <w:r>
              <w:rPr>
                <w:rFonts w:ascii="宋体" w:hAnsi="宋体" w:eastAsia="宋体"/>
                <w:sz w:val="24"/>
              </w:rPr>
              <w:t>（2024年度）</w:t>
            </w:r>
          </w:p>
        </w:tc>
      </w:tr>
      <w:tr w14:paraId="6155821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FB1CB">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05FFC0F">
            <w:pPr>
              <w:jc w:val="center"/>
            </w:pPr>
            <w:r>
              <w:rPr>
                <w:rFonts w:ascii="宋体" w:hAnsi="宋体" w:eastAsia="宋体"/>
                <w:sz w:val="16"/>
              </w:rPr>
              <w:t>喀什地区行政服务中心</w:t>
            </w:r>
          </w:p>
        </w:tc>
      </w:tr>
      <w:tr w14:paraId="16EAB2F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25C45">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0CF6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DE7B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FCD92">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09BC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7091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A5C9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ADD34">
            <w:pPr>
              <w:jc w:val="center"/>
            </w:pPr>
            <w:r>
              <w:rPr>
                <w:rFonts w:ascii="宋体" w:hAnsi="宋体" w:eastAsia="宋体"/>
                <w:sz w:val="16"/>
              </w:rPr>
              <w:t>得分</w:t>
            </w:r>
          </w:p>
        </w:tc>
      </w:tr>
      <w:tr w14:paraId="2C4850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47B7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5820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EADBE">
            <w:pPr>
              <w:jc w:val="center"/>
            </w:pPr>
            <w:r>
              <w:rPr>
                <w:rFonts w:ascii="宋体" w:hAnsi="宋体" w:eastAsia="宋体"/>
                <w:sz w:val="16"/>
              </w:rPr>
              <w:t>431.93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A7EBC">
            <w:pPr>
              <w:jc w:val="center"/>
            </w:pPr>
            <w:r>
              <w:rPr>
                <w:rFonts w:ascii="宋体" w:hAnsi="宋体" w:eastAsia="宋体"/>
                <w:sz w:val="16"/>
              </w:rPr>
              <w:t>324.51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112E3">
            <w:pPr>
              <w:jc w:val="center"/>
            </w:pPr>
            <w:r>
              <w:rPr>
                <w:rFonts w:ascii="宋体" w:hAnsi="宋体" w:eastAsia="宋体"/>
                <w:sz w:val="16"/>
              </w:rPr>
              <w:t>321.01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A084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C5DD9">
            <w:pPr>
              <w:jc w:val="center"/>
            </w:pPr>
            <w:r>
              <w:rPr>
                <w:rFonts w:ascii="宋体" w:hAnsi="宋体" w:eastAsia="宋体"/>
                <w:sz w:val="16"/>
              </w:rPr>
              <w:t>98.92%</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A4259">
            <w:pPr>
              <w:jc w:val="center"/>
            </w:pPr>
            <w:r>
              <w:rPr>
                <w:rFonts w:ascii="宋体" w:hAnsi="宋体" w:eastAsia="宋体"/>
                <w:sz w:val="16"/>
              </w:rPr>
              <w:t>9.89</w:t>
            </w:r>
          </w:p>
        </w:tc>
      </w:tr>
      <w:tr w14:paraId="6533CF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38A1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6C298">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F2DCF">
            <w:pPr>
              <w:jc w:val="center"/>
            </w:pPr>
            <w:r>
              <w:rPr>
                <w:rFonts w:ascii="宋体" w:hAnsi="宋体" w:eastAsia="宋体"/>
                <w:sz w:val="16"/>
              </w:rPr>
              <w:t>0.49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965EB">
            <w:pPr>
              <w:jc w:val="center"/>
            </w:pPr>
            <w:r>
              <w:rPr>
                <w:rFonts w:ascii="宋体" w:hAnsi="宋体" w:eastAsia="宋体"/>
                <w:sz w:val="16"/>
              </w:rPr>
              <w:t>10.23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FBEDD">
            <w:pPr>
              <w:jc w:val="center"/>
            </w:pPr>
            <w:r>
              <w:rPr>
                <w:rFonts w:ascii="宋体" w:hAnsi="宋体" w:eastAsia="宋体"/>
                <w:sz w:val="16"/>
              </w:rPr>
              <w:t>9.02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4B6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D33D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EDA09">
            <w:pPr>
              <w:jc w:val="center"/>
            </w:pPr>
            <w:r>
              <w:rPr>
                <w:rFonts w:ascii="宋体" w:hAnsi="宋体" w:eastAsia="宋体"/>
                <w:sz w:val="16"/>
              </w:rPr>
              <w:t>—</w:t>
            </w:r>
          </w:p>
        </w:tc>
      </w:tr>
      <w:tr w14:paraId="783A80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F4F8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2B36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38E6B">
            <w:pPr>
              <w:jc w:val="center"/>
            </w:pPr>
            <w:r>
              <w:rPr>
                <w:rFonts w:ascii="宋体" w:hAnsi="宋体" w:eastAsia="宋体"/>
                <w:sz w:val="16"/>
              </w:rPr>
              <w:t>431.44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96CBA">
            <w:pPr>
              <w:jc w:val="center"/>
            </w:pPr>
            <w:r>
              <w:rPr>
                <w:rFonts w:ascii="宋体" w:hAnsi="宋体" w:eastAsia="宋体"/>
                <w:sz w:val="16"/>
              </w:rPr>
              <w:t>314.28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D1BEC">
            <w:pPr>
              <w:jc w:val="center"/>
            </w:pPr>
            <w:r>
              <w:rPr>
                <w:rFonts w:ascii="宋体" w:hAnsi="宋体" w:eastAsia="宋体"/>
                <w:sz w:val="16"/>
              </w:rPr>
              <w:t>311.99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C99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AB82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FFB6E">
            <w:pPr>
              <w:jc w:val="center"/>
            </w:pPr>
            <w:r>
              <w:rPr>
                <w:rFonts w:ascii="宋体" w:hAnsi="宋体" w:eastAsia="宋体"/>
                <w:sz w:val="16"/>
              </w:rPr>
              <w:t>—</w:t>
            </w:r>
          </w:p>
        </w:tc>
      </w:tr>
      <w:tr w14:paraId="2089D3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9F48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C5370">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7A8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543B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F759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ABAD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63A7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694F7">
            <w:pPr>
              <w:jc w:val="center"/>
            </w:pPr>
            <w:r>
              <w:rPr>
                <w:rFonts w:ascii="宋体" w:hAnsi="宋体" w:eastAsia="宋体"/>
                <w:sz w:val="16"/>
              </w:rPr>
              <w:t>—</w:t>
            </w:r>
          </w:p>
        </w:tc>
      </w:tr>
      <w:tr w14:paraId="40AE5FF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4084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D26E4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4AF19C">
            <w:pPr>
              <w:jc w:val="center"/>
            </w:pPr>
            <w:r>
              <w:rPr>
                <w:rFonts w:ascii="宋体" w:hAnsi="宋体" w:eastAsia="宋体"/>
                <w:sz w:val="16"/>
              </w:rPr>
              <w:t>实际完成情况</w:t>
            </w:r>
          </w:p>
        </w:tc>
      </w:tr>
      <w:tr w14:paraId="5F2382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159C6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E52ACB">
            <w:pPr>
              <w:jc w:val="both"/>
            </w:pPr>
            <w:r>
              <w:rPr>
                <w:rFonts w:ascii="宋体" w:hAnsi="宋体" w:eastAsia="宋体"/>
                <w:sz w:val="16"/>
              </w:rPr>
              <w:t>2024年地区行政服务中心将主动作为，全力做好政务服务各项工作，不断提升政务服务水平，打造最优政务服务环境，为喀什地区深化“放管服”改革和优化营商环境做出积极贡献，结合喀什地区行政服务中心实际制定如下目标：窗口工作人员培训不少于16次，做优“一件事，一次办”；增加每日固定巡察次数不少于4次，做好政务服务监督；每月印发政务服务要情不少于1期，公示大厅政务服务水平；政务服务平台差评整改率保持100%，督促各单位整改平台差评，提升服务群众水平；达到办事</w:t>
            </w:r>
            <w:r>
              <w:rPr>
                <w:rFonts w:hint="eastAsia" w:ascii="宋体" w:hAnsi="宋体"/>
                <w:sz w:val="16"/>
                <w:lang w:eastAsia="zh-CN"/>
              </w:rPr>
              <w:t>群众</w:t>
            </w:r>
            <w:r>
              <w:rPr>
                <w:rFonts w:ascii="宋体" w:hAnsi="宋体" w:eastAsia="宋体"/>
                <w:sz w:val="16"/>
              </w:rPr>
              <w:t>满意度不少于95%，增强“为人民服务”的宗旨意识。</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DB6381">
            <w:pPr>
              <w:jc w:val="both"/>
            </w:pPr>
            <w:r>
              <w:rPr>
                <w:rFonts w:ascii="宋体" w:hAnsi="宋体" w:eastAsia="宋体"/>
                <w:sz w:val="16"/>
              </w:rPr>
              <w:t>喀什地区行政服务中心2024年度，喀什地区行政服务中心紧紧围绕年度预期绩效目标，主动作为、真抓实干，全力推进政务服务各项工作，在提升政务服务水平、优化营商环境等方面取得了显著成效。严格按照年度目标要求，扎实开展窗口工作人员培训工作，全年累计组织培训达 16次，通过丰富多样的培训内容和形式，有效提升了工作人员的业务能力和服务水平，为优化政务服务质量奠定了坚实基础。切实加强对政务服务的日常监督，每日固定巡察次数达到 4 次，及时发现并解决窗口工作中存在的问题，确保了政务服务工作规范、有序开展，有力维护了大厅的良好秩序和服务形象。在政务服务信息公示方面，全年共印发政务服务要情 8 期，虽未完全达到每月印发 1 期的预期目标，但通过及时梳理和发布政务服务工作中的重要动态、典型经验及问题整改情况，在一定程度上对公示大厅政务服务水平、促进工作交流和改进发挥了积极作用。后续将进一步优化工作流程，提高信息收集和整理效率，确保信息发布的及时性和全面性。高度重视群众反馈，对政务服务平台上的差评事项做到了100%整改。通过建立健全差评处理机制，加强与相关单位的沟通协调，督促各单位认真分析问题原因，及时采取有效措施进行整改，切实提升了服务群众的能力和水平，增强了群众对政务服务的满意度和信任度。始终坚持以人民为中心的发展思想，不断优化服务流程、提高服务质量，积极回应群众关切，办事群众满意度达到了 100%，超额完成了不少于 95%的预期目标。这充分体现了中心在践行“为人民服务”宗旨意识方面取得的良好成效，也激励着全体工作人员继续努力，为群众提供更加优质、高效、便捷的政务服务。2024 年，喀什地区行政服务中心在年度绩效目标任务的完成上取得了较好成绩，但也存在一些不足之处。在今后的工作中，中心将认真总结经验教训，不断强化工作措施，持续提升政务服务水平，为喀什地区深化“放管服”改革和优化营商环境做出更大的贡献。</w:t>
            </w:r>
          </w:p>
        </w:tc>
      </w:tr>
      <w:tr w14:paraId="6C9A36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A712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A5CA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AE0D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2A7C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807A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187E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4EF3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3F94E">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E0862">
            <w:pPr>
              <w:jc w:val="center"/>
            </w:pPr>
            <w:r>
              <w:rPr>
                <w:rFonts w:ascii="宋体" w:hAnsi="宋体" w:eastAsia="宋体"/>
                <w:sz w:val="16"/>
              </w:rPr>
              <w:t>得分</w:t>
            </w:r>
          </w:p>
        </w:tc>
      </w:tr>
      <w:tr w14:paraId="28CE3EB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D4CB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42E77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8C3D9">
            <w:pPr>
              <w:jc w:val="center"/>
            </w:pPr>
            <w:r>
              <w:rPr>
                <w:rFonts w:ascii="宋体" w:hAnsi="宋体" w:eastAsia="宋体"/>
                <w:sz w:val="16"/>
              </w:rPr>
              <w:t>窗口工作人员培训次数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081F7">
            <w:pPr>
              <w:jc w:val="center"/>
            </w:pPr>
            <w:r>
              <w:rPr>
                <w:rFonts w:ascii="宋体" w:hAnsi="宋体" w:eastAsia="宋体"/>
                <w:sz w:val="16"/>
              </w:rPr>
              <w:t>&gt;=16次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49736">
            <w:pPr>
              <w:jc w:val="center"/>
            </w:pPr>
            <w:r>
              <w:rPr>
                <w:rFonts w:ascii="宋体" w:hAnsi="宋体" w:eastAsia="宋体"/>
                <w:sz w:val="16"/>
              </w:rPr>
              <w:t>喀什地区行政服务大厅2024年窗口工作人员培训计划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893F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5F0D6">
            <w:pPr>
              <w:jc w:val="center"/>
            </w:pPr>
            <w:r>
              <w:rPr>
                <w:rFonts w:ascii="宋体" w:hAnsi="宋体" w:eastAsia="宋体"/>
                <w:sz w:val="16"/>
              </w:rPr>
              <w:t>42次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0DE71">
            <w:pPr>
              <w:jc w:val="center"/>
            </w:pPr>
            <w:r>
              <w:rPr>
                <w:rFonts w:ascii="宋体" w:hAnsi="宋体" w:eastAsia="宋体"/>
                <w:sz w:val="16"/>
              </w:rPr>
              <w:t>262.5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122B6">
            <w:pPr>
              <w:jc w:val="center"/>
            </w:pPr>
            <w:r>
              <w:rPr>
                <w:rFonts w:ascii="宋体" w:hAnsi="宋体" w:eastAsia="宋体"/>
                <w:sz w:val="16"/>
              </w:rPr>
              <w:t>18</w:t>
            </w:r>
          </w:p>
        </w:tc>
      </w:tr>
      <w:tr w14:paraId="4376FD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DF86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BDBD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DDEC6">
            <w:pPr>
              <w:jc w:val="center"/>
            </w:pPr>
            <w:r>
              <w:rPr>
                <w:rFonts w:ascii="宋体" w:hAnsi="宋体" w:eastAsia="宋体"/>
                <w:sz w:val="16"/>
              </w:rPr>
              <w:t>月印发政务服务要情期数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23A17">
            <w:pPr>
              <w:jc w:val="center"/>
            </w:pPr>
            <w:r>
              <w:rPr>
                <w:rFonts w:ascii="宋体" w:hAnsi="宋体" w:eastAsia="宋体"/>
                <w:sz w:val="16"/>
              </w:rPr>
              <w:t>&gt;=1期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D6748">
            <w:pPr>
              <w:jc w:val="center"/>
            </w:pPr>
            <w:r>
              <w:rPr>
                <w:rFonts w:ascii="宋体" w:hAnsi="宋体" w:eastAsia="宋体"/>
                <w:sz w:val="16"/>
              </w:rPr>
              <w:t>喀什地区行政服务中心2023年工作总结、喀什地区行政服务中心2024年工作计划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887E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E4FEC">
            <w:pPr>
              <w:jc w:val="center"/>
            </w:pPr>
            <w:r>
              <w:rPr>
                <w:rFonts w:ascii="宋体" w:hAnsi="宋体" w:eastAsia="宋体"/>
                <w:sz w:val="16"/>
              </w:rPr>
              <w:t>0.67期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07385">
            <w:pPr>
              <w:jc w:val="center"/>
            </w:pPr>
            <w:r>
              <w:rPr>
                <w:rFonts w:ascii="宋体" w:hAnsi="宋体" w:eastAsia="宋体"/>
                <w:sz w:val="16"/>
              </w:rPr>
              <w:t>66.67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9AAE5">
            <w:pPr>
              <w:jc w:val="center"/>
            </w:pPr>
            <w:r>
              <w:rPr>
                <w:rFonts w:ascii="宋体" w:hAnsi="宋体" w:eastAsia="宋体"/>
                <w:sz w:val="16"/>
              </w:rPr>
              <w:t>12.01</w:t>
            </w:r>
          </w:p>
        </w:tc>
      </w:tr>
      <w:tr w14:paraId="307AB7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A497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D573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579C1">
            <w:pPr>
              <w:jc w:val="center"/>
            </w:pPr>
            <w:r>
              <w:rPr>
                <w:rFonts w:ascii="宋体" w:hAnsi="宋体" w:eastAsia="宋体"/>
                <w:sz w:val="16"/>
              </w:rPr>
              <w:t>每日固定巡察次数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501D9">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77DF5">
            <w:pPr>
              <w:jc w:val="center"/>
            </w:pPr>
            <w:r>
              <w:rPr>
                <w:rFonts w:ascii="宋体" w:hAnsi="宋体" w:eastAsia="宋体"/>
                <w:sz w:val="16"/>
              </w:rPr>
              <w:t>喀什政务服务中心联合巡察机制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E7F6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2C1B6">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FEC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B2853">
            <w:pPr>
              <w:jc w:val="center"/>
            </w:pPr>
            <w:r>
              <w:rPr>
                <w:rFonts w:ascii="宋体" w:hAnsi="宋体" w:eastAsia="宋体"/>
                <w:sz w:val="16"/>
              </w:rPr>
              <w:t>18</w:t>
            </w:r>
          </w:p>
        </w:tc>
      </w:tr>
      <w:tr w14:paraId="662358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8D27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AB57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85407">
            <w:pPr>
              <w:jc w:val="center"/>
            </w:pPr>
            <w:r>
              <w:rPr>
                <w:rFonts w:ascii="宋体" w:hAnsi="宋体" w:eastAsia="宋体"/>
                <w:sz w:val="16"/>
              </w:rPr>
              <w:t>平台差评整改率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3E2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4E287">
            <w:pPr>
              <w:jc w:val="center"/>
            </w:pPr>
            <w:r>
              <w:rPr>
                <w:rFonts w:ascii="宋体" w:hAnsi="宋体" w:eastAsia="宋体"/>
                <w:sz w:val="16"/>
              </w:rPr>
              <w:t>喀什地区行政服务中心2023年工作总结、喀什地区行政服务中心2024年工作计划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797F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CB3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0139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37AB5">
            <w:pPr>
              <w:jc w:val="center"/>
            </w:pPr>
            <w:r>
              <w:rPr>
                <w:rFonts w:ascii="宋体" w:hAnsi="宋体" w:eastAsia="宋体"/>
                <w:sz w:val="16"/>
              </w:rPr>
              <w:t>18</w:t>
            </w:r>
          </w:p>
        </w:tc>
      </w:tr>
      <w:tr w14:paraId="2D5625F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9EAA3">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E0E1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B8605">
            <w:pPr>
              <w:jc w:val="center"/>
            </w:pPr>
            <w:r>
              <w:rPr>
                <w:rFonts w:ascii="宋体" w:hAnsi="宋体" w:eastAsia="宋体"/>
                <w:sz w:val="16"/>
              </w:rPr>
              <w:t>办事群众满意度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8C36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E535B">
            <w:pPr>
              <w:jc w:val="center"/>
            </w:pPr>
            <w:r>
              <w:rPr>
                <w:rFonts w:ascii="宋体" w:hAnsi="宋体" w:eastAsia="宋体"/>
                <w:sz w:val="16"/>
              </w:rPr>
              <w:t>关于开展2024年事前绩效评估和绩效目标编制工作的通知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7FE7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450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19606">
            <w:pPr>
              <w:jc w:val="center"/>
            </w:pPr>
            <w:r>
              <w:rPr>
                <w:rFonts w:ascii="宋体" w:hAnsi="宋体" w:eastAsia="宋体"/>
                <w:sz w:val="16"/>
              </w:rPr>
              <w:t>105.26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597F6">
            <w:pPr>
              <w:jc w:val="center"/>
            </w:pPr>
            <w:r>
              <w:rPr>
                <w:rFonts w:ascii="宋体" w:hAnsi="宋体" w:eastAsia="宋体"/>
                <w:sz w:val="16"/>
              </w:rPr>
              <w:t>18</w:t>
            </w:r>
          </w:p>
        </w:tc>
      </w:tr>
    </w:tbl>
    <w:p w14:paraId="3E9FFDA1">
      <w:r>
        <w:br w:type="page"/>
      </w:r>
    </w:p>
    <w:tbl>
      <w:tblPr>
        <w:tblStyle w:val="9"/>
        <w:tblW w:w="0" w:type="auto"/>
        <w:tblInd w:w="0" w:type="dxa"/>
        <w:tblLayout w:type="autofit"/>
        <w:tblCellMar>
          <w:top w:w="0" w:type="dxa"/>
          <w:left w:w="108" w:type="dxa"/>
          <w:bottom w:w="0" w:type="dxa"/>
          <w:right w:w="108" w:type="dxa"/>
        </w:tblCellMar>
      </w:tblPr>
      <w:tblGrid>
        <w:gridCol w:w="623"/>
        <w:gridCol w:w="610"/>
        <w:gridCol w:w="610"/>
        <w:gridCol w:w="611"/>
        <w:gridCol w:w="776"/>
        <w:gridCol w:w="611"/>
        <w:gridCol w:w="696"/>
        <w:gridCol w:w="611"/>
        <w:gridCol w:w="611"/>
        <w:gridCol w:w="611"/>
        <w:gridCol w:w="856"/>
        <w:gridCol w:w="629"/>
        <w:gridCol w:w="581"/>
        <w:gridCol w:w="624"/>
      </w:tblGrid>
      <w:tr w14:paraId="377A6720">
        <w:tc>
          <w:tcPr>
            <w:tcW w:w="8848" w:type="dxa"/>
            <w:gridSpan w:val="14"/>
            <w:vAlign w:val="center"/>
          </w:tcPr>
          <w:p w14:paraId="07FABB0B">
            <w:pPr>
              <w:jc w:val="center"/>
            </w:pPr>
            <w:r>
              <w:rPr>
                <w:rFonts w:ascii="宋体" w:hAnsi="宋体" w:eastAsia="宋体"/>
                <w:sz w:val="24"/>
              </w:rPr>
              <w:t>项目支出绩效自评表</w:t>
            </w:r>
          </w:p>
        </w:tc>
      </w:tr>
      <w:tr w14:paraId="20567F67">
        <w:tblPrEx>
          <w:tblCellMar>
            <w:top w:w="0" w:type="dxa"/>
            <w:left w:w="108" w:type="dxa"/>
            <w:bottom w:w="0" w:type="dxa"/>
            <w:right w:w="108" w:type="dxa"/>
          </w:tblCellMar>
        </w:tblPrEx>
        <w:tc>
          <w:tcPr>
            <w:tcW w:w="8848" w:type="dxa"/>
            <w:gridSpan w:val="14"/>
            <w:vAlign w:val="center"/>
          </w:tcPr>
          <w:p w14:paraId="3D077396">
            <w:pPr>
              <w:jc w:val="center"/>
            </w:pPr>
            <w:r>
              <w:rPr>
                <w:rFonts w:ascii="宋体" w:hAnsi="宋体" w:eastAsia="宋体"/>
                <w:sz w:val="24"/>
              </w:rPr>
              <w:t>(2024年度)</w:t>
            </w:r>
          </w:p>
        </w:tc>
      </w:tr>
      <w:tr w14:paraId="7EDBBC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BA99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B215D9">
            <w:pPr>
              <w:jc w:val="center"/>
            </w:pPr>
            <w:r>
              <w:rPr>
                <w:rFonts w:ascii="宋体" w:hAnsi="宋体" w:eastAsia="宋体"/>
                <w:sz w:val="16"/>
              </w:rPr>
              <w:t>业务综合保障项目</w:t>
            </w:r>
          </w:p>
        </w:tc>
      </w:tr>
      <w:tr w14:paraId="7D216F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429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BB6DBA">
            <w:pPr>
              <w:jc w:val="center"/>
            </w:pPr>
            <w:r>
              <w:rPr>
                <w:rFonts w:ascii="宋体" w:hAnsi="宋体" w:eastAsia="宋体"/>
                <w:sz w:val="16"/>
              </w:rPr>
              <w:t>喀什地区行政服务中心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209B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9839EB">
            <w:pPr>
              <w:jc w:val="center"/>
            </w:pPr>
            <w:r>
              <w:rPr>
                <w:rFonts w:ascii="宋体" w:hAnsi="宋体" w:eastAsia="宋体"/>
                <w:sz w:val="16"/>
              </w:rPr>
              <w:t>喀什地区行政服务中心</w:t>
            </w:r>
          </w:p>
        </w:tc>
      </w:tr>
      <w:tr w14:paraId="3B3FBB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508B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22C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70ED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AD2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39C8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379D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80ED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9B55A">
            <w:pPr>
              <w:jc w:val="center"/>
            </w:pPr>
            <w:r>
              <w:rPr>
                <w:rFonts w:ascii="宋体" w:hAnsi="宋体" w:eastAsia="宋体"/>
                <w:sz w:val="16"/>
              </w:rPr>
              <w:t>得分</w:t>
            </w:r>
          </w:p>
        </w:tc>
      </w:tr>
      <w:tr w14:paraId="1924D2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B0F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D26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1585D">
            <w:pPr>
              <w:jc w:val="center"/>
            </w:pPr>
            <w:r>
              <w:rPr>
                <w:rFonts w:ascii="宋体" w:hAnsi="宋体" w:eastAsia="宋体"/>
                <w:sz w:val="16"/>
              </w:rPr>
              <w:t>18.60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A1A83">
            <w:pPr>
              <w:jc w:val="center"/>
            </w:pPr>
            <w:r>
              <w:rPr>
                <w:rFonts w:ascii="宋体" w:hAnsi="宋体" w:eastAsia="宋体"/>
                <w:sz w:val="16"/>
              </w:rPr>
              <w:t>18.60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47173">
            <w:pPr>
              <w:jc w:val="center"/>
            </w:pPr>
            <w:r>
              <w:rPr>
                <w:rFonts w:ascii="宋体" w:hAnsi="宋体" w:eastAsia="宋体"/>
                <w:sz w:val="16"/>
              </w:rPr>
              <w:t>17.67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3F7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E8330">
            <w:pPr>
              <w:jc w:val="center"/>
            </w:pPr>
            <w:r>
              <w:rPr>
                <w:rFonts w:ascii="宋体" w:hAnsi="宋体" w:eastAsia="宋体"/>
                <w:sz w:val="16"/>
              </w:rPr>
              <w:t>95.0%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A7E41">
            <w:pPr>
              <w:jc w:val="center"/>
            </w:pPr>
            <w:r>
              <w:rPr>
                <w:rFonts w:ascii="宋体" w:hAnsi="宋体" w:eastAsia="宋体"/>
                <w:sz w:val="16"/>
              </w:rPr>
              <w:t>8.75分</w:t>
            </w:r>
          </w:p>
        </w:tc>
      </w:tr>
      <w:tr w14:paraId="474389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EE8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CBEE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62C50">
            <w:pPr>
              <w:jc w:val="center"/>
            </w:pPr>
            <w:r>
              <w:rPr>
                <w:rFonts w:ascii="宋体" w:hAnsi="宋体" w:eastAsia="宋体"/>
                <w:sz w:val="16"/>
              </w:rPr>
              <w:t>18.60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1CBFB">
            <w:pPr>
              <w:jc w:val="center"/>
            </w:pPr>
            <w:r>
              <w:rPr>
                <w:rFonts w:ascii="宋体" w:hAnsi="宋体" w:eastAsia="宋体"/>
                <w:sz w:val="16"/>
              </w:rPr>
              <w:t>18.60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177F6">
            <w:pPr>
              <w:jc w:val="center"/>
            </w:pPr>
            <w:r>
              <w:rPr>
                <w:rFonts w:ascii="宋体" w:hAnsi="宋体" w:eastAsia="宋体"/>
                <w:sz w:val="16"/>
              </w:rPr>
              <w:t>17.67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367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6D8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F021">
            <w:pPr>
              <w:jc w:val="center"/>
            </w:pPr>
            <w:r>
              <w:rPr>
                <w:rFonts w:ascii="宋体" w:hAnsi="宋体" w:eastAsia="宋体"/>
                <w:sz w:val="16"/>
              </w:rPr>
              <w:t>—</w:t>
            </w:r>
          </w:p>
        </w:tc>
      </w:tr>
      <w:tr w14:paraId="64A183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9FF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2589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B75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B35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38E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1E3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A43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6269F">
            <w:pPr>
              <w:jc w:val="center"/>
            </w:pPr>
            <w:r>
              <w:rPr>
                <w:rFonts w:ascii="宋体" w:hAnsi="宋体" w:eastAsia="宋体"/>
                <w:sz w:val="16"/>
              </w:rPr>
              <w:t>—</w:t>
            </w:r>
          </w:p>
        </w:tc>
      </w:tr>
      <w:tr w14:paraId="441A73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2CFA5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3A6F2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82184C">
            <w:pPr>
              <w:jc w:val="center"/>
            </w:pPr>
            <w:r>
              <w:rPr>
                <w:rFonts w:ascii="宋体" w:hAnsi="宋体" w:eastAsia="宋体"/>
                <w:sz w:val="16"/>
              </w:rPr>
              <w:t>实际完成情况</w:t>
            </w:r>
          </w:p>
        </w:tc>
      </w:tr>
      <w:tr w14:paraId="26F113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D868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E72071">
            <w:pPr>
              <w:jc w:val="both"/>
            </w:pPr>
            <w:r>
              <w:rPr>
                <w:rFonts w:ascii="宋体" w:hAnsi="宋体" w:eastAsia="宋体"/>
                <w:sz w:val="16"/>
              </w:rPr>
              <w:t>为认真贯彻落实党中央、国务院和自治区党委、人民政府工作部署，打造政策最优、成本最低、服务最好、办事最快的营商环境，提高喀什地区政务服务水平。该项目保障大厅4条专线及互联网线正常连通，9部座机正常通话。保障地区县处级干部周转住房租赁费、财政资产系统配套使用设备购置费、中心10年档案数字化费用。保障中心干部赴政务服务先进地区考察、参观、学习的差旅费以及租赁电动汽车相关费用。预算资金为18.6万元，该项目的实施保障中心工作正常运转，为群众和企业提供良好的政务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B09AD6">
            <w:pPr>
              <w:jc w:val="both"/>
            </w:pPr>
            <w:r>
              <w:rPr>
                <w:rFonts w:ascii="宋体" w:hAnsi="宋体" w:eastAsia="宋体"/>
                <w:sz w:val="16"/>
              </w:rPr>
              <w:t>该项目通信线路及网络租赁费3.3396万元，保障大厅4条专线及互联网线正常连通，9部座机正常通话。租赁电动汽车费用5.3万元，租车电费、ETC通行费及维修维护费0.5万元。档案数字化费用1.7844万元。保障地区县处级干部周转住房租赁费1.152万元。采购财政资产系统配套使用设备1套，费用0.948万元。差旅费4.6433万元。完成资金拨款17.6673万元。该项目保障了行政服务中心网络通信的顺畅，提高工作效率，提升政务服务的质量。有利于提升工作人员的专业素养和业务能力，进而对项目的实施和管理产生积极影响。同时保障了项目实施过程中的出行需求，使得项目相关工作可以顺利</w:t>
            </w:r>
            <w:r>
              <w:rPr>
                <w:rFonts w:hint="eastAsia" w:ascii="宋体" w:hAnsi="宋体"/>
                <w:sz w:val="16"/>
                <w:lang w:eastAsia="zh-CN"/>
              </w:rPr>
              <w:t>地</w:t>
            </w:r>
            <w:r>
              <w:rPr>
                <w:rFonts w:ascii="宋体" w:hAnsi="宋体" w:eastAsia="宋体"/>
                <w:sz w:val="16"/>
              </w:rPr>
              <w:t>开展下去。</w:t>
            </w:r>
          </w:p>
        </w:tc>
      </w:tr>
      <w:tr w14:paraId="6BEBE3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4C97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843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05EE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4DA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BD9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6B4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8A97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91DF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2B64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6095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45A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1252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1C239">
            <w:pPr>
              <w:jc w:val="center"/>
            </w:pPr>
            <w:r>
              <w:rPr>
                <w:rFonts w:ascii="宋体" w:hAnsi="宋体" w:eastAsia="宋体"/>
                <w:sz w:val="16"/>
              </w:rPr>
              <w:t>偏差原因分析及改进措施</w:t>
            </w:r>
          </w:p>
        </w:tc>
      </w:tr>
      <w:tr w14:paraId="70A600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DE19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0D05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9E49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F2DB7">
            <w:pPr>
              <w:jc w:val="center"/>
            </w:pPr>
            <w:r>
              <w:rPr>
                <w:rFonts w:ascii="宋体" w:hAnsi="宋体" w:eastAsia="宋体"/>
                <w:sz w:val="16"/>
              </w:rPr>
              <w:t>车辆租赁数量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82B8F">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61A2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D53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37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9071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3D7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580C">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23A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2178E">
            <w:pPr>
              <w:jc w:val="center"/>
            </w:pPr>
          </w:p>
        </w:tc>
      </w:tr>
      <w:tr w14:paraId="139588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FE2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FB7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2BD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CDF79">
            <w:pPr>
              <w:jc w:val="center"/>
            </w:pPr>
            <w:r>
              <w:rPr>
                <w:rFonts w:ascii="宋体" w:hAnsi="宋体" w:eastAsia="宋体"/>
                <w:sz w:val="16"/>
              </w:rPr>
              <w:t>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21539">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F40D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354BC">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EEE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EE1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707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F3175">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ACD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1257A">
            <w:pPr>
              <w:jc w:val="center"/>
            </w:pPr>
          </w:p>
        </w:tc>
      </w:tr>
      <w:tr w14:paraId="22ED65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917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179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0BE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89CD4">
            <w:pPr>
              <w:jc w:val="center"/>
            </w:pPr>
            <w:r>
              <w:rPr>
                <w:rFonts w:ascii="宋体" w:hAnsi="宋体" w:eastAsia="宋体"/>
                <w:sz w:val="16"/>
              </w:rPr>
              <w:t>设备购置合格率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96C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72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A40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51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EE4C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31F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932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324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9D859">
            <w:pPr>
              <w:jc w:val="center"/>
            </w:pPr>
          </w:p>
        </w:tc>
      </w:tr>
      <w:tr w14:paraId="570402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F82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99C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057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04D4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473D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60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CED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EA0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00E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2F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82B68">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FDB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9C1ED">
            <w:pPr>
              <w:jc w:val="center"/>
            </w:pPr>
          </w:p>
        </w:tc>
      </w:tr>
      <w:tr w14:paraId="6674D6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5F9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7000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8C7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4458F">
            <w:pPr>
              <w:jc w:val="center"/>
            </w:pPr>
            <w:r>
              <w:rPr>
                <w:rFonts w:ascii="宋体" w:hAnsi="宋体" w:eastAsia="宋体"/>
                <w:sz w:val="16"/>
              </w:rPr>
              <w:t>干部周转房租赁费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F411">
            <w:pPr>
              <w:jc w:val="center"/>
            </w:pPr>
            <w:r>
              <w:rPr>
                <w:rFonts w:ascii="宋体" w:hAnsi="宋体" w:eastAsia="宋体"/>
                <w:sz w:val="16"/>
              </w:rPr>
              <w:t>&lt;=1.73万元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8E9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FF0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01E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E76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1C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D7F72">
            <w:pPr>
              <w:jc w:val="center"/>
            </w:pPr>
            <w:r>
              <w:rPr>
                <w:rFonts w:ascii="宋体" w:hAnsi="宋体" w:eastAsia="宋体"/>
                <w:sz w:val="16"/>
              </w:rPr>
              <w:t>=1.152万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D2B53">
            <w:pPr>
              <w:jc w:val="center"/>
            </w:pPr>
            <w:r>
              <w:rPr>
                <w:rFonts w:ascii="宋体" w:hAnsi="宋体" w:eastAsia="宋体"/>
                <w:sz w:val="16"/>
              </w:rPr>
              <w:t>1.65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D49F1">
            <w:pPr>
              <w:jc w:val="center"/>
            </w:pPr>
            <w:r>
              <w:rPr>
                <w:rFonts w:ascii="宋体" w:hAnsi="宋体" w:eastAsia="宋体"/>
                <w:sz w:val="16"/>
              </w:rPr>
              <w:t>原因：在做干部周转房租赁费预算时，未充分提前确认新调入干部对周转房的实际需求情况，缺乏动态沟通和需求核实机制，导致预算基于原计划三名干部需求制定，而实际一名调入干部无需周转房，使得实际花费仅为两人预算，未完成预估预算。改进措施：完善干部周转房需求预算流程，在预算制定前充分与干部及相关部门沟通确认需求，建立动态调整机制，实时掌握干部调动及住房需求变化情况，根据实际情况及时调整预算，以保证预算的准确性和合理性。</w:t>
            </w:r>
          </w:p>
        </w:tc>
      </w:tr>
      <w:tr w14:paraId="2491EF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D9F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AE2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067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ACD68">
            <w:pPr>
              <w:jc w:val="center"/>
            </w:pPr>
            <w:r>
              <w:rPr>
                <w:rFonts w:ascii="宋体" w:hAnsi="宋体" w:eastAsia="宋体"/>
                <w:sz w:val="16"/>
              </w:rPr>
              <w:t>中心业务运转经费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2B515">
            <w:pPr>
              <w:jc w:val="center"/>
            </w:pPr>
            <w:r>
              <w:rPr>
                <w:rFonts w:ascii="宋体" w:hAnsi="宋体" w:eastAsia="宋体"/>
                <w:sz w:val="16"/>
              </w:rPr>
              <w:t>&lt;=16.87万元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6E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54CB">
            <w:pPr>
              <w:jc w:val="center"/>
            </w:pPr>
            <w:r>
              <w:rPr>
                <w:rFonts w:ascii="宋体" w:hAnsi="宋体" w:eastAsia="宋体"/>
                <w:sz w:val="16"/>
              </w:rPr>
              <w:t>=31.29万元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BB2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FFA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588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E15CD">
            <w:pPr>
              <w:jc w:val="center"/>
            </w:pPr>
            <w:r>
              <w:rPr>
                <w:rFonts w:ascii="宋体" w:hAnsi="宋体" w:eastAsia="宋体"/>
                <w:sz w:val="16"/>
              </w:rPr>
              <w:t>=16.5153万元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1250">
            <w:pPr>
              <w:jc w:val="center"/>
            </w:pPr>
            <w:r>
              <w:rPr>
                <w:rFonts w:ascii="宋体" w:hAnsi="宋体" w:eastAsia="宋体"/>
                <w:sz w:val="16"/>
              </w:rPr>
              <w:t>9.48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E1EA0">
            <w:pPr>
              <w:jc w:val="center"/>
            </w:pPr>
            <w:r>
              <w:rPr>
                <w:rFonts w:ascii="宋体" w:hAnsi="宋体" w:eastAsia="宋体"/>
                <w:sz w:val="16"/>
              </w:rPr>
              <w:t>原因：在做人员差旅费预算时，对前往先进地区参观学习考察过程中的交通、住宿、餐饮等各项费用标准估计过高，且未充分精准预估实际行程中的具体消费项目和数量，同时缺乏对当地物价及优惠政策的充分调研，导致未达到预期目标值。改进措施：优化差旅费预算编制流程，提前深入调研目的地物价水平，与相关接待方或服务提供商沟通确定合理费用标准，精准预估行程中的各项具体消费项目及数量，结合历史类似出差费用数据进行综合考量，并建立预算动态调整机制，根据实际情况及时修正预算，以确保预算更贴合实际费用支出。</w:t>
            </w:r>
          </w:p>
        </w:tc>
      </w:tr>
      <w:tr w14:paraId="0AD605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4A1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5C65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A41C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8DC4">
            <w:pPr>
              <w:jc w:val="center"/>
            </w:pPr>
            <w:r>
              <w:rPr>
                <w:rFonts w:ascii="宋体" w:hAnsi="宋体" w:eastAsia="宋体"/>
                <w:sz w:val="16"/>
              </w:rPr>
              <w:t>设备利用率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154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4F3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99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095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CE39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37F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CD6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B42C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15A01">
            <w:pPr>
              <w:jc w:val="center"/>
            </w:pPr>
          </w:p>
        </w:tc>
      </w:tr>
      <w:tr w14:paraId="3F2B3D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D2E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661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44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8E58">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B8AD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0358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0E7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8AC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C84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562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377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FD7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F9278">
            <w:pPr>
              <w:jc w:val="center"/>
            </w:pPr>
          </w:p>
        </w:tc>
      </w:tr>
      <w:tr w14:paraId="4CA574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62E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D27B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684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289AD7">
            <w:pPr>
              <w:jc w:val="center"/>
            </w:pPr>
            <w:r>
              <w:rPr>
                <w:rFonts w:ascii="宋体" w:hAnsi="宋体" w:eastAsia="宋体"/>
                <w:sz w:val="16"/>
              </w:rPr>
              <w:t>89.88分</w:t>
            </w:r>
          </w:p>
        </w:tc>
      </w:tr>
    </w:tbl>
    <w:p w14:paraId="2F5435B9">
      <w:r>
        <w:br w:type="page"/>
      </w:r>
    </w:p>
    <w:tbl>
      <w:tblPr>
        <w:tblStyle w:val="9"/>
        <w:tblW w:w="9137" w:type="dxa"/>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gridCol w:w="161"/>
      </w:tblGrid>
      <w:tr w14:paraId="41685B86">
        <w:tblPrEx>
          <w:tblCellMar>
            <w:top w:w="0" w:type="dxa"/>
            <w:left w:w="108" w:type="dxa"/>
            <w:bottom w:w="0" w:type="dxa"/>
            <w:right w:w="108" w:type="dxa"/>
          </w:tblCellMar>
        </w:tblPrEx>
        <w:trPr>
          <w:gridAfter w:val="1"/>
          <w:wAfter w:w="161" w:type="dxa"/>
        </w:trPr>
        <w:tc>
          <w:tcPr>
            <w:tcW w:w="8976" w:type="dxa"/>
            <w:gridSpan w:val="14"/>
            <w:vAlign w:val="center"/>
          </w:tcPr>
          <w:p w14:paraId="2EA377B9">
            <w:pPr>
              <w:jc w:val="center"/>
            </w:pPr>
            <w:r>
              <w:rPr>
                <w:rFonts w:ascii="宋体" w:hAnsi="宋体" w:eastAsia="宋体"/>
                <w:sz w:val="24"/>
              </w:rPr>
              <w:t>项目支出绩效自评表</w:t>
            </w:r>
          </w:p>
        </w:tc>
      </w:tr>
      <w:tr w14:paraId="409227C2">
        <w:tblPrEx>
          <w:tblCellMar>
            <w:top w:w="0" w:type="dxa"/>
            <w:left w:w="108" w:type="dxa"/>
            <w:bottom w:w="0" w:type="dxa"/>
            <w:right w:w="108" w:type="dxa"/>
          </w:tblCellMar>
        </w:tblPrEx>
        <w:trPr>
          <w:gridAfter w:val="1"/>
          <w:wAfter w:w="161" w:type="dxa"/>
        </w:trPr>
        <w:tc>
          <w:tcPr>
            <w:tcW w:w="8976" w:type="dxa"/>
            <w:gridSpan w:val="14"/>
            <w:vAlign w:val="center"/>
          </w:tcPr>
          <w:p w14:paraId="386B235B">
            <w:pPr>
              <w:jc w:val="center"/>
            </w:pPr>
            <w:r>
              <w:rPr>
                <w:rFonts w:ascii="宋体" w:hAnsi="宋体" w:eastAsia="宋体"/>
                <w:sz w:val="24"/>
              </w:rPr>
              <w:t>(2024年度)</w:t>
            </w:r>
          </w:p>
        </w:tc>
      </w:tr>
      <w:tr w14:paraId="0CD2B827">
        <w:tblPrEx>
          <w:tblCellMar>
            <w:top w:w="0" w:type="dxa"/>
            <w:left w:w="108" w:type="dxa"/>
            <w:bottom w:w="0" w:type="dxa"/>
            <w:right w:w="108" w:type="dxa"/>
          </w:tblCellMar>
        </w:tblPrEx>
        <w:trPr>
          <w:gridAfter w:val="1"/>
          <w:wAfter w:w="161"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859C">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6C825D">
            <w:pPr>
              <w:jc w:val="center"/>
            </w:pPr>
            <w:r>
              <w:rPr>
                <w:rFonts w:ascii="宋体" w:hAnsi="宋体" w:eastAsia="宋体"/>
                <w:sz w:val="16"/>
              </w:rPr>
              <w:t>群众服务大厅运转项目</w:t>
            </w:r>
          </w:p>
        </w:tc>
      </w:tr>
      <w:tr w14:paraId="36CAC19B">
        <w:tblPrEx>
          <w:tblCellMar>
            <w:top w:w="0" w:type="dxa"/>
            <w:left w:w="108" w:type="dxa"/>
            <w:bottom w:w="0" w:type="dxa"/>
            <w:right w:w="108" w:type="dxa"/>
          </w:tblCellMar>
        </w:tblPrEx>
        <w:trPr>
          <w:gridAfter w:val="1"/>
          <w:wAfter w:w="161"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82251">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B5CE01">
            <w:pPr>
              <w:jc w:val="center"/>
            </w:pPr>
            <w:r>
              <w:rPr>
                <w:rFonts w:ascii="宋体" w:hAnsi="宋体" w:eastAsia="宋体"/>
                <w:sz w:val="16"/>
              </w:rPr>
              <w:t>喀什地区行政服务中心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28B85">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15EAAD">
            <w:pPr>
              <w:jc w:val="center"/>
            </w:pPr>
            <w:r>
              <w:rPr>
                <w:rFonts w:ascii="宋体" w:hAnsi="宋体" w:eastAsia="宋体"/>
                <w:sz w:val="16"/>
              </w:rPr>
              <w:t>喀什地区行政服务中心</w:t>
            </w:r>
          </w:p>
        </w:tc>
      </w:tr>
      <w:tr w14:paraId="0331D2BA">
        <w:tblPrEx>
          <w:tblCellMar>
            <w:top w:w="0" w:type="dxa"/>
            <w:left w:w="108" w:type="dxa"/>
            <w:bottom w:w="0" w:type="dxa"/>
            <w:right w:w="108" w:type="dxa"/>
          </w:tblCellMar>
        </w:tblPrEx>
        <w:trPr>
          <w:gridAfter w:val="1"/>
          <w:wAfter w:w="161"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84D8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D4E00">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F4C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811F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D1496">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DB5A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2BF6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66B9C">
            <w:pPr>
              <w:jc w:val="center"/>
            </w:pPr>
            <w:r>
              <w:rPr>
                <w:rFonts w:ascii="宋体" w:hAnsi="宋体" w:eastAsia="宋体"/>
                <w:sz w:val="16"/>
              </w:rPr>
              <w:t>得分</w:t>
            </w:r>
          </w:p>
        </w:tc>
      </w:tr>
      <w:tr w14:paraId="28041A7F">
        <w:tblPrEx>
          <w:tblCellMar>
            <w:top w:w="0" w:type="dxa"/>
            <w:left w:w="108" w:type="dxa"/>
            <w:bottom w:w="0" w:type="dxa"/>
            <w:right w:w="108" w:type="dxa"/>
          </w:tblCellMar>
        </w:tblPrEx>
        <w:trPr>
          <w:gridAfter w:val="1"/>
          <w:wAfter w:w="161"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82D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9D801">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9045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BCB5A">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9A8F6">
            <w:pPr>
              <w:jc w:val="center"/>
            </w:pPr>
            <w:r>
              <w:rPr>
                <w:rFonts w:ascii="宋体" w:hAnsi="宋体" w:eastAsia="宋体"/>
                <w:sz w:val="16"/>
              </w:rPr>
              <w:t>9.65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9E2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B80F9">
            <w:pPr>
              <w:jc w:val="center"/>
            </w:pPr>
            <w:r>
              <w:rPr>
                <w:rFonts w:ascii="宋体" w:hAnsi="宋体" w:eastAsia="宋体"/>
                <w:sz w:val="16"/>
              </w:rPr>
              <w:t>87.7%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6400">
            <w:pPr>
              <w:jc w:val="center"/>
            </w:pPr>
            <w:r>
              <w:rPr>
                <w:rFonts w:ascii="宋体" w:hAnsi="宋体" w:eastAsia="宋体"/>
                <w:sz w:val="16"/>
              </w:rPr>
              <w:t>6.93分</w:t>
            </w:r>
          </w:p>
        </w:tc>
      </w:tr>
      <w:tr w14:paraId="0005688D">
        <w:tblPrEx>
          <w:tblCellMar>
            <w:top w:w="0" w:type="dxa"/>
            <w:left w:w="108" w:type="dxa"/>
            <w:bottom w:w="0" w:type="dxa"/>
            <w:right w:w="108" w:type="dxa"/>
          </w:tblCellMar>
        </w:tblPrEx>
        <w:trPr>
          <w:gridAfter w:val="1"/>
          <w:wAfter w:w="161"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E1F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2FE94">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B95E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3E9EA">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0DD4C">
            <w:pPr>
              <w:jc w:val="center"/>
            </w:pPr>
            <w:r>
              <w:rPr>
                <w:rFonts w:ascii="宋体" w:hAnsi="宋体" w:eastAsia="宋体"/>
                <w:sz w:val="16"/>
              </w:rPr>
              <w:t>9.65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53A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46B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98565">
            <w:pPr>
              <w:jc w:val="center"/>
            </w:pPr>
            <w:r>
              <w:rPr>
                <w:rFonts w:ascii="宋体" w:hAnsi="宋体" w:eastAsia="宋体"/>
                <w:sz w:val="16"/>
              </w:rPr>
              <w:t>—</w:t>
            </w:r>
          </w:p>
        </w:tc>
      </w:tr>
      <w:tr w14:paraId="4E85D58F">
        <w:tblPrEx>
          <w:tblCellMar>
            <w:top w:w="0" w:type="dxa"/>
            <w:left w:w="108" w:type="dxa"/>
            <w:bottom w:w="0" w:type="dxa"/>
            <w:right w:w="108" w:type="dxa"/>
          </w:tblCellMar>
        </w:tblPrEx>
        <w:trPr>
          <w:gridAfter w:val="1"/>
          <w:wAfter w:w="161"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640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47C4F">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C0E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F7B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635CA">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F29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FE1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8612">
            <w:pPr>
              <w:jc w:val="center"/>
            </w:pPr>
            <w:r>
              <w:rPr>
                <w:rFonts w:ascii="宋体" w:hAnsi="宋体" w:eastAsia="宋体"/>
                <w:sz w:val="16"/>
              </w:rPr>
              <w:t>—</w:t>
            </w:r>
          </w:p>
        </w:tc>
      </w:tr>
      <w:tr w14:paraId="28BA6074">
        <w:tblPrEx>
          <w:tblCellMar>
            <w:top w:w="0" w:type="dxa"/>
            <w:left w:w="108" w:type="dxa"/>
            <w:bottom w:w="0" w:type="dxa"/>
            <w:right w:w="108" w:type="dxa"/>
          </w:tblCellMar>
        </w:tblPrEx>
        <w:trPr>
          <w:gridAfter w:val="1"/>
          <w:wAfter w:w="161"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FCC32">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42C7A2">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24240C">
            <w:pPr>
              <w:jc w:val="center"/>
            </w:pPr>
            <w:r>
              <w:rPr>
                <w:rFonts w:ascii="宋体" w:hAnsi="宋体" w:eastAsia="宋体"/>
                <w:sz w:val="16"/>
              </w:rPr>
              <w:t>实际完成情况</w:t>
            </w:r>
          </w:p>
        </w:tc>
      </w:tr>
      <w:tr w14:paraId="47954030">
        <w:tblPrEx>
          <w:tblCellMar>
            <w:top w:w="0" w:type="dxa"/>
            <w:left w:w="108" w:type="dxa"/>
            <w:bottom w:w="0" w:type="dxa"/>
            <w:right w:w="108" w:type="dxa"/>
          </w:tblCellMar>
        </w:tblPrEx>
        <w:trPr>
          <w:gridAfter w:val="1"/>
          <w:wAfter w:w="161"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3675F"/>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A078A2">
            <w:pPr>
              <w:jc w:val="both"/>
            </w:pPr>
            <w:r>
              <w:rPr>
                <w:rFonts w:ascii="宋体" w:hAnsi="宋体" w:eastAsia="宋体"/>
                <w:sz w:val="16"/>
              </w:rPr>
              <w:t>为保障2024年工作日八小时不断档为人民群众提供服务，行政服务中心中午集中订餐，保障人数37人，保障天数247天，补助标准10.01元/人/天，共需经费110000元，该项目的实施方便群众办事，改变群众反复跑及午间等待等问题。</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B6CF13">
            <w:pPr>
              <w:jc w:val="both"/>
            </w:pPr>
            <w:r>
              <w:rPr>
                <w:rFonts w:ascii="宋体" w:hAnsi="宋体" w:eastAsia="宋体"/>
                <w:sz w:val="16"/>
              </w:rPr>
              <w:t>行政服务中心中午集中订餐，保障人数约27人，保障天数247天，补助标准10.01元/人/天，费用为7.89万元，委托两家公司负责2024年</w:t>
            </w:r>
            <w:r>
              <w:rPr>
                <w:rFonts w:hint="eastAsia" w:ascii="宋体" w:hAnsi="宋体"/>
                <w:sz w:val="16"/>
                <w:lang w:val="en-US" w:eastAsia="zh-CN"/>
              </w:rPr>
              <w:t>录用</w:t>
            </w:r>
            <w:r>
              <w:rPr>
                <w:rFonts w:ascii="宋体" w:hAnsi="宋体" w:eastAsia="宋体"/>
                <w:sz w:val="16"/>
              </w:rPr>
              <w:t>3名工作人员工花费委托业务费1.76万元.合计为9.65万。提高了行政服务中心整体的工作效率和服务质量，进而为前来办事的群众提供更优质、高效的服务，提升群众对行政服务的满意度。</w:t>
            </w:r>
          </w:p>
        </w:tc>
      </w:tr>
      <w:tr w14:paraId="4BC86BAE">
        <w:tblPrEx>
          <w:tblCellMar>
            <w:top w:w="0" w:type="dxa"/>
            <w:left w:w="108" w:type="dxa"/>
            <w:bottom w:w="0" w:type="dxa"/>
            <w:right w:w="108" w:type="dxa"/>
          </w:tblCellMar>
        </w:tblPrEx>
        <w:trPr>
          <w:gridAfter w:val="1"/>
          <w:wAfter w:w="161" w:type="dxa"/>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54840C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75D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AF4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94BB">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E47C9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F6B3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0AC7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41AB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12D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0A1DD">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9EC98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1DE5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5EA9C">
            <w:pPr>
              <w:jc w:val="center"/>
            </w:pPr>
            <w:r>
              <w:rPr>
                <w:rFonts w:ascii="宋体" w:hAnsi="宋体" w:eastAsia="宋体"/>
                <w:sz w:val="16"/>
              </w:rPr>
              <w:t>偏差原因分析及改进措施</w:t>
            </w:r>
          </w:p>
        </w:tc>
      </w:tr>
      <w:tr w14:paraId="1B59EA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0C2BE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E63F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6842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86956">
            <w:pPr>
              <w:jc w:val="center"/>
            </w:pPr>
            <w:r>
              <w:rPr>
                <w:rFonts w:ascii="宋体" w:hAnsi="宋体" w:eastAsia="宋体"/>
                <w:sz w:val="16"/>
              </w:rPr>
              <w:t>补助人数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289B019">
            <w:pPr>
              <w:jc w:val="center"/>
            </w:pPr>
            <w:r>
              <w:rPr>
                <w:rFonts w:ascii="宋体" w:hAnsi="宋体" w:eastAsia="宋体"/>
                <w:sz w:val="16"/>
              </w:rPr>
              <w:t>&gt;=37人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F0B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31DFF">
            <w:pPr>
              <w:jc w:val="center"/>
            </w:pPr>
            <w:r>
              <w:rPr>
                <w:rFonts w:ascii="宋体" w:hAnsi="宋体" w:eastAsia="宋体"/>
                <w:sz w:val="16"/>
              </w:rPr>
              <w:t>=48人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70E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3CD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1D917">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4E7B58">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46CA2">
            <w:pPr>
              <w:jc w:val="center"/>
            </w:pPr>
            <w:r>
              <w:rPr>
                <w:rFonts w:ascii="宋体" w:hAnsi="宋体" w:eastAsia="宋体"/>
                <w:sz w:val="16"/>
              </w:rPr>
              <w:t>3.24</w:t>
            </w:r>
          </w:p>
        </w:tc>
        <w:tc>
          <w:tcPr>
            <w:tcW w:w="142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E387F6">
            <w:pPr>
              <w:jc w:val="center"/>
            </w:pPr>
            <w:r>
              <w:rPr>
                <w:rFonts w:ascii="宋体" w:hAnsi="宋体" w:eastAsia="宋体"/>
                <w:sz w:val="16"/>
              </w:rPr>
              <w:t>原因分析：本单位应保障大厅所有工作人员午餐补助，但未强制要求大厅所有工作人员吃工作餐，所以补助人数较少。改进措施:建立用餐预订制度以精准预估人数，依实际人数灵活调整预算、优化补助方式，加强部门与供应商间的沟通协调，并对餐饮费用使用情况进行监督评估，解决大厅实际用餐人数和预算人数不一致的差距。</w:t>
            </w:r>
          </w:p>
        </w:tc>
      </w:tr>
      <w:tr w14:paraId="3D2D1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3E8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7EA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55B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BFE4A">
            <w:pPr>
              <w:jc w:val="center"/>
            </w:pPr>
            <w:r>
              <w:rPr>
                <w:rFonts w:ascii="宋体" w:hAnsi="宋体" w:eastAsia="宋体"/>
                <w:sz w:val="16"/>
              </w:rPr>
              <w:t>补助天数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5CA4375">
            <w:pPr>
              <w:jc w:val="center"/>
            </w:pPr>
            <w:r>
              <w:rPr>
                <w:rFonts w:ascii="宋体" w:hAnsi="宋体" w:eastAsia="宋体"/>
                <w:sz w:val="16"/>
              </w:rPr>
              <w:t>&gt;=247天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8FB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E46C4">
            <w:pPr>
              <w:jc w:val="center"/>
            </w:pPr>
            <w:r>
              <w:rPr>
                <w:rFonts w:ascii="宋体" w:hAnsi="宋体" w:eastAsia="宋体"/>
                <w:sz w:val="16"/>
              </w:rPr>
              <w:t>=242天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FE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D14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3AD4F">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670545">
            <w:pPr>
              <w:jc w:val="center"/>
            </w:pPr>
            <w:r>
              <w:rPr>
                <w:rFonts w:ascii="宋体" w:hAnsi="宋体" w:eastAsia="宋体"/>
                <w:sz w:val="16"/>
              </w:rPr>
              <w:t>=247天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5230C">
            <w:pPr>
              <w:jc w:val="center"/>
            </w:pPr>
            <w:r>
              <w:rPr>
                <w:rFonts w:ascii="宋体" w:hAnsi="宋体" w:eastAsia="宋体"/>
                <w:sz w:val="16"/>
              </w:rPr>
              <w:t>10</w:t>
            </w:r>
          </w:p>
        </w:tc>
        <w:tc>
          <w:tcPr>
            <w:tcW w:w="142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BBDDDA">
            <w:pPr>
              <w:jc w:val="center"/>
            </w:pPr>
          </w:p>
        </w:tc>
      </w:tr>
      <w:tr w14:paraId="5CF7E7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0FC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57A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370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9562A">
            <w:pPr>
              <w:jc w:val="center"/>
            </w:pPr>
            <w:r>
              <w:rPr>
                <w:rFonts w:ascii="宋体" w:hAnsi="宋体" w:eastAsia="宋体"/>
                <w:sz w:val="16"/>
              </w:rPr>
              <w:t>委托第三方单位数量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3FA16A">
            <w:pPr>
              <w:jc w:val="center"/>
            </w:pPr>
            <w:r>
              <w:rPr>
                <w:rFonts w:ascii="宋体" w:hAnsi="宋体" w:eastAsia="宋体"/>
                <w:sz w:val="16"/>
              </w:rPr>
              <w:t>&gt;=2家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C7B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051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F6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0BF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9629D">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339F2A">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06A0B">
            <w:pPr>
              <w:jc w:val="center"/>
            </w:pPr>
            <w:r>
              <w:rPr>
                <w:rFonts w:ascii="宋体" w:hAnsi="宋体" w:eastAsia="宋体"/>
                <w:sz w:val="16"/>
              </w:rPr>
              <w:t>5</w:t>
            </w:r>
          </w:p>
        </w:tc>
        <w:tc>
          <w:tcPr>
            <w:tcW w:w="142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DF3DB7">
            <w:pPr>
              <w:jc w:val="center"/>
            </w:pPr>
          </w:p>
        </w:tc>
      </w:tr>
      <w:tr w14:paraId="719FFE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BC1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09B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C77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67FB">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B2A6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B85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42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226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9E8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AB963">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0043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2503">
            <w:pPr>
              <w:jc w:val="center"/>
            </w:pPr>
            <w:r>
              <w:rPr>
                <w:rFonts w:ascii="宋体" w:hAnsi="宋体" w:eastAsia="宋体"/>
                <w:sz w:val="16"/>
              </w:rPr>
              <w:t>5</w:t>
            </w:r>
          </w:p>
        </w:tc>
        <w:tc>
          <w:tcPr>
            <w:tcW w:w="142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7CE4D0">
            <w:pPr>
              <w:jc w:val="center"/>
            </w:pPr>
          </w:p>
        </w:tc>
      </w:tr>
      <w:tr w14:paraId="2EDF8F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0A2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978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D5C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16E81">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2495E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C8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67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3FF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214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E7F0D">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5ECAD1">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55985">
            <w:pPr>
              <w:jc w:val="center"/>
            </w:pPr>
            <w:r>
              <w:rPr>
                <w:rFonts w:ascii="宋体" w:hAnsi="宋体" w:eastAsia="宋体"/>
                <w:sz w:val="16"/>
              </w:rPr>
              <w:t>10</w:t>
            </w:r>
          </w:p>
        </w:tc>
        <w:tc>
          <w:tcPr>
            <w:tcW w:w="142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6E8280">
            <w:pPr>
              <w:jc w:val="center"/>
            </w:pPr>
          </w:p>
        </w:tc>
      </w:tr>
      <w:tr w14:paraId="4ACBCC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216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16D2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FE2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A2E0">
            <w:pPr>
              <w:jc w:val="center"/>
            </w:pPr>
            <w:r>
              <w:rPr>
                <w:rFonts w:ascii="宋体" w:hAnsi="宋体" w:eastAsia="宋体"/>
                <w:sz w:val="16"/>
              </w:rPr>
              <w:t>每人每天补助资金数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C33322">
            <w:pPr>
              <w:jc w:val="center"/>
            </w:pPr>
            <w:r>
              <w:rPr>
                <w:rFonts w:ascii="宋体" w:hAnsi="宋体" w:eastAsia="宋体"/>
                <w:sz w:val="16"/>
              </w:rPr>
              <w:t>&lt;=12元/人/天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A12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BE867">
            <w:pPr>
              <w:jc w:val="center"/>
            </w:pPr>
            <w:r>
              <w:rPr>
                <w:rFonts w:ascii="宋体" w:hAnsi="宋体" w:eastAsia="宋体"/>
                <w:sz w:val="16"/>
              </w:rPr>
              <w:t>=12元/人/天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424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84E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26000">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623DADA">
            <w:pPr>
              <w:jc w:val="center"/>
            </w:pPr>
            <w:r>
              <w:rPr>
                <w:rFonts w:ascii="宋体" w:hAnsi="宋体" w:eastAsia="宋体"/>
                <w:sz w:val="16"/>
              </w:rPr>
              <w:t>=11.83元/人/天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E79CA">
            <w:pPr>
              <w:jc w:val="center"/>
            </w:pPr>
            <w:r>
              <w:rPr>
                <w:rFonts w:ascii="宋体" w:hAnsi="宋体" w:eastAsia="宋体"/>
                <w:sz w:val="16"/>
              </w:rPr>
              <w:t>9.64</w:t>
            </w:r>
          </w:p>
        </w:tc>
        <w:tc>
          <w:tcPr>
            <w:tcW w:w="142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BBBBE0">
            <w:pPr>
              <w:jc w:val="center"/>
            </w:pPr>
            <w:r>
              <w:rPr>
                <w:rFonts w:ascii="宋体" w:hAnsi="宋体" w:eastAsia="宋体"/>
                <w:sz w:val="16"/>
              </w:rPr>
              <w:t>原因分析：行政服务中心大厅工作每人每天补助资金实际为10.01元，较计划的12元减少，主要是因预估吃饭人数时对实际业务淡旺季、人员请假等因素考虑不足，未精准测算，导致预期吃饭人数高于实际，餐费等补助成本降低从而使补助资金减少。改进措施：建立动态就餐人数预估机制，结合业务周期、人员出勤等因素，提前精准统计每日就餐人数，依据实际人数合理调整补助资金预算，同时加强对补助资金使用的监管，确保资金使用合理合规。</w:t>
            </w:r>
          </w:p>
        </w:tc>
      </w:tr>
      <w:tr w14:paraId="13CDDE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BCA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161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B22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02628">
            <w:pPr>
              <w:jc w:val="center"/>
            </w:pPr>
            <w:r>
              <w:rPr>
                <w:rFonts w:ascii="宋体" w:hAnsi="宋体" w:eastAsia="宋体"/>
                <w:sz w:val="16"/>
              </w:rPr>
              <w:t>委托业务费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91E9CB">
            <w:pPr>
              <w:jc w:val="center"/>
            </w:pPr>
            <w:r>
              <w:rPr>
                <w:rFonts w:ascii="宋体" w:hAnsi="宋体" w:eastAsia="宋体"/>
                <w:sz w:val="16"/>
              </w:rPr>
              <w:t>&lt;=1.85万元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E19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F5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27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119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D4F9D">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43ED44D">
            <w:pPr>
              <w:jc w:val="center"/>
            </w:pPr>
            <w:r>
              <w:rPr>
                <w:rFonts w:ascii="宋体" w:hAnsi="宋体" w:eastAsia="宋体"/>
                <w:sz w:val="16"/>
              </w:rPr>
              <w:t>=1.76万元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B351E">
            <w:pPr>
              <w:jc w:val="center"/>
            </w:pPr>
            <w:r>
              <w:rPr>
                <w:rFonts w:ascii="宋体" w:hAnsi="宋体" w:eastAsia="宋体"/>
                <w:sz w:val="16"/>
              </w:rPr>
              <w:t>8.79</w:t>
            </w:r>
          </w:p>
        </w:tc>
        <w:tc>
          <w:tcPr>
            <w:tcW w:w="142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B5F817">
            <w:pPr>
              <w:jc w:val="center"/>
            </w:pPr>
            <w:r>
              <w:rPr>
                <w:rFonts w:ascii="宋体" w:hAnsi="宋体" w:eastAsia="宋体"/>
                <w:sz w:val="16"/>
              </w:rPr>
              <w:t>原因分析：地区行政服务中心委托两家公司开展的线上</w:t>
            </w:r>
            <w:r>
              <w:rPr>
                <w:rFonts w:hint="eastAsia" w:ascii="宋体" w:hAnsi="宋体"/>
                <w:sz w:val="16"/>
                <w:lang w:val="en-US" w:eastAsia="zh-CN"/>
              </w:rPr>
              <w:t>录用</w:t>
            </w:r>
            <w:r>
              <w:rPr>
                <w:rFonts w:ascii="宋体" w:hAnsi="宋体" w:eastAsia="宋体"/>
                <w:sz w:val="16"/>
              </w:rPr>
              <w:t>考试，实际费用1.76万元低于预期的1.85万元，一方面是因采用线上考试形式，减少了场地租赁、现场布置等费用支出；另一方面，在与两家公司协商过程中，利用线上考试的便捷性优势，成功压低了技术服务和监考服务价格。同时，实际参考人数较预期有所减少，降低了数据处理和系统维护的工作量，进而使相关成本下降。改进措施：后续制定线上</w:t>
            </w:r>
            <w:r>
              <w:rPr>
                <w:rFonts w:hint="eastAsia" w:ascii="宋体" w:hAnsi="宋体"/>
                <w:sz w:val="16"/>
                <w:lang w:val="en-US" w:eastAsia="zh-CN"/>
              </w:rPr>
              <w:t>录用</w:t>
            </w:r>
            <w:r>
              <w:rPr>
                <w:rFonts w:ascii="宋体" w:hAnsi="宋体" w:eastAsia="宋体"/>
                <w:sz w:val="16"/>
              </w:rPr>
              <w:t>考试委托业务预算时，充分考虑线上考试的特点，精准预估各项费用，避免预算过高。加强与委托公司的长期合作沟通，建立合理的价格调整机制，根据参考人数、服务内容变化等因素动态调整费用。提前对报名情况进行更准确的预测，依据可能的参考人数合理配置技术资源，避免资源闲置浪费。此外，持续优化线上考试系统，提高自动化程度，降低人力成本。</w:t>
            </w:r>
          </w:p>
        </w:tc>
      </w:tr>
      <w:tr w14:paraId="7577A5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4C4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A06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5F8B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AF598">
            <w:pPr>
              <w:jc w:val="center"/>
            </w:pPr>
            <w:r>
              <w:rPr>
                <w:rFonts w:ascii="宋体" w:hAnsi="宋体" w:eastAsia="宋体"/>
                <w:sz w:val="16"/>
              </w:rPr>
              <w:t>保障大厅不断档服务群众</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AC078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62E0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BB4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986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97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4D9B7">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1F040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63E60">
            <w:pPr>
              <w:jc w:val="center"/>
            </w:pPr>
            <w:r>
              <w:rPr>
                <w:rFonts w:ascii="宋体" w:hAnsi="宋体" w:eastAsia="宋体"/>
                <w:sz w:val="16"/>
              </w:rPr>
              <w:t>20</w:t>
            </w:r>
          </w:p>
        </w:tc>
        <w:tc>
          <w:tcPr>
            <w:tcW w:w="142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C656F7">
            <w:pPr>
              <w:jc w:val="center"/>
            </w:pPr>
          </w:p>
        </w:tc>
      </w:tr>
      <w:tr w14:paraId="1F9E7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B5D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C91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A15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ED81">
            <w:pPr>
              <w:jc w:val="center"/>
            </w:pPr>
            <w:r>
              <w:rPr>
                <w:rFonts w:ascii="宋体" w:hAnsi="宋体" w:eastAsia="宋体"/>
                <w:sz w:val="16"/>
              </w:rPr>
              <w:t>受益工作人员满意度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75F0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56F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A35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032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B2E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E22F7">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BA6FC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D9C1F">
            <w:pPr>
              <w:jc w:val="center"/>
            </w:pPr>
            <w:r>
              <w:rPr>
                <w:rFonts w:ascii="宋体" w:hAnsi="宋体" w:eastAsia="宋体"/>
                <w:sz w:val="16"/>
              </w:rPr>
              <w:t>10</w:t>
            </w:r>
          </w:p>
        </w:tc>
        <w:tc>
          <w:tcPr>
            <w:tcW w:w="142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B1A23A">
            <w:pPr>
              <w:jc w:val="center"/>
            </w:pPr>
          </w:p>
        </w:tc>
      </w:tr>
      <w:tr w14:paraId="3F1C96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B126C">
            <w:pPr>
              <w:jc w:val="center"/>
            </w:pPr>
            <w:r>
              <w:rPr>
                <w:rFonts w:ascii="宋体" w:hAnsi="宋体" w:eastAsia="宋体"/>
                <w:sz w:val="16"/>
              </w:rPr>
              <w:t>总分</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47BD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F7748">
            <w:pPr>
              <w:jc w:val="center"/>
            </w:pPr>
            <w:r>
              <w:rPr>
                <w:rFonts w:ascii="宋体" w:hAnsi="宋体" w:eastAsia="宋体"/>
                <w:sz w:val="16"/>
              </w:rPr>
              <w:t>得分</w:t>
            </w:r>
          </w:p>
        </w:tc>
        <w:tc>
          <w:tcPr>
            <w:tcW w:w="338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E525CE">
            <w:pPr>
              <w:jc w:val="center"/>
            </w:pPr>
            <w:r>
              <w:rPr>
                <w:rFonts w:ascii="宋体" w:hAnsi="宋体" w:eastAsia="宋体"/>
                <w:sz w:val="16"/>
              </w:rPr>
              <w:t>88.6分</w:t>
            </w:r>
          </w:p>
        </w:tc>
      </w:tr>
    </w:tbl>
    <w:p w14:paraId="450FD51D">
      <w:r>
        <w:br w:type="page"/>
      </w:r>
    </w:p>
    <w:p w14:paraId="31330742">
      <w:pPr>
        <w:spacing w:line="640" w:lineRule="exact"/>
        <w:ind w:firstLine="640"/>
        <w:jc w:val="both"/>
        <w:outlineLvl w:val="2"/>
      </w:pPr>
      <w:r>
        <w:rPr>
          <w:rFonts w:ascii="黑体" w:hAnsi="黑体" w:eastAsia="黑体"/>
          <w:sz w:val="32"/>
        </w:rPr>
        <w:t>十二、其他需说明的事项</w:t>
      </w:r>
    </w:p>
    <w:p w14:paraId="7E42533E">
      <w:pPr>
        <w:spacing w:line="580" w:lineRule="exact"/>
        <w:ind w:firstLine="640"/>
        <w:jc w:val="both"/>
      </w:pPr>
      <w:r>
        <w:rPr>
          <w:rFonts w:ascii="仿宋_GB2312" w:hAnsi="仿宋_GB2312" w:eastAsia="仿宋_GB2312"/>
          <w:b w:val="0"/>
          <w:sz w:val="32"/>
        </w:rPr>
        <w:t>本部门无其他需说明的事项。</w:t>
      </w:r>
    </w:p>
    <w:p w14:paraId="25E7E51F">
      <w:r>
        <w:br w:type="page"/>
      </w:r>
    </w:p>
    <w:p w14:paraId="1D111C79">
      <w:pPr>
        <w:spacing w:line="240" w:lineRule="auto"/>
        <w:jc w:val="center"/>
        <w:outlineLvl w:val="1"/>
      </w:pPr>
      <w:r>
        <w:rPr>
          <w:rFonts w:ascii="黑体" w:hAnsi="黑体" w:eastAsia="黑体"/>
          <w:sz w:val="32"/>
        </w:rPr>
        <w:t>第三部分 专业名词解释</w:t>
      </w:r>
    </w:p>
    <w:p w14:paraId="62E09E3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DDAFCB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4587C6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362585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C74DB5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B3CE1B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1F02A9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C33A4F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4C454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0385AA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18700F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ED0E04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88BE04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5BAA44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0CF9C63">
      <w:r>
        <w:br w:type="page"/>
      </w:r>
    </w:p>
    <w:p w14:paraId="40CF851A">
      <w:pPr>
        <w:spacing w:line="240" w:lineRule="auto"/>
        <w:jc w:val="center"/>
        <w:outlineLvl w:val="1"/>
      </w:pPr>
      <w:r>
        <w:rPr>
          <w:rFonts w:ascii="黑体" w:hAnsi="黑体" w:eastAsia="黑体"/>
          <w:sz w:val="32"/>
        </w:rPr>
        <w:t>第四部分 部门决算报表（见附表）</w:t>
      </w:r>
    </w:p>
    <w:p w14:paraId="7B5C2798">
      <w:pPr>
        <w:spacing w:line="240" w:lineRule="auto"/>
        <w:ind w:firstLine="640"/>
        <w:jc w:val="both"/>
      </w:pPr>
      <w:r>
        <w:rPr>
          <w:rFonts w:ascii="仿宋_GB2312" w:hAnsi="仿宋_GB2312" w:eastAsia="仿宋_GB2312"/>
          <w:b w:val="0"/>
          <w:sz w:val="32"/>
        </w:rPr>
        <w:t>一、《收入支出决算总表》</w:t>
      </w:r>
    </w:p>
    <w:p w14:paraId="15E07649">
      <w:pPr>
        <w:spacing w:line="240" w:lineRule="auto"/>
        <w:ind w:firstLine="640"/>
        <w:jc w:val="both"/>
      </w:pPr>
      <w:r>
        <w:rPr>
          <w:rFonts w:ascii="仿宋_GB2312" w:hAnsi="仿宋_GB2312" w:eastAsia="仿宋_GB2312"/>
          <w:b w:val="0"/>
          <w:sz w:val="32"/>
        </w:rPr>
        <w:t>二、《收入决算表》</w:t>
      </w:r>
    </w:p>
    <w:p w14:paraId="067A1992">
      <w:pPr>
        <w:spacing w:line="240" w:lineRule="auto"/>
        <w:ind w:firstLine="640"/>
        <w:jc w:val="both"/>
      </w:pPr>
      <w:r>
        <w:rPr>
          <w:rFonts w:ascii="仿宋_GB2312" w:hAnsi="仿宋_GB2312" w:eastAsia="仿宋_GB2312"/>
          <w:b w:val="0"/>
          <w:sz w:val="32"/>
        </w:rPr>
        <w:t>三、《支出决算表》</w:t>
      </w:r>
    </w:p>
    <w:p w14:paraId="20CC967D">
      <w:pPr>
        <w:spacing w:line="240" w:lineRule="auto"/>
        <w:ind w:firstLine="640"/>
        <w:jc w:val="both"/>
      </w:pPr>
      <w:r>
        <w:rPr>
          <w:rFonts w:ascii="仿宋_GB2312" w:hAnsi="仿宋_GB2312" w:eastAsia="仿宋_GB2312"/>
          <w:b w:val="0"/>
          <w:sz w:val="32"/>
        </w:rPr>
        <w:t>四、《财政拨款收入支出决算总表》</w:t>
      </w:r>
    </w:p>
    <w:p w14:paraId="5C08CE24">
      <w:pPr>
        <w:spacing w:line="240" w:lineRule="auto"/>
        <w:ind w:firstLine="640"/>
        <w:jc w:val="both"/>
      </w:pPr>
      <w:r>
        <w:rPr>
          <w:rFonts w:ascii="仿宋_GB2312" w:hAnsi="仿宋_GB2312" w:eastAsia="仿宋_GB2312"/>
          <w:b w:val="0"/>
          <w:sz w:val="32"/>
        </w:rPr>
        <w:t>五、《一般公共预算财政拨款支出决算表》</w:t>
      </w:r>
    </w:p>
    <w:p w14:paraId="09EAB0C2">
      <w:pPr>
        <w:spacing w:line="240" w:lineRule="auto"/>
        <w:ind w:firstLine="640"/>
        <w:jc w:val="both"/>
      </w:pPr>
      <w:r>
        <w:rPr>
          <w:rFonts w:ascii="仿宋_GB2312" w:hAnsi="仿宋_GB2312" w:eastAsia="仿宋_GB2312"/>
          <w:b w:val="0"/>
          <w:sz w:val="32"/>
        </w:rPr>
        <w:t>六、《一般公共预算财政拨款基本支出决算表》</w:t>
      </w:r>
    </w:p>
    <w:p w14:paraId="0E4FADA7">
      <w:pPr>
        <w:spacing w:line="240" w:lineRule="auto"/>
        <w:ind w:firstLine="640"/>
        <w:jc w:val="both"/>
      </w:pPr>
      <w:r>
        <w:rPr>
          <w:rFonts w:ascii="仿宋_GB2312" w:hAnsi="仿宋_GB2312" w:eastAsia="仿宋_GB2312"/>
          <w:b w:val="0"/>
          <w:sz w:val="32"/>
        </w:rPr>
        <w:t>七、《政府性基金预算财政拨款收入支出决算表》</w:t>
      </w:r>
    </w:p>
    <w:p w14:paraId="1F76E993">
      <w:pPr>
        <w:spacing w:line="240" w:lineRule="auto"/>
        <w:ind w:firstLine="640"/>
        <w:jc w:val="both"/>
      </w:pPr>
      <w:r>
        <w:rPr>
          <w:rFonts w:ascii="仿宋_GB2312" w:hAnsi="仿宋_GB2312" w:eastAsia="仿宋_GB2312"/>
          <w:b w:val="0"/>
          <w:sz w:val="32"/>
        </w:rPr>
        <w:t>八、《国有资本经营预算财政拨款收入支出决算表》</w:t>
      </w:r>
    </w:p>
    <w:p w14:paraId="4A31E9DD">
      <w:pPr>
        <w:spacing w:line="240" w:lineRule="auto"/>
        <w:ind w:firstLine="640"/>
        <w:jc w:val="both"/>
      </w:pPr>
      <w:r>
        <w:rPr>
          <w:rFonts w:ascii="仿宋_GB2312" w:hAnsi="仿宋_GB2312" w:eastAsia="仿宋_GB2312"/>
          <w:b w:val="0"/>
          <w:sz w:val="32"/>
        </w:rPr>
        <w:t>九、《财政拨款“三公”经费支出决算表》</w:t>
      </w:r>
    </w:p>
    <w:p w14:paraId="4414E800">
      <w:pPr>
        <w:spacing w:line="240" w:lineRule="auto"/>
        <w:ind w:firstLine="640"/>
        <w:jc w:val="both"/>
      </w:pPr>
    </w:p>
    <w:p w14:paraId="287BDB55">
      <w:pPr>
        <w:spacing w:line="240" w:lineRule="auto"/>
        <w:ind w:firstLine="640"/>
        <w:jc w:val="both"/>
      </w:pPr>
    </w:p>
    <w:p w14:paraId="4DB59D0D">
      <w:pPr>
        <w:spacing w:line="240" w:lineRule="auto"/>
        <w:ind w:firstLine="640"/>
        <w:jc w:val="both"/>
      </w:pPr>
    </w:p>
    <w:p w14:paraId="651D9ECB">
      <w:pPr>
        <w:spacing w:line="240" w:lineRule="auto"/>
        <w:ind w:firstLine="640"/>
        <w:jc w:val="both"/>
      </w:pPr>
    </w:p>
    <w:p w14:paraId="7186310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7DA860-A80C-41A9-87F6-6994776B3A0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AA315337-40E8-47A2-ADD7-5C37C6E984FD}"/>
  </w:font>
  <w:font w:name="方正小标宋_GBK">
    <w:panose1 w:val="02000000000000000000"/>
    <w:charset w:val="86"/>
    <w:family w:val="script"/>
    <w:pitch w:val="default"/>
    <w:sig w:usb0="A00002BF" w:usb1="38CF7CFA" w:usb2="00082016" w:usb3="00000000" w:csb0="00040001" w:csb1="00000000"/>
    <w:embedRegular r:id="rId3" w:fontKey="{C8399C78-8E7E-46DB-BF79-C67B6DB17C61}"/>
  </w:font>
  <w:font w:name="楷体_GB2312">
    <w:panose1 w:val="02010609030101010101"/>
    <w:charset w:val="86"/>
    <w:family w:val="auto"/>
    <w:pitch w:val="default"/>
    <w:sig w:usb0="00000001" w:usb1="080E0000" w:usb2="00000000" w:usb3="00000000" w:csb0="00040000" w:csb1="00000000"/>
    <w:embedRegular r:id="rId4" w:fontKey="{8FB9D559-F2F5-4E87-8879-CCEA1505B71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6B202C"/>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094861"/>
    <w:rsid w:val="2D1136DF"/>
    <w:rsid w:val="2DAE0E44"/>
    <w:rsid w:val="2FD27414"/>
    <w:rsid w:val="30D721E6"/>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5820</Words>
  <Characters>6625</Characters>
  <Lines>0</Lines>
  <Paragraphs>0</Paragraphs>
  <TotalTime>4</TotalTime>
  <ScaleCrop>false</ScaleCrop>
  <LinksUpToDate>false</LinksUpToDate>
  <CharactersWithSpaces>6643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2025-09-29T04:25:45Z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