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E56309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喀什地区计量检定所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bookmarkStart w:id="0" w:name="_GoBack"/>
      <w:bookmarkEnd w:id="0"/>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8011706">
      <w:r>
        <w:br w:type="page"/>
      </w:r>
    </w:p>
    <w:p w14:paraId="741A6BAB">
      <w:pPr>
        <w:spacing w:line="640" w:lineRule="exact"/>
        <w:jc w:val="center"/>
        <w:outlineLvl w:val="1"/>
      </w:pPr>
      <w:r>
        <w:rPr>
          <w:rFonts w:ascii="黑体" w:hAnsi="黑体" w:eastAsia="黑体"/>
          <w:sz w:val="32"/>
        </w:rPr>
        <w:t>第一部分 部门概况</w:t>
      </w:r>
    </w:p>
    <w:p w14:paraId="45E59BBE">
      <w:pPr>
        <w:spacing w:line="640" w:lineRule="exact"/>
        <w:ind w:firstLine="640"/>
        <w:jc w:val="both"/>
        <w:outlineLvl w:val="2"/>
      </w:pPr>
      <w:r>
        <w:rPr>
          <w:rFonts w:ascii="黑体" w:hAnsi="黑体" w:eastAsia="黑体"/>
          <w:sz w:val="32"/>
        </w:rPr>
        <w:t>一、主要职能</w:t>
      </w:r>
    </w:p>
    <w:p w14:paraId="20CCF0D5">
      <w:pPr>
        <w:spacing w:line="580" w:lineRule="exact"/>
        <w:ind w:firstLine="640"/>
        <w:jc w:val="both"/>
      </w:pPr>
      <w:r>
        <w:rPr>
          <w:rFonts w:ascii="仿宋_GB2312" w:hAnsi="仿宋_GB2312" w:eastAsia="仿宋_GB2312"/>
          <w:sz w:val="32"/>
        </w:rPr>
        <w:t>喀什地区计量检定所是归属喀什地区质量技术监督局的计量检定机构，建立和保存喀什地区社会公用计量标准十大类、三十四项，已开展力学、长度、电学、无线电、时间频率、声学、光学、热学、理化、电离辐射等</w:t>
      </w:r>
      <w:r>
        <w:rPr>
          <w:rFonts w:hint="eastAsia" w:ascii="仿宋_GB2312" w:hAnsi="仿宋_GB2312" w:eastAsia="仿宋_GB2312"/>
          <w:sz w:val="32"/>
          <w:lang w:eastAsia="zh-CN"/>
        </w:rPr>
        <w:t>十大</w:t>
      </w:r>
      <w:r>
        <w:rPr>
          <w:rFonts w:ascii="仿宋_GB2312" w:hAnsi="仿宋_GB2312" w:eastAsia="仿宋_GB2312"/>
          <w:sz w:val="32"/>
        </w:rPr>
        <w:t>类计量检验工作，是喀什地区计量检测设备先进、技术力量强，唯一通过省级法定计量检定机构考核和计量授权的地区级计量检定机构。</w:t>
      </w:r>
    </w:p>
    <w:p w14:paraId="6B0632FB">
      <w:pPr>
        <w:spacing w:line="640" w:lineRule="exact"/>
        <w:ind w:firstLine="640"/>
        <w:jc w:val="both"/>
        <w:outlineLvl w:val="2"/>
      </w:pPr>
      <w:r>
        <w:rPr>
          <w:rFonts w:ascii="黑体" w:hAnsi="黑体" w:eastAsia="黑体"/>
          <w:sz w:val="32"/>
        </w:rPr>
        <w:t>二、机构设置及人员情况</w:t>
      </w:r>
    </w:p>
    <w:p w14:paraId="375717D9">
      <w:pPr>
        <w:spacing w:line="580" w:lineRule="exact"/>
        <w:ind w:firstLine="640"/>
        <w:jc w:val="both"/>
      </w:pPr>
      <w:r>
        <w:rPr>
          <w:rFonts w:ascii="仿宋_GB2312" w:hAnsi="仿宋_GB2312" w:eastAsia="仿宋_GB2312"/>
          <w:sz w:val="32"/>
        </w:rPr>
        <w:t>喀什地区计量检定所2024年度，实有人数41人，其中：在职人员27人，增加2人；离休人员0人，增加0人；退休人员14人,增加0人。</w:t>
      </w:r>
    </w:p>
    <w:p w14:paraId="75AD17A7">
      <w:pPr>
        <w:spacing w:line="580" w:lineRule="exact"/>
        <w:ind w:firstLine="640"/>
        <w:jc w:val="both"/>
      </w:pPr>
      <w:r>
        <w:rPr>
          <w:rFonts w:ascii="仿宋_GB2312" w:hAnsi="仿宋_GB2312" w:eastAsia="仿宋_GB2312"/>
          <w:sz w:val="32"/>
        </w:rPr>
        <w:t>喀什地区计量检定所无下属预算单位，下设6个科室，分别是：业务室、办公室、食品及工业计量中心、医疗卫生专业计量中心、民生计量检测中心、石油化工专业计量中心。</w:t>
      </w:r>
    </w:p>
    <w:p w14:paraId="2BAEFA64">
      <w:r>
        <w:br w:type="page"/>
      </w:r>
    </w:p>
    <w:p w14:paraId="25876D16">
      <w:pPr>
        <w:spacing w:line="240" w:lineRule="auto"/>
        <w:jc w:val="center"/>
        <w:outlineLvl w:val="1"/>
      </w:pPr>
      <w:r>
        <w:rPr>
          <w:rFonts w:ascii="黑体" w:hAnsi="黑体" w:eastAsia="黑体"/>
          <w:sz w:val="32"/>
        </w:rPr>
        <w:t>第二部分 部门决算情况说明</w:t>
      </w:r>
    </w:p>
    <w:p w14:paraId="0EFF62B7">
      <w:pPr>
        <w:spacing w:line="640" w:lineRule="exact"/>
        <w:ind w:firstLine="640"/>
        <w:jc w:val="both"/>
        <w:outlineLvl w:val="2"/>
      </w:pPr>
      <w:r>
        <w:rPr>
          <w:rFonts w:ascii="黑体" w:hAnsi="黑体" w:eastAsia="黑体"/>
          <w:sz w:val="32"/>
        </w:rPr>
        <w:t>一、收入支出决算总体情况说明</w:t>
      </w:r>
    </w:p>
    <w:p w14:paraId="62A20CD6">
      <w:pPr>
        <w:spacing w:line="580" w:lineRule="exact"/>
        <w:ind w:firstLine="640"/>
        <w:jc w:val="both"/>
      </w:pPr>
      <w:r>
        <w:rPr>
          <w:rFonts w:ascii="仿宋_GB2312" w:hAnsi="仿宋_GB2312" w:eastAsia="仿宋_GB2312"/>
          <w:b/>
          <w:sz w:val="32"/>
        </w:rPr>
        <w:t>2024年度收入总计803.63万元，</w:t>
      </w:r>
      <w:r>
        <w:rPr>
          <w:rFonts w:ascii="仿宋_GB2312" w:hAnsi="仿宋_GB2312" w:eastAsia="仿宋_GB2312"/>
          <w:b w:val="0"/>
          <w:sz w:val="32"/>
        </w:rPr>
        <w:t>其中：本年收入合计779.63万元，使用非财政拨款结余（含专用结余）0.00万元，年初结转和结余24.00万元。</w:t>
      </w:r>
    </w:p>
    <w:p w14:paraId="4DC0E3CF">
      <w:pPr>
        <w:spacing w:line="580" w:lineRule="exact"/>
        <w:ind w:firstLine="640"/>
        <w:jc w:val="both"/>
      </w:pPr>
      <w:r>
        <w:rPr>
          <w:rFonts w:ascii="仿宋_GB2312" w:hAnsi="仿宋_GB2312" w:eastAsia="仿宋_GB2312"/>
          <w:b/>
          <w:sz w:val="32"/>
        </w:rPr>
        <w:t>2024年度支出总计803.63万元，</w:t>
      </w:r>
      <w:r>
        <w:rPr>
          <w:rFonts w:ascii="仿宋_GB2312" w:hAnsi="仿宋_GB2312" w:eastAsia="仿宋_GB2312"/>
          <w:b w:val="0"/>
          <w:sz w:val="32"/>
        </w:rPr>
        <w:t>其中：本年支出合计803.63万元，结余分配0.00万元，年末结转和结余0.00万元。</w:t>
      </w:r>
    </w:p>
    <w:p w14:paraId="7338C893">
      <w:pPr>
        <w:spacing w:line="580" w:lineRule="exact"/>
        <w:ind w:firstLine="640"/>
        <w:jc w:val="both"/>
      </w:pPr>
      <w:r>
        <w:rPr>
          <w:rFonts w:ascii="仿宋_GB2312" w:hAnsi="仿宋_GB2312" w:eastAsia="仿宋_GB2312"/>
          <w:b w:val="0"/>
          <w:sz w:val="32"/>
        </w:rPr>
        <w:t>收入支出总体与上年相比，减少32.80万元，下降3.92%，主要原因是：本年减少</w:t>
      </w:r>
      <w:r>
        <w:rPr>
          <w:rFonts w:hint="eastAsia" w:ascii="仿宋_GB2312" w:hAnsi="仿宋_GB2312" w:eastAsia="仿宋_GB2312"/>
          <w:b w:val="0"/>
          <w:sz w:val="32"/>
        </w:rPr>
        <w:t>山东援疆资金，民生领域计量专用设备购置项目</w:t>
      </w:r>
      <w:r>
        <w:rPr>
          <w:rFonts w:ascii="仿宋_GB2312" w:hAnsi="仿宋_GB2312" w:eastAsia="仿宋_GB2312"/>
          <w:b w:val="0"/>
          <w:sz w:val="32"/>
        </w:rPr>
        <w:t>，导致经费较上年减少。</w:t>
      </w:r>
    </w:p>
    <w:p w14:paraId="4622AB8B">
      <w:pPr>
        <w:spacing w:line="640" w:lineRule="exact"/>
        <w:ind w:firstLine="640"/>
        <w:jc w:val="both"/>
        <w:outlineLvl w:val="2"/>
      </w:pPr>
      <w:r>
        <w:rPr>
          <w:rFonts w:ascii="黑体" w:hAnsi="黑体" w:eastAsia="黑体"/>
          <w:sz w:val="32"/>
        </w:rPr>
        <w:t>二、收入决算情况说明</w:t>
      </w:r>
    </w:p>
    <w:p w14:paraId="56C82FA9">
      <w:pPr>
        <w:spacing w:line="580" w:lineRule="exact"/>
        <w:ind w:firstLine="640"/>
        <w:jc w:val="both"/>
      </w:pPr>
      <w:r>
        <w:rPr>
          <w:rFonts w:ascii="仿宋_GB2312" w:hAnsi="仿宋_GB2312" w:eastAsia="仿宋_GB2312"/>
          <w:b/>
          <w:sz w:val="32"/>
        </w:rPr>
        <w:t>本年收入779.63万元，</w:t>
      </w:r>
      <w:r>
        <w:rPr>
          <w:rFonts w:ascii="仿宋_GB2312" w:hAnsi="仿宋_GB2312" w:eastAsia="仿宋_GB2312"/>
          <w:b w:val="0"/>
          <w:sz w:val="32"/>
        </w:rPr>
        <w:t>其中：财政拨款收入583.63万元，占74.86%；上级补助收入0.00万元，占0.00%；事业收入170.00万元，占21.81%；经营收入0.00万元，占0.00%；附属单位上缴收入0.00万元，占0.00%；其他收入26.00万元，占3.33%。</w:t>
      </w:r>
    </w:p>
    <w:p w14:paraId="052E4E58">
      <w:pPr>
        <w:spacing w:line="640" w:lineRule="exact"/>
        <w:ind w:firstLine="640"/>
        <w:jc w:val="both"/>
        <w:outlineLvl w:val="2"/>
      </w:pPr>
      <w:r>
        <w:rPr>
          <w:rFonts w:ascii="黑体" w:hAnsi="黑体" w:eastAsia="黑体"/>
          <w:sz w:val="32"/>
        </w:rPr>
        <w:t>三、支出决算情况说明</w:t>
      </w:r>
    </w:p>
    <w:p w14:paraId="4180E316">
      <w:pPr>
        <w:spacing w:line="580" w:lineRule="exact"/>
        <w:ind w:firstLine="640"/>
        <w:jc w:val="both"/>
      </w:pPr>
      <w:r>
        <w:rPr>
          <w:rFonts w:ascii="仿宋_GB2312" w:hAnsi="仿宋_GB2312" w:eastAsia="仿宋_GB2312"/>
          <w:b/>
          <w:sz w:val="32"/>
        </w:rPr>
        <w:t>本年支出803.63万元，</w:t>
      </w:r>
      <w:r>
        <w:rPr>
          <w:rFonts w:ascii="仿宋_GB2312" w:hAnsi="仿宋_GB2312" w:eastAsia="仿宋_GB2312"/>
          <w:b w:val="0"/>
          <w:sz w:val="32"/>
        </w:rPr>
        <w:t>其中：基本支出633.88万元，占78.88%；项目支出169.75万元，占21.12%；上缴上级支出0.00万元，占0.00%；经营支出0.00万元，占0.00%；对附属单位补助支出0.00万元，占0.00%。</w:t>
      </w:r>
    </w:p>
    <w:p w14:paraId="01F9F85F">
      <w:pPr>
        <w:spacing w:line="640" w:lineRule="exact"/>
        <w:ind w:firstLine="640"/>
        <w:jc w:val="both"/>
        <w:outlineLvl w:val="2"/>
      </w:pPr>
      <w:r>
        <w:rPr>
          <w:rFonts w:ascii="黑体" w:hAnsi="黑体" w:eastAsia="黑体"/>
          <w:sz w:val="32"/>
        </w:rPr>
        <w:t>四、财政拨款收入支出决算总体情况说明</w:t>
      </w:r>
    </w:p>
    <w:p w14:paraId="7606DA0F">
      <w:pPr>
        <w:spacing w:line="580" w:lineRule="exact"/>
        <w:ind w:firstLine="640"/>
        <w:jc w:val="both"/>
      </w:pPr>
      <w:r>
        <w:rPr>
          <w:rFonts w:ascii="仿宋_GB2312" w:hAnsi="仿宋_GB2312" w:eastAsia="仿宋_GB2312"/>
          <w:b/>
          <w:sz w:val="32"/>
        </w:rPr>
        <w:t>2024年度财政拨款收入总计583.63万元，</w:t>
      </w:r>
      <w:r>
        <w:rPr>
          <w:rFonts w:ascii="仿宋_GB2312" w:hAnsi="仿宋_GB2312" w:eastAsia="仿宋_GB2312"/>
          <w:b w:val="0"/>
          <w:sz w:val="32"/>
        </w:rPr>
        <w:t>其中：年初财政拨款结转和结余0.00万元，本年财政拨款收入583.63万元。</w:t>
      </w:r>
      <w:r>
        <w:rPr>
          <w:rFonts w:ascii="仿宋_GB2312" w:hAnsi="仿宋_GB2312" w:eastAsia="仿宋_GB2312"/>
          <w:b/>
          <w:sz w:val="32"/>
        </w:rPr>
        <w:t>财政拨款支出总计583.63万元，</w:t>
      </w:r>
      <w:r>
        <w:rPr>
          <w:rFonts w:ascii="仿宋_GB2312" w:hAnsi="仿宋_GB2312" w:eastAsia="仿宋_GB2312"/>
          <w:b w:val="0"/>
          <w:sz w:val="32"/>
        </w:rPr>
        <w:t>其中：年末财政拨款结转和结余0.00万元，本年财政拨款支出583.63万元。</w:t>
      </w:r>
    </w:p>
    <w:p w14:paraId="4D37B8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减少20.93万元，下降3.46%，主要原因是：本年在职转退休一人，导致相关人员经费减少。</w:t>
      </w:r>
      <w:r>
        <w:rPr>
          <w:rFonts w:ascii="仿宋_GB2312" w:hAnsi="仿宋_GB2312" w:eastAsia="仿宋_GB2312"/>
          <w:b/>
          <w:sz w:val="32"/>
        </w:rPr>
        <w:t>与年初预算相比，</w:t>
      </w:r>
      <w:r>
        <w:rPr>
          <w:rFonts w:ascii="仿宋_GB2312" w:hAnsi="仿宋_GB2312" w:eastAsia="仿宋_GB2312"/>
          <w:b w:val="0"/>
          <w:sz w:val="32"/>
        </w:rPr>
        <w:t>年初预算数541.71万元，决算数583.63万元，预决算差异率7.74%，主要原因是：本年度在职员工调薪，工资</w:t>
      </w:r>
      <w:r>
        <w:rPr>
          <w:rFonts w:hint="eastAsia" w:ascii="仿宋_GB2312" w:hAnsi="仿宋_GB2312" w:eastAsia="仿宋_GB2312"/>
          <w:b w:val="0"/>
          <w:sz w:val="32"/>
          <w:lang w:val="en-US" w:eastAsia="zh-CN"/>
        </w:rPr>
        <w:t>、</w:t>
      </w:r>
      <w:r>
        <w:rPr>
          <w:rFonts w:ascii="仿宋_GB2312" w:hAnsi="仿宋_GB2312" w:eastAsia="仿宋_GB2312"/>
          <w:b w:val="0"/>
          <w:sz w:val="32"/>
        </w:rPr>
        <w:t>社保</w:t>
      </w:r>
      <w:r>
        <w:rPr>
          <w:rFonts w:hint="eastAsia" w:ascii="仿宋_GB2312" w:hAnsi="仿宋_GB2312" w:eastAsia="仿宋_GB2312"/>
          <w:b w:val="0"/>
          <w:sz w:val="32"/>
          <w:lang w:eastAsia="zh-CN"/>
        </w:rPr>
        <w:t>、</w:t>
      </w:r>
      <w:r>
        <w:rPr>
          <w:rFonts w:ascii="仿宋_GB2312" w:hAnsi="仿宋_GB2312" w:eastAsia="仿宋_GB2312"/>
          <w:b w:val="0"/>
          <w:sz w:val="32"/>
        </w:rPr>
        <w:t>公积金等相关人员经费增加，年中追加了退休人员丧葬补贴经费，导致预决算存在差异。</w:t>
      </w:r>
    </w:p>
    <w:p w14:paraId="37F5319A">
      <w:pPr>
        <w:spacing w:line="640" w:lineRule="exact"/>
        <w:ind w:firstLine="640"/>
        <w:jc w:val="both"/>
        <w:outlineLvl w:val="2"/>
      </w:pPr>
      <w:r>
        <w:rPr>
          <w:rFonts w:ascii="黑体" w:hAnsi="黑体" w:eastAsia="黑体"/>
          <w:sz w:val="32"/>
        </w:rPr>
        <w:t>五、一般公共预算财政拨款支出决算情况说明</w:t>
      </w:r>
    </w:p>
    <w:p w14:paraId="0E7AEAA5">
      <w:pPr>
        <w:spacing w:line="640" w:lineRule="exact"/>
        <w:ind w:firstLine="640"/>
        <w:jc w:val="both"/>
        <w:outlineLvl w:val="3"/>
      </w:pPr>
      <w:r>
        <w:rPr>
          <w:rFonts w:ascii="楷体_GB2312" w:hAnsi="楷体_GB2312" w:eastAsia="楷体_GB2312"/>
          <w:b/>
          <w:sz w:val="32"/>
        </w:rPr>
        <w:t>（一）一般公共预算财政拨款支出决算总体情况</w:t>
      </w:r>
    </w:p>
    <w:p w14:paraId="76DCB54B">
      <w:pPr>
        <w:spacing w:line="580" w:lineRule="exact"/>
        <w:ind w:firstLine="640"/>
        <w:jc w:val="both"/>
      </w:pPr>
      <w:r>
        <w:rPr>
          <w:rFonts w:ascii="仿宋_GB2312" w:hAnsi="仿宋_GB2312" w:eastAsia="仿宋_GB2312"/>
          <w:b/>
          <w:sz w:val="32"/>
        </w:rPr>
        <w:t>2024年度一般公共预算财政拨款支出583.63万元，</w:t>
      </w:r>
      <w:r>
        <w:rPr>
          <w:rFonts w:ascii="仿宋_GB2312" w:hAnsi="仿宋_GB2312" w:eastAsia="仿宋_GB2312"/>
          <w:b w:val="0"/>
          <w:sz w:val="32"/>
        </w:rPr>
        <w:t>占本年支出合计的72.62%。</w:t>
      </w:r>
      <w:r>
        <w:rPr>
          <w:rFonts w:ascii="仿宋_GB2312" w:hAnsi="仿宋_GB2312" w:eastAsia="仿宋_GB2312"/>
          <w:b/>
          <w:sz w:val="32"/>
        </w:rPr>
        <w:t>与上年相比，</w:t>
      </w:r>
      <w:r>
        <w:rPr>
          <w:rFonts w:ascii="仿宋_GB2312" w:hAnsi="仿宋_GB2312" w:eastAsia="仿宋_GB2312"/>
          <w:b w:val="0"/>
          <w:sz w:val="32"/>
        </w:rPr>
        <w:t>减少20.93万元，下降3.46%，主要原因是：本年在职转退休一人，导致相关人员经费减少。</w:t>
      </w:r>
      <w:r>
        <w:rPr>
          <w:rFonts w:ascii="仿宋_GB2312" w:hAnsi="仿宋_GB2312" w:eastAsia="仿宋_GB2312"/>
          <w:b/>
          <w:sz w:val="32"/>
        </w:rPr>
        <w:t>与年初预算相比,</w:t>
      </w:r>
      <w:r>
        <w:rPr>
          <w:rFonts w:ascii="仿宋_GB2312" w:hAnsi="仿宋_GB2312" w:eastAsia="仿宋_GB2312"/>
          <w:b w:val="0"/>
          <w:sz w:val="32"/>
        </w:rPr>
        <w:t>年初预算数541.71万元，决算数583.63万元，预决算差异率7.74%，主要原因是：本年度在职员工调薪，工资</w:t>
      </w:r>
      <w:r>
        <w:rPr>
          <w:rFonts w:hint="eastAsia" w:ascii="仿宋_GB2312" w:hAnsi="仿宋_GB2312" w:eastAsia="仿宋_GB2312"/>
          <w:b w:val="0"/>
          <w:sz w:val="32"/>
          <w:lang w:eastAsia="zh-CN"/>
        </w:rPr>
        <w:t>、</w:t>
      </w:r>
      <w:r>
        <w:rPr>
          <w:rFonts w:ascii="仿宋_GB2312" w:hAnsi="仿宋_GB2312" w:eastAsia="仿宋_GB2312"/>
          <w:b w:val="0"/>
          <w:sz w:val="32"/>
        </w:rPr>
        <w:t>社保</w:t>
      </w:r>
      <w:r>
        <w:rPr>
          <w:rFonts w:hint="eastAsia" w:ascii="仿宋_GB2312" w:hAnsi="仿宋_GB2312" w:eastAsia="仿宋_GB2312"/>
          <w:b w:val="0"/>
          <w:sz w:val="32"/>
          <w:lang w:eastAsia="zh-CN"/>
        </w:rPr>
        <w:t>、</w:t>
      </w:r>
      <w:r>
        <w:rPr>
          <w:rFonts w:ascii="仿宋_GB2312" w:hAnsi="仿宋_GB2312" w:eastAsia="仿宋_GB2312"/>
          <w:b w:val="0"/>
          <w:sz w:val="32"/>
        </w:rPr>
        <w:t>公积金等相关人员经费增加，年中追加了退休人员丧葬补贴经费，导致预决算存在差异。</w:t>
      </w:r>
    </w:p>
    <w:p w14:paraId="7130501D">
      <w:pPr>
        <w:spacing w:line="640" w:lineRule="exact"/>
        <w:ind w:firstLine="640"/>
        <w:jc w:val="both"/>
        <w:outlineLvl w:val="3"/>
      </w:pPr>
      <w:r>
        <w:rPr>
          <w:rFonts w:ascii="楷体_GB2312" w:hAnsi="楷体_GB2312" w:eastAsia="楷体_GB2312"/>
          <w:b/>
          <w:sz w:val="32"/>
        </w:rPr>
        <w:t>（二）一般公共预算财政拨款支出决算结构情况</w:t>
      </w:r>
    </w:p>
    <w:p w14:paraId="596A6D76">
      <w:pPr>
        <w:spacing w:line="580" w:lineRule="exact"/>
        <w:ind w:firstLine="640"/>
        <w:jc w:val="both"/>
      </w:pPr>
      <w:r>
        <w:rPr>
          <w:rFonts w:ascii="仿宋_GB2312" w:hAnsi="仿宋_GB2312" w:eastAsia="仿宋_GB2312"/>
          <w:b w:val="0"/>
          <w:sz w:val="32"/>
        </w:rPr>
        <w:t>1.一般公共服务支出(类)428.82万元,占73.47%。</w:t>
      </w:r>
    </w:p>
    <w:p w14:paraId="0676E559">
      <w:pPr>
        <w:spacing w:line="580" w:lineRule="exact"/>
        <w:ind w:firstLine="640"/>
        <w:jc w:val="both"/>
      </w:pPr>
      <w:r>
        <w:rPr>
          <w:rFonts w:ascii="仿宋_GB2312" w:hAnsi="仿宋_GB2312" w:eastAsia="仿宋_GB2312"/>
          <w:b w:val="0"/>
          <w:sz w:val="32"/>
        </w:rPr>
        <w:t>2.社会保障和就业支出(类)89.47万元,占15.33%。</w:t>
      </w:r>
    </w:p>
    <w:p w14:paraId="3D2B871C">
      <w:pPr>
        <w:spacing w:line="580" w:lineRule="exact"/>
        <w:ind w:firstLine="640"/>
        <w:jc w:val="both"/>
      </w:pPr>
      <w:r>
        <w:rPr>
          <w:rFonts w:ascii="仿宋_GB2312" w:hAnsi="仿宋_GB2312" w:eastAsia="仿宋_GB2312"/>
          <w:b w:val="0"/>
          <w:sz w:val="32"/>
        </w:rPr>
        <w:t>3.卫生健康支出(类)21.74万元,占3.72%。</w:t>
      </w:r>
    </w:p>
    <w:p w14:paraId="39E64777">
      <w:pPr>
        <w:spacing w:line="580" w:lineRule="exact"/>
        <w:ind w:firstLine="640"/>
        <w:jc w:val="both"/>
      </w:pPr>
      <w:r>
        <w:rPr>
          <w:rFonts w:ascii="仿宋_GB2312" w:hAnsi="仿宋_GB2312" w:eastAsia="仿宋_GB2312"/>
          <w:b w:val="0"/>
          <w:sz w:val="32"/>
        </w:rPr>
        <w:t>4.住房保障支出(类)43.60万元,占7.47%。</w:t>
      </w:r>
    </w:p>
    <w:p w14:paraId="6020CC95">
      <w:pPr>
        <w:spacing w:line="640" w:lineRule="exact"/>
        <w:ind w:firstLine="640"/>
        <w:jc w:val="both"/>
        <w:outlineLvl w:val="3"/>
      </w:pPr>
      <w:r>
        <w:rPr>
          <w:rFonts w:ascii="楷体_GB2312" w:hAnsi="楷体_GB2312" w:eastAsia="楷体_GB2312"/>
          <w:b/>
          <w:sz w:val="32"/>
        </w:rPr>
        <w:t>（三）一般公共预算财政拨款支出决算具体情况</w:t>
      </w:r>
    </w:p>
    <w:p w14:paraId="3EC46863">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1.一般公共服务支出(类)统战事务(款)宗教事务(项):支出决算数为2.20万元，比上年决算增加2.20万元，增长100.00%,主要原因是：本年度增加</w:t>
      </w:r>
      <w:r>
        <w:rPr>
          <w:rFonts w:hint="eastAsia" w:ascii="仿宋_GB2312" w:hAnsi="仿宋_GB2312" w:eastAsia="仿宋_GB2312"/>
          <w:b w:val="0"/>
          <w:sz w:val="32"/>
          <w:lang w:val="en-US" w:eastAsia="zh-CN"/>
        </w:rPr>
        <w:t>生活补助</w:t>
      </w:r>
      <w:r>
        <w:rPr>
          <w:rFonts w:ascii="仿宋_GB2312" w:hAnsi="仿宋_GB2312" w:eastAsia="仿宋_GB2312"/>
          <w:b w:val="0"/>
          <w:sz w:val="32"/>
        </w:rPr>
        <w:t>，导致</w:t>
      </w:r>
      <w:r>
        <w:rPr>
          <w:rFonts w:hint="eastAsia" w:ascii="仿宋_GB2312" w:hAnsi="仿宋_GB2312" w:eastAsia="仿宋_GB2312"/>
          <w:b w:val="0"/>
          <w:sz w:val="32"/>
          <w:lang w:eastAsia="zh-CN"/>
        </w:rPr>
        <w:t>该科目支出较上年度</w:t>
      </w:r>
      <w:r>
        <w:rPr>
          <w:rFonts w:ascii="仿宋_GB2312" w:hAnsi="仿宋_GB2312" w:eastAsia="仿宋_GB2312"/>
          <w:b w:val="0"/>
          <w:sz w:val="32"/>
        </w:rPr>
        <w:t>增加。</w:t>
      </w:r>
    </w:p>
    <w:p w14:paraId="0A56AEF9">
      <w:pPr>
        <w:spacing w:line="580" w:lineRule="exact"/>
        <w:ind w:firstLine="640"/>
        <w:jc w:val="both"/>
      </w:pPr>
      <w:r>
        <w:rPr>
          <w:rFonts w:ascii="仿宋_GB2312" w:hAnsi="仿宋_GB2312" w:eastAsia="仿宋_GB2312"/>
          <w:b w:val="0"/>
          <w:sz w:val="32"/>
        </w:rPr>
        <w:t>2.一般公共服务支出(类)市场监督管理事务(款)事业运行(项):支出决算数为426.62万元，比上年决算减少34.63万元，下降7.51%,主要原因是：本年度一名在职人员转退休，导致资金较上年减少。</w:t>
      </w:r>
    </w:p>
    <w:p w14:paraId="2C9086D6">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3.社会保障和就业支出(类)行政事业单位养老支出(款)事业单位离退休(项):支出决算数为18.84万元，比上年决算增加5.32万元，增长39.35%,主要原因是：本年度有一名在职人员转退休，导致退休费比上年增加。</w:t>
      </w:r>
    </w:p>
    <w:p w14:paraId="249BE1DF">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51.16万元，比上年决算增加4.14万元，增长8.80%,主要原因是：本年在职人员增加，在职人员工资基数调增，养老缴费基数上涨，相应支出增加。</w:t>
      </w:r>
    </w:p>
    <w:p w14:paraId="225D159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7.95万元，比上年决算减少15.79万元，下降66.51%,主要原因是：本年新增退休人员较上年减少，职业年金缴费较上年减少。</w:t>
      </w:r>
    </w:p>
    <w:p w14:paraId="63AE4350">
      <w:pPr>
        <w:spacing w:line="580" w:lineRule="exact"/>
        <w:ind w:firstLine="640"/>
        <w:jc w:val="both"/>
      </w:pPr>
      <w:r>
        <w:rPr>
          <w:rFonts w:ascii="仿宋_GB2312" w:hAnsi="仿宋_GB2312" w:eastAsia="仿宋_GB2312"/>
          <w:b w:val="0"/>
          <w:sz w:val="32"/>
        </w:rPr>
        <w:t>6.社会保障和就业支出(类)抚恤(款)死亡抚恤(项):支出决算数为11.51万元，比上年决算增加11.51万元，增长100.00%,主要原因是：本年度有一名退休人员死亡及年中追加2022年度退休人员死亡的抚恤金，导致抚恤金增加。</w:t>
      </w:r>
    </w:p>
    <w:p w14:paraId="59FF3A2D">
      <w:pPr>
        <w:spacing w:line="580" w:lineRule="exact"/>
        <w:ind w:firstLine="640"/>
        <w:jc w:val="both"/>
      </w:pPr>
      <w:r>
        <w:rPr>
          <w:rFonts w:ascii="仿宋_GB2312" w:hAnsi="仿宋_GB2312" w:eastAsia="仿宋_GB2312"/>
          <w:b w:val="0"/>
          <w:sz w:val="32"/>
        </w:rPr>
        <w:t>7.卫生健康支出(类)行政事业单位医疗(款)事业单位医疗(项):支出决算数为21.74万元，比上年决算增加1.74万元，增长8.70%,主要原因是：本年在职人员增加，在职人员工资基数调增，医疗缴费基数上涨，相应支出增加。</w:t>
      </w:r>
    </w:p>
    <w:p w14:paraId="4FA0A7E5">
      <w:pPr>
        <w:spacing w:line="580" w:lineRule="exact"/>
        <w:ind w:firstLine="640"/>
        <w:jc w:val="both"/>
      </w:pPr>
      <w:r>
        <w:rPr>
          <w:rFonts w:ascii="仿宋_GB2312" w:hAnsi="仿宋_GB2312" w:eastAsia="仿宋_GB2312"/>
          <w:b w:val="0"/>
          <w:sz w:val="32"/>
        </w:rPr>
        <w:t>8.住房保障支出(类)住房改革支出(款)住房公积金(项):支出决算数为43.60万元，比上年决算增加4.57万元，增长11.71%,主要原因是：本年在职人员增加，在职人员工资基数调增，公积金缴费基数上涨，相应支出增加。</w:t>
      </w:r>
    </w:p>
    <w:p w14:paraId="62F762CB">
      <w:pPr>
        <w:spacing w:line="640" w:lineRule="exact"/>
        <w:ind w:firstLine="640"/>
        <w:jc w:val="both"/>
        <w:outlineLvl w:val="2"/>
      </w:pPr>
      <w:r>
        <w:rPr>
          <w:rFonts w:ascii="黑体" w:hAnsi="黑体" w:eastAsia="黑体"/>
          <w:sz w:val="32"/>
        </w:rPr>
        <w:t>六、一般公共预算财政拨款基本支出决算情况说明</w:t>
      </w:r>
    </w:p>
    <w:p w14:paraId="21223BB0">
      <w:pPr>
        <w:spacing w:line="580" w:lineRule="exact"/>
        <w:ind w:firstLine="640"/>
        <w:jc w:val="both"/>
      </w:pPr>
      <w:r>
        <w:rPr>
          <w:rFonts w:ascii="仿宋_GB2312" w:hAnsi="仿宋_GB2312" w:eastAsia="仿宋_GB2312"/>
          <w:b w:val="0"/>
          <w:sz w:val="32"/>
        </w:rPr>
        <w:t>2024年度一般公共预算财政拨款基本支出583.63万元，其中：</w:t>
      </w:r>
      <w:r>
        <w:rPr>
          <w:rFonts w:ascii="仿宋_GB2312" w:hAnsi="仿宋_GB2312" w:eastAsia="仿宋_GB2312"/>
          <w:b/>
          <w:sz w:val="32"/>
        </w:rPr>
        <w:t>人员经费551.27万元，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其他对个人和家庭的补助。</w:t>
      </w:r>
    </w:p>
    <w:p w14:paraId="3ABBC02D">
      <w:pPr>
        <w:spacing w:line="580" w:lineRule="exact"/>
        <w:ind w:firstLine="640"/>
        <w:jc w:val="both"/>
      </w:pPr>
      <w:r>
        <w:rPr>
          <w:rFonts w:ascii="仿宋_GB2312" w:hAnsi="仿宋_GB2312" w:eastAsia="仿宋_GB2312"/>
          <w:b/>
          <w:sz w:val="32"/>
        </w:rPr>
        <w:t>公用经费32.36万元，</w:t>
      </w:r>
      <w:r>
        <w:rPr>
          <w:rFonts w:ascii="仿宋_GB2312" w:hAnsi="仿宋_GB2312" w:eastAsia="仿宋_GB2312"/>
          <w:b w:val="0"/>
          <w:sz w:val="32"/>
        </w:rPr>
        <w:t>包括：办公费、水费、邮电费、取暖费、专用材料费、委托业务费、工会经费、公务用车运行维护费、其他交通费用、其他商品和服务支出。</w:t>
      </w:r>
    </w:p>
    <w:p w14:paraId="483B6A27">
      <w:pPr>
        <w:spacing w:line="640" w:lineRule="exact"/>
        <w:ind w:firstLine="640"/>
        <w:jc w:val="both"/>
        <w:outlineLvl w:val="2"/>
      </w:pPr>
      <w:r>
        <w:rPr>
          <w:rFonts w:ascii="黑体" w:hAnsi="黑体" w:eastAsia="黑体"/>
          <w:sz w:val="32"/>
        </w:rPr>
        <w:t>七、政府性基金预算财政拨款收入支出决算情况说明</w:t>
      </w:r>
    </w:p>
    <w:p w14:paraId="4CB9A01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46F1DB1">
      <w:pPr>
        <w:spacing w:line="640" w:lineRule="exact"/>
        <w:ind w:firstLine="640"/>
        <w:jc w:val="both"/>
        <w:outlineLvl w:val="2"/>
      </w:pPr>
      <w:r>
        <w:rPr>
          <w:rFonts w:ascii="黑体" w:hAnsi="黑体" w:eastAsia="黑体"/>
          <w:sz w:val="32"/>
        </w:rPr>
        <w:t>八、国有资本经营预算财政拨款收入支出决算情况说明</w:t>
      </w:r>
    </w:p>
    <w:p w14:paraId="1190789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5E30C18">
      <w:pPr>
        <w:spacing w:line="640" w:lineRule="exact"/>
        <w:ind w:firstLine="640"/>
        <w:jc w:val="both"/>
        <w:outlineLvl w:val="2"/>
      </w:pPr>
      <w:r>
        <w:rPr>
          <w:rFonts w:ascii="黑体" w:hAnsi="黑体" w:eastAsia="黑体"/>
          <w:sz w:val="32"/>
        </w:rPr>
        <w:t>九、财政拨款“三公”经费支出决算情况说明</w:t>
      </w:r>
    </w:p>
    <w:p w14:paraId="0C5E4F64">
      <w:pPr>
        <w:spacing w:line="580" w:lineRule="exact"/>
        <w:ind w:firstLine="640"/>
        <w:jc w:val="both"/>
      </w:pPr>
      <w:r>
        <w:rPr>
          <w:rFonts w:ascii="仿宋_GB2312" w:hAnsi="仿宋_GB2312" w:eastAsia="仿宋_GB2312"/>
          <w:b/>
          <w:sz w:val="32"/>
        </w:rPr>
        <w:t>2024年度财政拨款“三公”经费支出2.60万元，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本年度三公经费较上年无变化。其中：因公出国（境）费支出0.00万元，占0.00%，比上年增加0.00万元，增长0.00%，主要原因是：2023年与2024年均未安排因公出国（境）费支出。公务用车购置及运行维护费支出2.60万元，占100.00%，比上年增加0.00万元，增长0.00%，主要原因是：本部门公务用车维护费较上年无变化。公务接待费支出0.00万元，占0.00%，比上年增加0.00万元，增长0.00%，主要原因是：2023年与2024年均未安排公务接待费支出。</w:t>
      </w:r>
    </w:p>
    <w:p w14:paraId="71D3DC88">
      <w:pPr>
        <w:spacing w:line="580" w:lineRule="exact"/>
        <w:ind w:firstLine="640"/>
        <w:jc w:val="both"/>
      </w:pPr>
      <w:r>
        <w:rPr>
          <w:rFonts w:ascii="仿宋_GB2312" w:hAnsi="仿宋_GB2312" w:eastAsia="仿宋_GB2312"/>
          <w:b/>
          <w:sz w:val="32"/>
        </w:rPr>
        <w:t>具体情况如下：</w:t>
      </w:r>
    </w:p>
    <w:p w14:paraId="4985D3D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A5B953F">
      <w:pPr>
        <w:spacing w:line="580" w:lineRule="exact"/>
        <w:ind w:firstLine="640"/>
        <w:jc w:val="both"/>
      </w:pPr>
      <w:r>
        <w:rPr>
          <w:rFonts w:ascii="仿宋_GB2312" w:hAnsi="仿宋_GB2312" w:eastAsia="仿宋_GB2312"/>
          <w:b w:val="0"/>
          <w:sz w:val="32"/>
        </w:rPr>
        <w:t>公务用车购置及运行维护费2.60万元，其中：公务用车购置费0.00万元，公务用车运行维护费2.60万元。公务用车运行维护费开支内容包括车辆燃油费、保险费、维修维护费。公务用车购置数0辆，公务用车保有量2辆。国有资产占用情况中固定资产车辆2辆，与公务用车保有量差异原因是：本部门固定资产车辆与公务用车保有量一致无差异。</w:t>
      </w:r>
    </w:p>
    <w:p w14:paraId="153E5CB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608CA9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2.60万元，决算数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2.60万元，决算数2.60万元，预决算差异率0.00%，主要原因是：严格按照预算执行，预决算无差异。公务接待费全年预算数0.00万元，决算数0.00万元，预决算差异率0.00%，主要原因是：本部门无公务接待费。</w:t>
      </w:r>
    </w:p>
    <w:p w14:paraId="39C3C708">
      <w:pPr>
        <w:spacing w:line="640" w:lineRule="exact"/>
        <w:ind w:firstLine="640"/>
        <w:jc w:val="both"/>
        <w:outlineLvl w:val="2"/>
      </w:pPr>
      <w:r>
        <w:rPr>
          <w:rFonts w:ascii="黑体" w:hAnsi="黑体" w:eastAsia="黑体"/>
          <w:sz w:val="32"/>
        </w:rPr>
        <w:t>十、其他重要事项的情况说明</w:t>
      </w:r>
    </w:p>
    <w:p w14:paraId="739B34F3">
      <w:pPr>
        <w:spacing w:line="640" w:lineRule="exact"/>
        <w:ind w:firstLine="640"/>
        <w:jc w:val="both"/>
        <w:outlineLvl w:val="3"/>
      </w:pPr>
      <w:r>
        <w:rPr>
          <w:rFonts w:ascii="楷体_GB2312" w:hAnsi="楷体_GB2312" w:eastAsia="楷体_GB2312"/>
          <w:b/>
          <w:sz w:val="32"/>
        </w:rPr>
        <w:t>（一）机关运行经费及公用经费支出情况</w:t>
      </w:r>
    </w:p>
    <w:p w14:paraId="6D58DBE1">
      <w:pPr>
        <w:spacing w:line="580" w:lineRule="exact"/>
        <w:ind w:firstLine="640"/>
        <w:jc w:val="both"/>
      </w:pPr>
      <w:r>
        <w:rPr>
          <w:rFonts w:ascii="仿宋_GB2312" w:hAnsi="仿宋_GB2312" w:eastAsia="仿宋_GB2312"/>
          <w:b w:val="0"/>
          <w:sz w:val="32"/>
        </w:rPr>
        <w:t>2024年度喀什地区计量检定所（事业单位）公用经费支出32.36万元，比上年增加8.02万元，增长32.95%，主要原因是：本年度增加了办公费、差旅费等经费的支出，导致比上年经费</w:t>
      </w:r>
      <w:r>
        <w:rPr>
          <w:rFonts w:hint="eastAsia" w:ascii="仿宋_GB2312" w:hAnsi="仿宋_GB2312" w:eastAsia="仿宋_GB2312"/>
          <w:b w:val="0"/>
          <w:sz w:val="32"/>
          <w:lang w:eastAsia="zh-CN"/>
        </w:rPr>
        <w:t>有所增加</w:t>
      </w:r>
      <w:r>
        <w:rPr>
          <w:rFonts w:ascii="仿宋_GB2312" w:hAnsi="仿宋_GB2312" w:eastAsia="仿宋_GB2312"/>
          <w:b w:val="0"/>
          <w:sz w:val="32"/>
        </w:rPr>
        <w:t>。</w:t>
      </w:r>
    </w:p>
    <w:p w14:paraId="2663D349">
      <w:pPr>
        <w:spacing w:line="640" w:lineRule="exact"/>
        <w:ind w:firstLine="640"/>
        <w:jc w:val="both"/>
        <w:outlineLvl w:val="3"/>
      </w:pPr>
      <w:r>
        <w:rPr>
          <w:rFonts w:ascii="楷体_GB2312" w:hAnsi="楷体_GB2312" w:eastAsia="楷体_GB2312"/>
          <w:b/>
          <w:sz w:val="32"/>
        </w:rPr>
        <w:t>（二）政府采购情况</w:t>
      </w:r>
    </w:p>
    <w:p w14:paraId="29F1E45A">
      <w:pPr>
        <w:spacing w:line="580" w:lineRule="exact"/>
        <w:ind w:firstLine="640"/>
        <w:jc w:val="both"/>
      </w:pPr>
      <w:r>
        <w:rPr>
          <w:rFonts w:ascii="仿宋_GB2312" w:hAnsi="仿宋_GB2312" w:eastAsia="仿宋_GB2312"/>
          <w:b w:val="0"/>
          <w:sz w:val="32"/>
        </w:rPr>
        <w:t>2024年度政府采购支出总额100.28万元，其中：政府采购货物支出99.80万元、政府采购工程支出0.00万元、政府采购服务支出0.48万元。</w:t>
      </w:r>
    </w:p>
    <w:p w14:paraId="55888B11">
      <w:pPr>
        <w:spacing w:line="580" w:lineRule="exact"/>
        <w:ind w:firstLine="640"/>
        <w:jc w:val="both"/>
      </w:pPr>
      <w:r>
        <w:rPr>
          <w:rFonts w:ascii="仿宋_GB2312" w:hAnsi="仿宋_GB2312" w:eastAsia="仿宋_GB2312"/>
          <w:b w:val="0"/>
          <w:sz w:val="32"/>
        </w:rPr>
        <w:t>授予中小企业合同金额100.28万元，占政府采购支出总额的100.00%，其中：授予小微企业合同金额100.28万元，占政府采购支出总额的100.00%。</w:t>
      </w:r>
    </w:p>
    <w:p w14:paraId="140441F0">
      <w:pPr>
        <w:spacing w:line="640" w:lineRule="exact"/>
        <w:ind w:firstLine="640"/>
        <w:jc w:val="both"/>
        <w:outlineLvl w:val="3"/>
      </w:pPr>
      <w:r>
        <w:rPr>
          <w:rFonts w:ascii="楷体_GB2312" w:hAnsi="楷体_GB2312" w:eastAsia="楷体_GB2312"/>
          <w:b/>
          <w:sz w:val="32"/>
        </w:rPr>
        <w:t>（三）国有资产占用情况说明</w:t>
      </w:r>
    </w:p>
    <w:p w14:paraId="7B417B72">
      <w:pPr>
        <w:spacing w:line="580" w:lineRule="exact"/>
        <w:ind w:firstLine="640"/>
        <w:jc w:val="both"/>
      </w:pPr>
      <w:r>
        <w:rPr>
          <w:rFonts w:ascii="仿宋_GB2312" w:hAnsi="仿宋_GB2312" w:eastAsia="仿宋_GB2312"/>
          <w:b w:val="0"/>
          <w:sz w:val="32"/>
        </w:rPr>
        <w:t>截至2024年12月31日，房屋5,005.65平方米，价值1,714.80万元。车辆2辆，价值61.97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4E1DA0B5">
      <w:pPr>
        <w:spacing w:line="640" w:lineRule="exact"/>
        <w:ind w:firstLine="640"/>
        <w:jc w:val="both"/>
        <w:outlineLvl w:val="2"/>
      </w:pPr>
      <w:r>
        <w:rPr>
          <w:rFonts w:ascii="黑体" w:hAnsi="黑体" w:eastAsia="黑体"/>
          <w:sz w:val="32"/>
        </w:rPr>
        <w:t>十一、预算绩效的情况说明</w:t>
      </w:r>
    </w:p>
    <w:p w14:paraId="38CE247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803.63万元，实际执行总额803.63万元；预算绩效评价项目4个，全年预算数169.75万元，全年执行数169.75万元。预算绩效管理取得的成效：一是加强管理，严格按照体系管理文件进行管理并执行，顺利完成本项目。二是加强组织领导，落实责任，确保专人</w:t>
      </w:r>
      <w:r>
        <w:rPr>
          <w:rFonts w:hint="eastAsia" w:ascii="仿宋_GB2312" w:hAnsi="仿宋_GB2312" w:eastAsia="仿宋_GB2312"/>
          <w:b w:val="0"/>
          <w:sz w:val="32"/>
          <w:lang w:eastAsia="zh-CN"/>
        </w:rPr>
        <w:t>专岗</w:t>
      </w:r>
      <w:r>
        <w:rPr>
          <w:rFonts w:ascii="仿宋_GB2312" w:hAnsi="仿宋_GB2312" w:eastAsia="仿宋_GB2312"/>
          <w:b w:val="0"/>
          <w:sz w:val="32"/>
        </w:rPr>
        <w:t>开展本项目绩效评价工作，从项目管理到资金管理，均能够很好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动态监管，定期向领导汇报项目资金支付进度，加强与供应商的沟通，确保本年度计量检验工作顺利完成。发现的问题及原因：在执行预算绩效管理环节中要根据单位实际情况制定管理办法，通过科学合理的预算管理办法来提高绩效实现的效率。下一步改进措施：一是建立和完善绩效评价体系，优化指标体系和评价标准，结合工作实际，科学合理</w:t>
      </w:r>
      <w:r>
        <w:rPr>
          <w:rFonts w:hint="eastAsia" w:ascii="仿宋_GB2312" w:hAnsi="仿宋_GB2312" w:eastAsia="仿宋_GB2312"/>
          <w:b w:val="0"/>
          <w:sz w:val="32"/>
          <w:lang w:eastAsia="zh-CN"/>
        </w:rPr>
        <w:t>地</w:t>
      </w:r>
      <w:r>
        <w:rPr>
          <w:rFonts w:ascii="仿宋_GB2312" w:hAnsi="仿宋_GB2312" w:eastAsia="仿宋_GB2312"/>
          <w:b w:val="0"/>
          <w:sz w:val="32"/>
        </w:rPr>
        <w:t>设置绩效指标。二是提高绩效评价工作重要性的认识，对绩效评价工作人员，进行专业化培训，提高对绩效评价体系的理解和认识。具体附部门整体支出绩效自评表，项目支出绩效自评表和部门评价报告。</w:t>
      </w:r>
    </w:p>
    <w:p w14:paraId="59F8084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F02FF6">
        <w:tblPrEx>
          <w:tblCellMar>
            <w:top w:w="0" w:type="dxa"/>
            <w:left w:w="108" w:type="dxa"/>
            <w:bottom w:w="0" w:type="dxa"/>
            <w:right w:w="108" w:type="dxa"/>
          </w:tblCellMar>
        </w:tblPrEx>
        <w:tc>
          <w:tcPr>
            <w:tcW w:w="8847" w:type="dxa"/>
            <w:gridSpan w:val="9"/>
            <w:vAlign w:val="center"/>
          </w:tcPr>
          <w:p w14:paraId="3AED759D">
            <w:pPr>
              <w:jc w:val="center"/>
            </w:pPr>
            <w:r>
              <w:rPr>
                <w:rFonts w:ascii="宋体" w:hAnsi="宋体" w:eastAsia="宋体"/>
                <w:sz w:val="24"/>
              </w:rPr>
              <w:t>部门整体支出绩效自评表</w:t>
            </w:r>
          </w:p>
        </w:tc>
      </w:tr>
      <w:tr w14:paraId="0A0E2A89">
        <w:tblPrEx>
          <w:tblCellMar>
            <w:top w:w="0" w:type="dxa"/>
            <w:left w:w="108" w:type="dxa"/>
            <w:bottom w:w="0" w:type="dxa"/>
            <w:right w:w="108" w:type="dxa"/>
          </w:tblCellMar>
        </w:tblPrEx>
        <w:tc>
          <w:tcPr>
            <w:tcW w:w="8847" w:type="dxa"/>
            <w:gridSpan w:val="9"/>
            <w:vAlign w:val="center"/>
          </w:tcPr>
          <w:p w14:paraId="19FE266E">
            <w:pPr>
              <w:jc w:val="center"/>
            </w:pPr>
            <w:r>
              <w:rPr>
                <w:rFonts w:ascii="宋体" w:hAnsi="宋体" w:eastAsia="宋体"/>
                <w:sz w:val="24"/>
              </w:rPr>
              <w:t>（2024年度）</w:t>
            </w:r>
          </w:p>
        </w:tc>
      </w:tr>
      <w:tr w14:paraId="3245AD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D77C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F95262">
            <w:pPr>
              <w:jc w:val="center"/>
            </w:pPr>
            <w:r>
              <w:rPr>
                <w:rFonts w:ascii="宋体" w:hAnsi="宋体" w:eastAsia="宋体"/>
                <w:sz w:val="16"/>
              </w:rPr>
              <w:t>喀什地区计量检定所</w:t>
            </w:r>
          </w:p>
        </w:tc>
      </w:tr>
      <w:tr w14:paraId="03335D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60C6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F5A0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2A92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4E02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0792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679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DC5A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79E41">
            <w:pPr>
              <w:jc w:val="center"/>
            </w:pPr>
            <w:r>
              <w:rPr>
                <w:rFonts w:ascii="宋体" w:hAnsi="宋体" w:eastAsia="宋体"/>
                <w:sz w:val="16"/>
              </w:rPr>
              <w:t>得分</w:t>
            </w:r>
          </w:p>
        </w:tc>
      </w:tr>
      <w:tr w14:paraId="7445AB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45F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5AA6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3AA80">
            <w:pPr>
              <w:jc w:val="center"/>
            </w:pPr>
            <w:r>
              <w:rPr>
                <w:rFonts w:ascii="宋体" w:hAnsi="宋体" w:eastAsia="宋体"/>
                <w:sz w:val="16"/>
              </w:rPr>
              <w:t>735.71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68FC2">
            <w:pPr>
              <w:jc w:val="center"/>
            </w:pPr>
            <w:r>
              <w:rPr>
                <w:rFonts w:ascii="宋体" w:hAnsi="宋体" w:eastAsia="宋体"/>
                <w:sz w:val="16"/>
              </w:rPr>
              <w:t>803.63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2E69E">
            <w:pPr>
              <w:jc w:val="center"/>
            </w:pPr>
            <w:r>
              <w:rPr>
                <w:rFonts w:ascii="宋体" w:hAnsi="宋体" w:eastAsia="宋体"/>
                <w:sz w:val="16"/>
              </w:rPr>
              <w:t>803.63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6C9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21FCD">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D295">
            <w:pPr>
              <w:jc w:val="center"/>
            </w:pPr>
            <w:r>
              <w:rPr>
                <w:rFonts w:ascii="宋体" w:hAnsi="宋体" w:eastAsia="宋体"/>
                <w:sz w:val="16"/>
              </w:rPr>
              <w:t>10</w:t>
            </w:r>
          </w:p>
        </w:tc>
      </w:tr>
      <w:tr w14:paraId="0C462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6F7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13CD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46FE1">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ED4B1">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8948A">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D82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697E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382A5">
            <w:pPr>
              <w:jc w:val="center"/>
            </w:pPr>
            <w:r>
              <w:rPr>
                <w:rFonts w:ascii="宋体" w:hAnsi="宋体" w:eastAsia="宋体"/>
                <w:sz w:val="16"/>
              </w:rPr>
              <w:t>—</w:t>
            </w:r>
          </w:p>
        </w:tc>
      </w:tr>
      <w:tr w14:paraId="5F3E4E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092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FC40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7D85A">
            <w:pPr>
              <w:jc w:val="center"/>
            </w:pPr>
            <w:r>
              <w:rPr>
                <w:rFonts w:ascii="宋体" w:hAnsi="宋体" w:eastAsia="宋体"/>
                <w:sz w:val="16"/>
              </w:rPr>
              <w:t>539.51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36806">
            <w:pPr>
              <w:jc w:val="center"/>
            </w:pPr>
            <w:r>
              <w:rPr>
                <w:rFonts w:ascii="宋体" w:hAnsi="宋体" w:eastAsia="宋体"/>
                <w:sz w:val="16"/>
              </w:rPr>
              <w:t>631.68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65119">
            <w:pPr>
              <w:jc w:val="center"/>
            </w:pPr>
            <w:r>
              <w:rPr>
                <w:rFonts w:ascii="宋体" w:hAnsi="宋体" w:eastAsia="宋体"/>
                <w:sz w:val="16"/>
              </w:rPr>
              <w:t>631.68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10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B626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D8708">
            <w:pPr>
              <w:jc w:val="center"/>
            </w:pPr>
            <w:r>
              <w:rPr>
                <w:rFonts w:ascii="宋体" w:hAnsi="宋体" w:eastAsia="宋体"/>
                <w:sz w:val="16"/>
              </w:rPr>
              <w:t>—</w:t>
            </w:r>
          </w:p>
        </w:tc>
      </w:tr>
      <w:tr w14:paraId="6AE78B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687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210B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43CB">
            <w:pPr>
              <w:jc w:val="center"/>
            </w:pPr>
            <w:r>
              <w:rPr>
                <w:rFonts w:ascii="宋体" w:hAnsi="宋体" w:eastAsia="宋体"/>
                <w:sz w:val="16"/>
              </w:rPr>
              <w:t>194.00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9DF1E">
            <w:pPr>
              <w:jc w:val="center"/>
            </w:pPr>
            <w:r>
              <w:rPr>
                <w:rFonts w:ascii="宋体" w:hAnsi="宋体" w:eastAsia="宋体"/>
                <w:sz w:val="16"/>
              </w:rPr>
              <w:t>169.75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0917D">
            <w:pPr>
              <w:jc w:val="center"/>
            </w:pPr>
            <w:r>
              <w:rPr>
                <w:rFonts w:ascii="宋体" w:hAnsi="宋体" w:eastAsia="宋体"/>
                <w:sz w:val="16"/>
              </w:rPr>
              <w:t>169.75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6C1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7B14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AF7C3">
            <w:pPr>
              <w:jc w:val="center"/>
            </w:pPr>
            <w:r>
              <w:rPr>
                <w:rFonts w:ascii="宋体" w:hAnsi="宋体" w:eastAsia="宋体"/>
                <w:sz w:val="16"/>
              </w:rPr>
              <w:t>—</w:t>
            </w:r>
          </w:p>
        </w:tc>
      </w:tr>
      <w:tr w14:paraId="24ECB0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9231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DDCEF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E18094">
            <w:pPr>
              <w:jc w:val="center"/>
            </w:pPr>
            <w:r>
              <w:rPr>
                <w:rFonts w:ascii="宋体" w:hAnsi="宋体" w:eastAsia="宋体"/>
                <w:sz w:val="16"/>
              </w:rPr>
              <w:t>实际完成情况</w:t>
            </w:r>
          </w:p>
        </w:tc>
      </w:tr>
      <w:tr w14:paraId="40BE8F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A9DDD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D6007F">
            <w:pPr>
              <w:jc w:val="both"/>
            </w:pPr>
            <w:r>
              <w:rPr>
                <w:rFonts w:ascii="宋体" w:hAnsi="宋体" w:eastAsia="宋体"/>
                <w:sz w:val="16"/>
              </w:rPr>
              <w:t>开展全地区计量检定工作；持续提升计量创新能力，按照国务院及自治区《计量发展规划2021-2035年》精神，进一步完善管理体系，加强内部质量管理，加快装备投入力度，完善检测服务手段，强化计量技术服务理念，推进法制计量检测体系建设保障全地区计量数据准确可溯源，完成强制检定计量器具突破2.5万台件；经济效益是上缴检定收入超170万元；社会效益是确保全地区计量器具量值的准确可靠，填补该领域检测空白，为企业健康发展提供技术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2BD715">
            <w:pPr>
              <w:jc w:val="both"/>
            </w:pPr>
            <w:r>
              <w:rPr>
                <w:rFonts w:ascii="宋体" w:hAnsi="宋体" w:eastAsia="宋体"/>
                <w:sz w:val="16"/>
              </w:rPr>
              <w:t>2024年开展全地区计量检定工作；持续提升计量创新能力，按照国务院及自治区《计量发展规划2021-2035年》精神，进一步完善管理体系，加强内部质量管理，加快装备投入力度，完善检测服务手段，强化计量技术服务理念，推进法制计量检测体系建设保障全地区计量数据准确可溯源，2024年完成检定计量器具3.52万台件；经济效益是上缴检定收入199万元；社会效益是确保全地区计量器具量值的准确可靠，填补该领域检测空白，为企业健康发展提供技术保障。</w:t>
            </w:r>
          </w:p>
        </w:tc>
      </w:tr>
      <w:tr w14:paraId="207A4A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F5DD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67F5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4FA1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FAFB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3C8E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B65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AD2F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EF7F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04D7D">
            <w:pPr>
              <w:jc w:val="center"/>
            </w:pPr>
            <w:r>
              <w:rPr>
                <w:rFonts w:ascii="宋体" w:hAnsi="宋体" w:eastAsia="宋体"/>
                <w:sz w:val="16"/>
              </w:rPr>
              <w:t>得分</w:t>
            </w:r>
          </w:p>
        </w:tc>
      </w:tr>
      <w:tr w14:paraId="158E67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25C4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FE11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9A8B7">
            <w:pPr>
              <w:jc w:val="center"/>
            </w:pPr>
            <w:r>
              <w:rPr>
                <w:rFonts w:ascii="宋体" w:hAnsi="宋体" w:eastAsia="宋体"/>
                <w:sz w:val="16"/>
              </w:rPr>
              <w:t>检定台件数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2C2D4">
            <w:pPr>
              <w:jc w:val="center"/>
            </w:pPr>
            <w:r>
              <w:rPr>
                <w:rFonts w:ascii="宋体" w:hAnsi="宋体" w:eastAsia="宋体"/>
                <w:sz w:val="16"/>
              </w:rPr>
              <w:t>&gt;=25000台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6CB77">
            <w:pPr>
              <w:jc w:val="center"/>
            </w:pPr>
            <w:r>
              <w:rPr>
                <w:rFonts w:ascii="宋体" w:hAnsi="宋体" w:eastAsia="宋体"/>
                <w:sz w:val="16"/>
              </w:rPr>
              <w:t>喀什地区计量检定所2023年工作总结及2024年工作计划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4D9B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B8E7B">
            <w:pPr>
              <w:jc w:val="center"/>
            </w:pPr>
            <w:r>
              <w:rPr>
                <w:rFonts w:ascii="宋体" w:hAnsi="宋体" w:eastAsia="宋体"/>
                <w:sz w:val="16"/>
              </w:rPr>
              <w:t>35263台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189B8">
            <w:pPr>
              <w:jc w:val="center"/>
            </w:pPr>
            <w:r>
              <w:rPr>
                <w:rFonts w:ascii="宋体" w:hAnsi="宋体" w:eastAsia="宋体"/>
                <w:sz w:val="16"/>
              </w:rPr>
              <w:t>141.05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742B8">
            <w:pPr>
              <w:jc w:val="center"/>
            </w:pPr>
            <w:r>
              <w:rPr>
                <w:rFonts w:ascii="宋体" w:hAnsi="宋体" w:eastAsia="宋体"/>
                <w:sz w:val="16"/>
              </w:rPr>
              <w:t>20</w:t>
            </w:r>
          </w:p>
        </w:tc>
      </w:tr>
      <w:tr w14:paraId="5EE272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2A6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F71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3F025">
            <w:pPr>
              <w:jc w:val="center"/>
            </w:pPr>
            <w:r>
              <w:rPr>
                <w:rFonts w:ascii="宋体" w:hAnsi="宋体" w:eastAsia="宋体"/>
                <w:sz w:val="16"/>
              </w:rPr>
              <w:t>完成复审项目数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CF184">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10448">
            <w:pPr>
              <w:jc w:val="center"/>
            </w:pPr>
            <w:r>
              <w:rPr>
                <w:rFonts w:ascii="宋体" w:hAnsi="宋体" w:eastAsia="宋体"/>
                <w:sz w:val="16"/>
              </w:rPr>
              <w:t>喀什地区计量检定所2023年工作总结及2024年工作计划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BF6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1DD09">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04C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AD749">
            <w:pPr>
              <w:jc w:val="center"/>
            </w:pPr>
            <w:r>
              <w:rPr>
                <w:rFonts w:ascii="宋体" w:hAnsi="宋体" w:eastAsia="宋体"/>
                <w:sz w:val="16"/>
              </w:rPr>
              <w:t>20</w:t>
            </w:r>
          </w:p>
        </w:tc>
      </w:tr>
      <w:tr w14:paraId="327E2A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BEF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325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9A6E6">
            <w:pPr>
              <w:jc w:val="center"/>
            </w:pPr>
            <w:r>
              <w:rPr>
                <w:rFonts w:ascii="宋体" w:hAnsi="宋体" w:eastAsia="宋体"/>
                <w:sz w:val="16"/>
              </w:rPr>
              <w:t>新建标项目数量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CB3E1">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964FC">
            <w:pPr>
              <w:jc w:val="center"/>
            </w:pPr>
            <w:r>
              <w:rPr>
                <w:rFonts w:ascii="宋体" w:hAnsi="宋体" w:eastAsia="宋体"/>
                <w:sz w:val="16"/>
              </w:rPr>
              <w:t>喀什地区计量检定所2023年工作总结及2024年工作计划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B86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71FEB">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8A8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0DAEF">
            <w:pPr>
              <w:jc w:val="center"/>
            </w:pPr>
            <w:r>
              <w:rPr>
                <w:rFonts w:ascii="宋体" w:hAnsi="宋体" w:eastAsia="宋体"/>
                <w:sz w:val="16"/>
              </w:rPr>
              <w:t>20</w:t>
            </w:r>
          </w:p>
        </w:tc>
      </w:tr>
      <w:tr w14:paraId="3C7630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7AA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1FB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92F6">
            <w:pPr>
              <w:jc w:val="center"/>
            </w:pPr>
            <w:r>
              <w:rPr>
                <w:rFonts w:ascii="宋体" w:hAnsi="宋体" w:eastAsia="宋体"/>
                <w:sz w:val="16"/>
              </w:rPr>
              <w:t>保障检定领域数量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AE9E0">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5729A">
            <w:pPr>
              <w:jc w:val="center"/>
            </w:pPr>
            <w:r>
              <w:rPr>
                <w:rFonts w:ascii="宋体" w:hAnsi="宋体" w:eastAsia="宋体"/>
                <w:sz w:val="16"/>
              </w:rPr>
              <w:t>喀什地区计量检定所2023年工作总结及2024年工作计划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634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A9B82">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E1F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24DA">
            <w:pPr>
              <w:jc w:val="center"/>
            </w:pPr>
            <w:r>
              <w:rPr>
                <w:rFonts w:ascii="宋体" w:hAnsi="宋体" w:eastAsia="宋体"/>
                <w:sz w:val="16"/>
              </w:rPr>
              <w:t>20</w:t>
            </w:r>
          </w:p>
        </w:tc>
      </w:tr>
      <w:tr w14:paraId="5CC6E8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384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0D59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A5635">
            <w:pPr>
              <w:jc w:val="center"/>
            </w:pPr>
            <w:r>
              <w:rPr>
                <w:rFonts w:ascii="宋体" w:hAnsi="宋体" w:eastAsia="宋体"/>
                <w:sz w:val="16"/>
              </w:rPr>
              <w:t>强制检定计量器具检定覆盖率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8BCF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FD93A">
            <w:pPr>
              <w:jc w:val="center"/>
            </w:pPr>
            <w:r>
              <w:rPr>
                <w:rFonts w:ascii="宋体" w:hAnsi="宋体" w:eastAsia="宋体"/>
                <w:sz w:val="16"/>
              </w:rPr>
              <w:t>喀什地区计量检定所2023年工作总结及2024年工作计划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90F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395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8B845">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35293">
            <w:pPr>
              <w:jc w:val="center"/>
            </w:pPr>
            <w:r>
              <w:rPr>
                <w:rFonts w:ascii="宋体" w:hAnsi="宋体" w:eastAsia="宋体"/>
                <w:sz w:val="16"/>
              </w:rPr>
              <w:t>10</w:t>
            </w:r>
          </w:p>
        </w:tc>
      </w:tr>
    </w:tbl>
    <w:p w14:paraId="0BBC47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B3FA1F">
        <w:tblPrEx>
          <w:tblCellMar>
            <w:top w:w="0" w:type="dxa"/>
            <w:left w:w="108" w:type="dxa"/>
            <w:bottom w:w="0" w:type="dxa"/>
            <w:right w:w="108" w:type="dxa"/>
          </w:tblCellMar>
        </w:tblPrEx>
        <w:tc>
          <w:tcPr>
            <w:tcW w:w="8848" w:type="dxa"/>
            <w:gridSpan w:val="14"/>
            <w:vAlign w:val="center"/>
          </w:tcPr>
          <w:p w14:paraId="374BB7FA">
            <w:pPr>
              <w:jc w:val="center"/>
            </w:pPr>
            <w:r>
              <w:rPr>
                <w:rFonts w:ascii="宋体" w:hAnsi="宋体" w:eastAsia="宋体"/>
                <w:sz w:val="24"/>
              </w:rPr>
              <w:t>项目支出绩效自评表</w:t>
            </w:r>
          </w:p>
        </w:tc>
      </w:tr>
      <w:tr w14:paraId="037F696F">
        <w:tblPrEx>
          <w:tblCellMar>
            <w:top w:w="0" w:type="dxa"/>
            <w:left w:w="108" w:type="dxa"/>
            <w:bottom w:w="0" w:type="dxa"/>
            <w:right w:w="108" w:type="dxa"/>
          </w:tblCellMar>
        </w:tblPrEx>
        <w:tc>
          <w:tcPr>
            <w:tcW w:w="8848" w:type="dxa"/>
            <w:gridSpan w:val="14"/>
            <w:vAlign w:val="center"/>
          </w:tcPr>
          <w:p w14:paraId="191D80D7">
            <w:pPr>
              <w:jc w:val="center"/>
            </w:pPr>
            <w:r>
              <w:rPr>
                <w:rFonts w:ascii="宋体" w:hAnsi="宋体" w:eastAsia="宋体"/>
                <w:sz w:val="24"/>
              </w:rPr>
              <w:t>(2024年度)</w:t>
            </w:r>
          </w:p>
        </w:tc>
      </w:tr>
      <w:tr w14:paraId="77805C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1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57BF1F">
            <w:pPr>
              <w:jc w:val="center"/>
            </w:pPr>
            <w:r>
              <w:rPr>
                <w:rFonts w:ascii="宋体" w:hAnsi="宋体" w:eastAsia="宋体"/>
                <w:sz w:val="16"/>
              </w:rPr>
              <w:t>2023年山东援疆资金购置专用设备项目</w:t>
            </w:r>
          </w:p>
        </w:tc>
      </w:tr>
      <w:tr w14:paraId="31A09A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8F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06F6AF">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42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30CB2B">
            <w:pPr>
              <w:jc w:val="center"/>
            </w:pPr>
            <w:r>
              <w:rPr>
                <w:rFonts w:ascii="宋体" w:hAnsi="宋体" w:eastAsia="宋体"/>
                <w:sz w:val="16"/>
              </w:rPr>
              <w:t>喀什地区计量检定所</w:t>
            </w:r>
          </w:p>
        </w:tc>
      </w:tr>
      <w:tr w14:paraId="0C464B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424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607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1B4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5C8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41D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7E4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334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A983">
            <w:pPr>
              <w:jc w:val="center"/>
            </w:pPr>
            <w:r>
              <w:rPr>
                <w:rFonts w:ascii="宋体" w:hAnsi="宋体" w:eastAsia="宋体"/>
                <w:sz w:val="16"/>
              </w:rPr>
              <w:t>得分</w:t>
            </w:r>
          </w:p>
        </w:tc>
      </w:tr>
      <w:tr w14:paraId="5BEEE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495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478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583E">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B59F">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81CC4">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E81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657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92C0">
            <w:pPr>
              <w:jc w:val="center"/>
            </w:pPr>
            <w:r>
              <w:rPr>
                <w:rFonts w:ascii="宋体" w:hAnsi="宋体" w:eastAsia="宋体"/>
                <w:sz w:val="16"/>
              </w:rPr>
              <w:t>10.00分</w:t>
            </w:r>
          </w:p>
        </w:tc>
      </w:tr>
      <w:tr w14:paraId="6C493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5D8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EC2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DC2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C75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72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EAA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8F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6E2F">
            <w:pPr>
              <w:jc w:val="center"/>
            </w:pPr>
            <w:r>
              <w:rPr>
                <w:rFonts w:ascii="宋体" w:hAnsi="宋体" w:eastAsia="宋体"/>
                <w:sz w:val="16"/>
              </w:rPr>
              <w:t>—</w:t>
            </w:r>
          </w:p>
        </w:tc>
      </w:tr>
      <w:tr w14:paraId="2BC26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E1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45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7FE12">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A24C8">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C16EB">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873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0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F1B6">
            <w:pPr>
              <w:jc w:val="center"/>
            </w:pPr>
            <w:r>
              <w:rPr>
                <w:rFonts w:ascii="宋体" w:hAnsi="宋体" w:eastAsia="宋体"/>
                <w:sz w:val="16"/>
              </w:rPr>
              <w:t>—</w:t>
            </w:r>
          </w:p>
        </w:tc>
      </w:tr>
      <w:tr w14:paraId="1409C8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87CC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26A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DCA8F5">
            <w:pPr>
              <w:jc w:val="center"/>
            </w:pPr>
            <w:r>
              <w:rPr>
                <w:rFonts w:ascii="宋体" w:hAnsi="宋体" w:eastAsia="宋体"/>
                <w:sz w:val="16"/>
              </w:rPr>
              <w:t>实际完成情况</w:t>
            </w:r>
          </w:p>
        </w:tc>
      </w:tr>
      <w:tr w14:paraId="0F785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7EF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F6AAF">
            <w:pPr>
              <w:jc w:val="both"/>
            </w:pPr>
            <w:r>
              <w:rPr>
                <w:rFonts w:ascii="宋体" w:hAnsi="宋体" w:eastAsia="宋体"/>
                <w:sz w:val="16"/>
              </w:rPr>
              <w:t>在2024年5月之前完成角膜曲率计曲率半径用标准器的挂网采购工作，于2024年6月期间完成设备送检并提交建标考核材料同时配合上级部门完成建标考核工作，于2024年7月间投入市场开展角膜曲率计关于眼镜行业的检定工作，确保眼镜行业计量数据准确及可追溯性，为上级行政部门对眼镜行业监督提供准确的数据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61BAA">
            <w:pPr>
              <w:jc w:val="both"/>
            </w:pPr>
            <w:r>
              <w:rPr>
                <w:rFonts w:ascii="宋体" w:hAnsi="宋体" w:eastAsia="宋体"/>
                <w:sz w:val="16"/>
              </w:rPr>
              <w:t>完成角膜曲率计检定装置的采购及投入使用，2024年</w:t>
            </w:r>
            <w:r>
              <w:rPr>
                <w:rFonts w:hint="eastAsia" w:ascii="宋体" w:hAnsi="宋体"/>
                <w:sz w:val="16"/>
                <w:lang w:val="en-US" w:eastAsia="zh-CN"/>
              </w:rPr>
              <w:t>7</w:t>
            </w:r>
            <w:r>
              <w:rPr>
                <w:rFonts w:ascii="宋体" w:hAnsi="宋体" w:eastAsia="宋体"/>
                <w:sz w:val="16"/>
              </w:rPr>
              <w:t>月已在全地区眼镜行业投入检定工作，为上级行政监管部门对全地区眼镜行业监督提供准确数据支撑</w:t>
            </w:r>
          </w:p>
        </w:tc>
      </w:tr>
      <w:tr w14:paraId="378AA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276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E4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C9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3A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90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E9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9C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D1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91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7C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8F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9E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A0E42">
            <w:pPr>
              <w:jc w:val="center"/>
            </w:pPr>
            <w:r>
              <w:rPr>
                <w:rFonts w:ascii="宋体" w:hAnsi="宋体" w:eastAsia="宋体"/>
                <w:sz w:val="16"/>
              </w:rPr>
              <w:t>偏差原因分析及改进措施</w:t>
            </w:r>
          </w:p>
        </w:tc>
      </w:tr>
      <w:tr w14:paraId="5A054C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BA4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BE2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E4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4A98">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F77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8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D9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1B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CF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FE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C3B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33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6D7D">
            <w:pPr>
              <w:jc w:val="center"/>
            </w:pPr>
          </w:p>
        </w:tc>
      </w:tr>
      <w:tr w14:paraId="02811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F1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4D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A0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01B8">
            <w:pPr>
              <w:jc w:val="center"/>
            </w:pPr>
            <w:r>
              <w:rPr>
                <w:rFonts w:ascii="宋体" w:hAnsi="宋体" w:eastAsia="宋体"/>
                <w:sz w:val="16"/>
              </w:rPr>
              <w:t>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2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A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6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6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D2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A2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C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5A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122C3">
            <w:pPr>
              <w:jc w:val="center"/>
            </w:pPr>
          </w:p>
        </w:tc>
      </w:tr>
      <w:tr w14:paraId="3EC4B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4E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267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4D9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9B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2D8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D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80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AA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F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6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96E6">
            <w:pPr>
              <w:jc w:val="center"/>
            </w:pPr>
            <w:r>
              <w:rPr>
                <w:rFonts w:ascii="宋体" w:hAnsi="宋体" w:eastAsia="宋体"/>
                <w:sz w:val="16"/>
              </w:rPr>
              <w:t>=2024年4月8日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40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46CC9">
            <w:pPr>
              <w:jc w:val="center"/>
            </w:pPr>
          </w:p>
        </w:tc>
      </w:tr>
      <w:tr w14:paraId="68E3D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5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2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E8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9B1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2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D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F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04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BA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B2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4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22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571A">
            <w:pPr>
              <w:jc w:val="center"/>
            </w:pPr>
          </w:p>
        </w:tc>
      </w:tr>
      <w:tr w14:paraId="5CB68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15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36C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6B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0CD4">
            <w:pPr>
              <w:jc w:val="center"/>
            </w:pPr>
            <w:r>
              <w:rPr>
                <w:rFonts w:ascii="宋体" w:hAnsi="宋体" w:eastAsia="宋体"/>
                <w:sz w:val="16"/>
              </w:rPr>
              <w:t>采购成本节约率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940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D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0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FB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1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6F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B9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6E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5E02C">
            <w:pPr>
              <w:jc w:val="center"/>
            </w:pPr>
          </w:p>
        </w:tc>
      </w:tr>
      <w:tr w14:paraId="1CAC2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74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5C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D4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EEF2">
            <w:pPr>
              <w:jc w:val="center"/>
            </w:pPr>
            <w:r>
              <w:rPr>
                <w:rFonts w:ascii="宋体" w:hAnsi="宋体" w:eastAsia="宋体"/>
                <w:sz w:val="16"/>
              </w:rPr>
              <w:t>提升强制检定能力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1C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8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4B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3A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E7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4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5F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96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2A733">
            <w:pPr>
              <w:jc w:val="center"/>
            </w:pPr>
          </w:p>
        </w:tc>
      </w:tr>
      <w:tr w14:paraId="1F619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67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60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DE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0E8B">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C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A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6C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E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89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D0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A9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D3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BEB6">
            <w:pPr>
              <w:jc w:val="center"/>
            </w:pPr>
          </w:p>
        </w:tc>
      </w:tr>
      <w:tr w14:paraId="6528FD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947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A7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564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71E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BDA75F"/>
        </w:tc>
      </w:tr>
    </w:tbl>
    <w:p w14:paraId="0F16B1F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55F8F1">
        <w:tblPrEx>
          <w:tblCellMar>
            <w:top w:w="0" w:type="dxa"/>
            <w:left w:w="108" w:type="dxa"/>
            <w:bottom w:w="0" w:type="dxa"/>
            <w:right w:w="108" w:type="dxa"/>
          </w:tblCellMar>
        </w:tblPrEx>
        <w:tc>
          <w:tcPr>
            <w:tcW w:w="8848" w:type="dxa"/>
            <w:gridSpan w:val="14"/>
            <w:vAlign w:val="center"/>
          </w:tcPr>
          <w:p w14:paraId="2AA0D1A7">
            <w:pPr>
              <w:jc w:val="center"/>
            </w:pPr>
            <w:r>
              <w:rPr>
                <w:rFonts w:ascii="宋体" w:hAnsi="宋体" w:eastAsia="宋体"/>
                <w:sz w:val="24"/>
              </w:rPr>
              <w:t>项目支出绩效自评表</w:t>
            </w:r>
          </w:p>
        </w:tc>
      </w:tr>
      <w:tr w14:paraId="793A734E">
        <w:tblPrEx>
          <w:tblCellMar>
            <w:top w:w="0" w:type="dxa"/>
            <w:left w:w="108" w:type="dxa"/>
            <w:bottom w:w="0" w:type="dxa"/>
            <w:right w:w="108" w:type="dxa"/>
          </w:tblCellMar>
        </w:tblPrEx>
        <w:tc>
          <w:tcPr>
            <w:tcW w:w="8848" w:type="dxa"/>
            <w:gridSpan w:val="14"/>
            <w:vAlign w:val="center"/>
          </w:tcPr>
          <w:p w14:paraId="21B725CB">
            <w:pPr>
              <w:jc w:val="center"/>
            </w:pPr>
            <w:r>
              <w:rPr>
                <w:rFonts w:ascii="宋体" w:hAnsi="宋体" w:eastAsia="宋体"/>
                <w:sz w:val="24"/>
              </w:rPr>
              <w:t>(2024年度)</w:t>
            </w:r>
          </w:p>
        </w:tc>
      </w:tr>
      <w:tr w14:paraId="0B044D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E0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B3893B">
            <w:pPr>
              <w:jc w:val="center"/>
            </w:pPr>
            <w:r>
              <w:rPr>
                <w:rFonts w:ascii="宋体" w:hAnsi="宋体" w:eastAsia="宋体"/>
                <w:sz w:val="16"/>
              </w:rPr>
              <w:t>2024年广东省援疆资金购置计量专用设备项目</w:t>
            </w:r>
          </w:p>
        </w:tc>
      </w:tr>
      <w:tr w14:paraId="13C98D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A0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75B01">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BE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B7A1B8">
            <w:pPr>
              <w:jc w:val="center"/>
            </w:pPr>
            <w:r>
              <w:rPr>
                <w:rFonts w:ascii="宋体" w:hAnsi="宋体" w:eastAsia="宋体"/>
                <w:sz w:val="16"/>
              </w:rPr>
              <w:t>喀什地区计量检定所</w:t>
            </w:r>
          </w:p>
        </w:tc>
      </w:tr>
      <w:tr w14:paraId="33960A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8D3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6C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F5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CF7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2D6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DA4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CB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4B0F">
            <w:pPr>
              <w:jc w:val="center"/>
            </w:pPr>
            <w:r>
              <w:rPr>
                <w:rFonts w:ascii="宋体" w:hAnsi="宋体" w:eastAsia="宋体"/>
                <w:sz w:val="16"/>
              </w:rPr>
              <w:t>得分</w:t>
            </w:r>
          </w:p>
        </w:tc>
      </w:tr>
      <w:tr w14:paraId="0EBDF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BE5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C7B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CAD3C">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64A90">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FC9FF">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F6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59D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9EA6">
            <w:pPr>
              <w:jc w:val="center"/>
            </w:pPr>
            <w:r>
              <w:rPr>
                <w:rFonts w:ascii="宋体" w:hAnsi="宋体" w:eastAsia="宋体"/>
                <w:sz w:val="16"/>
              </w:rPr>
              <w:t>10.00分</w:t>
            </w:r>
          </w:p>
        </w:tc>
      </w:tr>
      <w:tr w14:paraId="086EE91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4D1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C0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69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51F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142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14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B5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4578">
            <w:pPr>
              <w:jc w:val="center"/>
            </w:pPr>
            <w:r>
              <w:rPr>
                <w:rFonts w:ascii="宋体" w:hAnsi="宋体" w:eastAsia="宋体"/>
                <w:sz w:val="16"/>
              </w:rPr>
              <w:t>—</w:t>
            </w:r>
          </w:p>
        </w:tc>
      </w:tr>
      <w:tr w14:paraId="07B1E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4EC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01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ECE6E">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9655D">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1A51">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BC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E1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AB95">
            <w:pPr>
              <w:jc w:val="center"/>
            </w:pPr>
            <w:r>
              <w:rPr>
                <w:rFonts w:ascii="宋体" w:hAnsi="宋体" w:eastAsia="宋体"/>
                <w:sz w:val="16"/>
              </w:rPr>
              <w:t>—</w:t>
            </w:r>
          </w:p>
        </w:tc>
      </w:tr>
      <w:tr w14:paraId="51D551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56A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197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80DD3A">
            <w:pPr>
              <w:jc w:val="center"/>
            </w:pPr>
            <w:r>
              <w:rPr>
                <w:rFonts w:ascii="宋体" w:hAnsi="宋体" w:eastAsia="宋体"/>
                <w:sz w:val="16"/>
              </w:rPr>
              <w:t>实际完成情况</w:t>
            </w:r>
          </w:p>
        </w:tc>
      </w:tr>
      <w:tr w14:paraId="6FB9E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EF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7FFAB0">
            <w:pPr>
              <w:jc w:val="both"/>
            </w:pPr>
            <w:r>
              <w:rPr>
                <w:rFonts w:ascii="宋体" w:hAnsi="宋体" w:eastAsia="宋体"/>
                <w:sz w:val="16"/>
              </w:rPr>
              <w:t>完成生命体征模拟器（CT机检定装置）1套的采购；在60个工作日内完成采购验收并投入使用，采购设备</w:t>
            </w:r>
            <w:r>
              <w:rPr>
                <w:rFonts w:hint="eastAsia" w:ascii="宋体" w:hAnsi="宋体"/>
                <w:sz w:val="16"/>
                <w:lang w:eastAsia="zh-CN"/>
              </w:rPr>
              <w:t>成本</w:t>
            </w:r>
            <w:r>
              <w:rPr>
                <w:rFonts w:ascii="宋体" w:hAnsi="宋体" w:eastAsia="宋体"/>
                <w:sz w:val="16"/>
              </w:rPr>
              <w:t>控制不超过26万元；提升该检定装置的检定台件数量，提升医疗设备检定实验室的检定能力。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AF6DC6">
            <w:pPr>
              <w:jc w:val="both"/>
            </w:pPr>
            <w:r>
              <w:rPr>
                <w:rFonts w:ascii="宋体" w:hAnsi="宋体" w:eastAsia="宋体"/>
                <w:sz w:val="16"/>
              </w:rPr>
              <w:t>根据制定的项目执行目标，完成了生命体征模拟器（CT机检定装置）1套的采购，在60个工作日内完成采购验收并投入使用，采购设备成本通过政采云网超采购的方式完成采购，设备投入使用后在医疗设备检定领域内提升检定能力。</w:t>
            </w:r>
          </w:p>
        </w:tc>
      </w:tr>
      <w:tr w14:paraId="6E8933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5B6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49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B2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51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75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1A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4A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0E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71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7C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5D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E3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3B40A">
            <w:pPr>
              <w:jc w:val="center"/>
            </w:pPr>
            <w:r>
              <w:rPr>
                <w:rFonts w:ascii="宋体" w:hAnsi="宋体" w:eastAsia="宋体"/>
                <w:sz w:val="16"/>
              </w:rPr>
              <w:t>偏差原因分析及改进措施</w:t>
            </w:r>
          </w:p>
        </w:tc>
      </w:tr>
      <w:tr w14:paraId="072A68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A38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F87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97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1926">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FB9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B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21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8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DE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D7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E31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50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3CCF4">
            <w:pPr>
              <w:jc w:val="center"/>
            </w:pPr>
          </w:p>
        </w:tc>
      </w:tr>
      <w:tr w14:paraId="5BA1DB4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1D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35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53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36E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7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F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93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66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26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1D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3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CB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D0022">
            <w:pPr>
              <w:jc w:val="center"/>
            </w:pPr>
          </w:p>
        </w:tc>
      </w:tr>
      <w:tr w14:paraId="7A0C1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FC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63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9B4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B048">
            <w:pPr>
              <w:jc w:val="center"/>
            </w:pPr>
            <w:r>
              <w:rPr>
                <w:rFonts w:ascii="宋体" w:hAnsi="宋体" w:eastAsia="宋体"/>
                <w:sz w:val="16"/>
              </w:rPr>
              <w:t>设备采购完成及时率（%）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C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3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2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11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85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D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8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B0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A8430">
            <w:pPr>
              <w:jc w:val="center"/>
            </w:pPr>
          </w:p>
        </w:tc>
      </w:tr>
      <w:tr w14:paraId="2A01812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47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A2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56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D3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ECEA">
            <w:pPr>
              <w:jc w:val="center"/>
            </w:pPr>
            <w:r>
              <w:rPr>
                <w:rFonts w:ascii="宋体" w:hAnsi="宋体" w:eastAsia="宋体"/>
                <w:sz w:val="16"/>
              </w:rPr>
              <w:t>=2024年9月25日前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0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7A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2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CA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0D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C288">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0B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CB8AD">
            <w:pPr>
              <w:jc w:val="center"/>
            </w:pPr>
          </w:p>
        </w:tc>
      </w:tr>
      <w:tr w14:paraId="02E9A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3D5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F9D8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FE6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3386">
            <w:pPr>
              <w:jc w:val="center"/>
            </w:pPr>
            <w:r>
              <w:rPr>
                <w:rFonts w:ascii="宋体" w:hAnsi="宋体" w:eastAsia="宋体"/>
                <w:sz w:val="16"/>
              </w:rPr>
              <w:t>持续提升检定能力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7B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7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3B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B7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B5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15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624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75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086FD">
            <w:pPr>
              <w:jc w:val="center"/>
            </w:pPr>
          </w:p>
        </w:tc>
      </w:tr>
      <w:tr w14:paraId="532D3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AE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8D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F9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7552">
            <w:pPr>
              <w:jc w:val="center"/>
            </w:pPr>
            <w:r>
              <w:rPr>
                <w:rFonts w:ascii="宋体" w:hAnsi="宋体" w:eastAsia="宋体"/>
                <w:sz w:val="16"/>
              </w:rPr>
              <w:t>持续保障全地区计量数据准确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6F1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A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1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48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D4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91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9E7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42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7E47A">
            <w:pPr>
              <w:jc w:val="center"/>
            </w:pPr>
          </w:p>
        </w:tc>
      </w:tr>
      <w:tr w14:paraId="514EE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6C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3D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FB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29DB">
            <w:pPr>
              <w:jc w:val="center"/>
            </w:pPr>
            <w:r>
              <w:rPr>
                <w:rFonts w:ascii="宋体" w:hAnsi="宋体" w:eastAsia="宋体"/>
                <w:sz w:val="16"/>
              </w:rPr>
              <w:t>设备使用部门满意度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DA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B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CA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8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EB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84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D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B5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58949">
            <w:pPr>
              <w:jc w:val="center"/>
            </w:pPr>
          </w:p>
        </w:tc>
      </w:tr>
      <w:tr w14:paraId="5253EF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C2F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F0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901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38A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8A7D4E"/>
        </w:tc>
      </w:tr>
    </w:tbl>
    <w:p w14:paraId="653792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99E7B66">
        <w:tblPrEx>
          <w:tblCellMar>
            <w:top w:w="0" w:type="dxa"/>
            <w:left w:w="108" w:type="dxa"/>
            <w:bottom w:w="0" w:type="dxa"/>
            <w:right w:w="108" w:type="dxa"/>
          </w:tblCellMar>
        </w:tblPrEx>
        <w:tc>
          <w:tcPr>
            <w:tcW w:w="8848" w:type="dxa"/>
            <w:gridSpan w:val="14"/>
            <w:vAlign w:val="center"/>
          </w:tcPr>
          <w:p w14:paraId="017F8447">
            <w:pPr>
              <w:jc w:val="center"/>
            </w:pPr>
            <w:r>
              <w:rPr>
                <w:rFonts w:ascii="宋体" w:hAnsi="宋体" w:eastAsia="宋体"/>
                <w:sz w:val="24"/>
              </w:rPr>
              <w:t>项目支出绩效自评表</w:t>
            </w:r>
          </w:p>
        </w:tc>
      </w:tr>
      <w:tr w14:paraId="6B546071">
        <w:tblPrEx>
          <w:tblCellMar>
            <w:top w:w="0" w:type="dxa"/>
            <w:left w:w="108" w:type="dxa"/>
            <w:bottom w:w="0" w:type="dxa"/>
            <w:right w:w="108" w:type="dxa"/>
          </w:tblCellMar>
        </w:tblPrEx>
        <w:tc>
          <w:tcPr>
            <w:tcW w:w="8848" w:type="dxa"/>
            <w:gridSpan w:val="14"/>
            <w:vAlign w:val="center"/>
          </w:tcPr>
          <w:p w14:paraId="60D4EBEF">
            <w:pPr>
              <w:jc w:val="center"/>
            </w:pPr>
            <w:r>
              <w:rPr>
                <w:rFonts w:ascii="宋体" w:hAnsi="宋体" w:eastAsia="宋体"/>
                <w:sz w:val="24"/>
              </w:rPr>
              <w:t>(2024年度)</w:t>
            </w:r>
          </w:p>
        </w:tc>
      </w:tr>
      <w:tr w14:paraId="31AEE4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1F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BFBE5C">
            <w:pPr>
              <w:jc w:val="center"/>
            </w:pPr>
            <w:r>
              <w:rPr>
                <w:rFonts w:ascii="宋体" w:hAnsi="宋体" w:eastAsia="宋体"/>
                <w:sz w:val="16"/>
              </w:rPr>
              <w:t>计量专用设备购置项目</w:t>
            </w:r>
          </w:p>
        </w:tc>
      </w:tr>
      <w:tr w14:paraId="18774B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BD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E6D63">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28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0CB1E8">
            <w:pPr>
              <w:jc w:val="center"/>
            </w:pPr>
            <w:r>
              <w:rPr>
                <w:rFonts w:ascii="宋体" w:hAnsi="宋体" w:eastAsia="宋体"/>
                <w:sz w:val="16"/>
              </w:rPr>
              <w:t>喀什地区计量检定所</w:t>
            </w:r>
          </w:p>
        </w:tc>
      </w:tr>
      <w:tr w14:paraId="023EC3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9A2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DE0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76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56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A8D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741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AF4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A4CD">
            <w:pPr>
              <w:jc w:val="center"/>
            </w:pPr>
            <w:r>
              <w:rPr>
                <w:rFonts w:ascii="宋体" w:hAnsi="宋体" w:eastAsia="宋体"/>
                <w:sz w:val="16"/>
              </w:rPr>
              <w:t>得分</w:t>
            </w:r>
          </w:p>
        </w:tc>
      </w:tr>
      <w:tr w14:paraId="67FB2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6B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A0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8454">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837E">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F769C">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20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85C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D87F">
            <w:pPr>
              <w:jc w:val="center"/>
            </w:pPr>
            <w:r>
              <w:rPr>
                <w:rFonts w:ascii="宋体" w:hAnsi="宋体" w:eastAsia="宋体"/>
                <w:sz w:val="16"/>
              </w:rPr>
              <w:t>10.00分</w:t>
            </w:r>
          </w:p>
        </w:tc>
      </w:tr>
      <w:tr w14:paraId="6C6D5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D2A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A12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A3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F71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CC3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5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F19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BB36">
            <w:pPr>
              <w:jc w:val="center"/>
            </w:pPr>
            <w:r>
              <w:rPr>
                <w:rFonts w:ascii="宋体" w:hAnsi="宋体" w:eastAsia="宋体"/>
                <w:sz w:val="16"/>
              </w:rPr>
              <w:t>—</w:t>
            </w:r>
          </w:p>
        </w:tc>
      </w:tr>
      <w:tr w14:paraId="74D6F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D61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B9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5C086">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87080">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9DC1">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8D5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DF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80D4">
            <w:pPr>
              <w:jc w:val="center"/>
            </w:pPr>
            <w:r>
              <w:rPr>
                <w:rFonts w:ascii="宋体" w:hAnsi="宋体" w:eastAsia="宋体"/>
                <w:sz w:val="16"/>
              </w:rPr>
              <w:t>—</w:t>
            </w:r>
          </w:p>
        </w:tc>
      </w:tr>
      <w:tr w14:paraId="4B2DA9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034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BCB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8D59A">
            <w:pPr>
              <w:jc w:val="center"/>
            </w:pPr>
            <w:r>
              <w:rPr>
                <w:rFonts w:ascii="宋体" w:hAnsi="宋体" w:eastAsia="宋体"/>
                <w:sz w:val="16"/>
              </w:rPr>
              <w:t>实际完成情况</w:t>
            </w:r>
          </w:p>
        </w:tc>
      </w:tr>
      <w:tr w14:paraId="26EC2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D5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22974">
            <w:pPr>
              <w:jc w:val="both"/>
            </w:pPr>
            <w:r>
              <w:rPr>
                <w:rFonts w:ascii="宋体" w:hAnsi="宋体" w:eastAsia="宋体"/>
                <w:sz w:val="16"/>
              </w:rPr>
              <w:t>根据地区财政预算资金安排，计划在2024年根据文件要求采购国产化办公设备不少于12台；计量专用设备购置不少于4套，并投入检定工作，新增该设备检定覆盖率，提高计量检定覆盖率，持续为全地区计量业务发展提供有力保障，补足欠缺的检定项目，为全地区需要的企业提供便捷检定条件，提高被检单位的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27DC5">
            <w:pPr>
              <w:jc w:val="both"/>
            </w:pPr>
            <w:r>
              <w:rPr>
                <w:rFonts w:ascii="宋体" w:hAnsi="宋体" w:eastAsia="宋体"/>
                <w:sz w:val="16"/>
              </w:rPr>
              <w:t>根据年初项目预算目标，完成国产办公电脑10台，国产打印机2台，计量专用设备4套，在2024年7月完成设备采购手续并陆续投入使用，项目执行完毕后提高我所检定项目覆盖率，持续为全地区计量业务发展数据准确提供有力保障，新购置的计量专用设备补充了我所新的检定项目，为全地区需要量值溯源的企业提供便捷的检定条件，提高被检单位的满意度。</w:t>
            </w:r>
          </w:p>
        </w:tc>
      </w:tr>
      <w:tr w14:paraId="414A63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475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79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B2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F2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05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C8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AE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4C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15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47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C4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8A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CC518">
            <w:pPr>
              <w:jc w:val="center"/>
            </w:pPr>
            <w:r>
              <w:rPr>
                <w:rFonts w:ascii="宋体" w:hAnsi="宋体" w:eastAsia="宋体"/>
                <w:sz w:val="16"/>
              </w:rPr>
              <w:t>偏差原因分析及改进措施</w:t>
            </w:r>
          </w:p>
        </w:tc>
      </w:tr>
      <w:tr w14:paraId="58806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2F8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650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986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2EC6">
            <w:pPr>
              <w:jc w:val="center"/>
            </w:pPr>
            <w:r>
              <w:rPr>
                <w:rFonts w:ascii="宋体" w:hAnsi="宋体" w:eastAsia="宋体"/>
                <w:sz w:val="16"/>
              </w:rPr>
              <w:t>国产化办公设备购置数量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852B">
            <w:pPr>
              <w:jc w:val="center"/>
            </w:pPr>
            <w:r>
              <w:rPr>
                <w:rFonts w:ascii="宋体" w:hAnsi="宋体" w:eastAsia="宋体"/>
                <w:sz w:val="16"/>
              </w:rPr>
              <w:t>&gt;=12台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60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952C">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96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7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71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01F5">
            <w:pPr>
              <w:jc w:val="center"/>
            </w:pPr>
            <w:r>
              <w:rPr>
                <w:rFonts w:ascii="宋体" w:hAnsi="宋体" w:eastAsia="宋体"/>
                <w:sz w:val="16"/>
              </w:rPr>
              <w:t>=12台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D2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A9C2C">
            <w:pPr>
              <w:jc w:val="center"/>
            </w:pPr>
          </w:p>
        </w:tc>
      </w:tr>
      <w:tr w14:paraId="65BA3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30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19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F6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D873">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04B8">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0E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6600">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77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5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BC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81CD">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0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6D6FC">
            <w:pPr>
              <w:jc w:val="center"/>
            </w:pPr>
          </w:p>
        </w:tc>
      </w:tr>
      <w:tr w14:paraId="30193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94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FC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76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B162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8A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29E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0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B8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10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11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5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AE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F860B">
            <w:pPr>
              <w:jc w:val="center"/>
            </w:pPr>
          </w:p>
        </w:tc>
      </w:tr>
      <w:tr w14:paraId="5FD6F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69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8F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37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A5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01D5">
            <w:pPr>
              <w:jc w:val="center"/>
            </w:pPr>
            <w:r>
              <w:rPr>
                <w:rFonts w:ascii="宋体" w:hAnsi="宋体" w:eastAsia="宋体"/>
                <w:sz w:val="16"/>
              </w:rPr>
              <w:t>=2024年7月30日前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0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F4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9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F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7F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0408">
            <w:pPr>
              <w:jc w:val="center"/>
            </w:pPr>
            <w:r>
              <w:rPr>
                <w:rFonts w:ascii="宋体" w:hAnsi="宋体" w:eastAsia="宋体"/>
                <w:sz w:val="16"/>
              </w:rPr>
              <w:t>2024年7月10日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9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62DDB">
            <w:pPr>
              <w:jc w:val="center"/>
            </w:pPr>
          </w:p>
        </w:tc>
      </w:tr>
      <w:tr w14:paraId="13C48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CC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39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E7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33C5">
            <w:pPr>
              <w:jc w:val="center"/>
            </w:pPr>
            <w:r>
              <w:rPr>
                <w:rFonts w:ascii="宋体" w:hAnsi="宋体" w:eastAsia="宋体"/>
                <w:sz w:val="16"/>
              </w:rPr>
              <w:t>每台（套）设备采购成本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31B7">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7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66C7">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71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D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26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4BF7">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14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0D8FD">
            <w:pPr>
              <w:jc w:val="center"/>
            </w:pPr>
          </w:p>
        </w:tc>
      </w:tr>
      <w:tr w14:paraId="16863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D8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D4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B3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E56F">
            <w:pPr>
              <w:jc w:val="center"/>
            </w:pPr>
            <w:r>
              <w:rPr>
                <w:rFonts w:ascii="宋体" w:hAnsi="宋体" w:eastAsia="宋体"/>
                <w:sz w:val="16"/>
              </w:rPr>
              <w:t>提高计量检定能力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8D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9C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B6D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47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C1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11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14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88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E3734">
            <w:pPr>
              <w:jc w:val="center"/>
            </w:pPr>
          </w:p>
        </w:tc>
      </w:tr>
      <w:tr w14:paraId="57E59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73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41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1F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F3E6">
            <w:pPr>
              <w:jc w:val="center"/>
            </w:pPr>
            <w:r>
              <w:rPr>
                <w:rFonts w:ascii="宋体" w:hAnsi="宋体" w:eastAsia="宋体"/>
                <w:sz w:val="16"/>
              </w:rPr>
              <w:t>受检单位满意度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1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FC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6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C8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41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4A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C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7E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D486">
            <w:pPr>
              <w:jc w:val="center"/>
            </w:pPr>
          </w:p>
        </w:tc>
      </w:tr>
      <w:tr w14:paraId="2CA8B4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E90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FA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8159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2D4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549B79"/>
        </w:tc>
      </w:tr>
    </w:tbl>
    <w:p w14:paraId="6FAFDB5B">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776"/>
        <w:gridCol w:w="625"/>
        <w:gridCol w:w="632"/>
        <w:gridCol w:w="627"/>
        <w:gridCol w:w="625"/>
        <w:gridCol w:w="625"/>
        <w:gridCol w:w="696"/>
        <w:gridCol w:w="632"/>
        <w:gridCol w:w="616"/>
        <w:gridCol w:w="632"/>
      </w:tblGrid>
      <w:tr w14:paraId="3767FFF3">
        <w:tblPrEx>
          <w:tblCellMar>
            <w:top w:w="0" w:type="dxa"/>
            <w:left w:w="108" w:type="dxa"/>
            <w:bottom w:w="0" w:type="dxa"/>
            <w:right w:w="108" w:type="dxa"/>
          </w:tblCellMar>
        </w:tblPrEx>
        <w:tc>
          <w:tcPr>
            <w:tcW w:w="8848" w:type="dxa"/>
            <w:gridSpan w:val="14"/>
            <w:vAlign w:val="center"/>
          </w:tcPr>
          <w:p w14:paraId="50C14616">
            <w:pPr>
              <w:jc w:val="center"/>
            </w:pPr>
            <w:r>
              <w:rPr>
                <w:rFonts w:ascii="宋体" w:hAnsi="宋体" w:eastAsia="宋体"/>
                <w:sz w:val="24"/>
              </w:rPr>
              <w:t>项目支出绩效自评表</w:t>
            </w:r>
          </w:p>
        </w:tc>
      </w:tr>
      <w:tr w14:paraId="3FB5ED58">
        <w:tblPrEx>
          <w:tblCellMar>
            <w:top w:w="0" w:type="dxa"/>
            <w:left w:w="108" w:type="dxa"/>
            <w:bottom w:w="0" w:type="dxa"/>
            <w:right w:w="108" w:type="dxa"/>
          </w:tblCellMar>
        </w:tblPrEx>
        <w:tc>
          <w:tcPr>
            <w:tcW w:w="8848" w:type="dxa"/>
            <w:gridSpan w:val="14"/>
            <w:vAlign w:val="center"/>
          </w:tcPr>
          <w:p w14:paraId="199A3A51">
            <w:pPr>
              <w:jc w:val="center"/>
            </w:pPr>
            <w:r>
              <w:rPr>
                <w:rFonts w:ascii="宋体" w:hAnsi="宋体" w:eastAsia="宋体"/>
                <w:sz w:val="24"/>
              </w:rPr>
              <w:t>(2024年度)</w:t>
            </w:r>
          </w:p>
        </w:tc>
      </w:tr>
      <w:tr w14:paraId="61E5EC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D9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876F8A">
            <w:pPr>
              <w:jc w:val="center"/>
            </w:pPr>
            <w:r>
              <w:rPr>
                <w:rFonts w:ascii="宋体" w:hAnsi="宋体" w:eastAsia="宋体"/>
                <w:sz w:val="16"/>
              </w:rPr>
              <w:t>计量检定成本性支出项目</w:t>
            </w:r>
          </w:p>
        </w:tc>
      </w:tr>
      <w:tr w14:paraId="566BD3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23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70D33">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36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0CBE94">
            <w:pPr>
              <w:jc w:val="center"/>
            </w:pPr>
            <w:r>
              <w:rPr>
                <w:rFonts w:ascii="宋体" w:hAnsi="宋体" w:eastAsia="宋体"/>
                <w:sz w:val="16"/>
              </w:rPr>
              <w:t>喀什地区计量检定所</w:t>
            </w:r>
          </w:p>
        </w:tc>
      </w:tr>
      <w:tr w14:paraId="7F6BF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A58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0DE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34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9D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6EA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65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D92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F54A">
            <w:pPr>
              <w:jc w:val="center"/>
            </w:pPr>
            <w:r>
              <w:rPr>
                <w:rFonts w:ascii="宋体" w:hAnsi="宋体" w:eastAsia="宋体"/>
                <w:sz w:val="16"/>
              </w:rPr>
              <w:t>得分</w:t>
            </w:r>
          </w:p>
        </w:tc>
      </w:tr>
      <w:tr w14:paraId="39E07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32A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6F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0F80">
            <w:pPr>
              <w:jc w:val="center"/>
            </w:pPr>
            <w:r>
              <w:rPr>
                <w:rFonts w:ascii="宋体" w:hAnsi="宋体" w:eastAsia="宋体"/>
                <w:sz w:val="16"/>
              </w:rPr>
              <w:t>76.75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859D">
            <w:pPr>
              <w:jc w:val="center"/>
            </w:pPr>
            <w:r>
              <w:rPr>
                <w:rFonts w:ascii="宋体" w:hAnsi="宋体" w:eastAsia="宋体"/>
                <w:sz w:val="16"/>
              </w:rPr>
              <w:t>76.75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C965">
            <w:pPr>
              <w:jc w:val="center"/>
            </w:pPr>
            <w:r>
              <w:rPr>
                <w:rFonts w:ascii="宋体" w:hAnsi="宋体" w:eastAsia="宋体"/>
                <w:sz w:val="16"/>
              </w:rPr>
              <w:t>76.75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ED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5441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FACC">
            <w:pPr>
              <w:jc w:val="center"/>
            </w:pPr>
            <w:r>
              <w:rPr>
                <w:rFonts w:ascii="宋体" w:hAnsi="宋体" w:eastAsia="宋体"/>
                <w:sz w:val="16"/>
              </w:rPr>
              <w:t>10.00分</w:t>
            </w:r>
          </w:p>
        </w:tc>
      </w:tr>
      <w:tr w14:paraId="173E89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7BF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24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3DF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1B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0A2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BA9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D2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40FA">
            <w:pPr>
              <w:jc w:val="center"/>
            </w:pPr>
            <w:r>
              <w:rPr>
                <w:rFonts w:ascii="宋体" w:hAnsi="宋体" w:eastAsia="宋体"/>
                <w:sz w:val="16"/>
              </w:rPr>
              <w:t>—</w:t>
            </w:r>
          </w:p>
        </w:tc>
      </w:tr>
      <w:tr w14:paraId="04DFD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441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99E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3B211">
            <w:pPr>
              <w:jc w:val="center"/>
            </w:pPr>
            <w:r>
              <w:rPr>
                <w:rFonts w:ascii="宋体" w:hAnsi="宋体" w:eastAsia="宋体"/>
                <w:sz w:val="16"/>
              </w:rPr>
              <w:t>76.75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00B46">
            <w:pPr>
              <w:jc w:val="center"/>
            </w:pPr>
            <w:r>
              <w:rPr>
                <w:rFonts w:ascii="宋体" w:hAnsi="宋体" w:eastAsia="宋体"/>
                <w:sz w:val="16"/>
              </w:rPr>
              <w:t>76.75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54762">
            <w:pPr>
              <w:jc w:val="center"/>
            </w:pPr>
            <w:r>
              <w:rPr>
                <w:rFonts w:ascii="宋体" w:hAnsi="宋体" w:eastAsia="宋体"/>
                <w:sz w:val="16"/>
              </w:rPr>
              <w:t>76.75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68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9A4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00ED">
            <w:pPr>
              <w:jc w:val="center"/>
            </w:pPr>
            <w:r>
              <w:rPr>
                <w:rFonts w:ascii="宋体" w:hAnsi="宋体" w:eastAsia="宋体"/>
                <w:sz w:val="16"/>
              </w:rPr>
              <w:t>—</w:t>
            </w:r>
          </w:p>
        </w:tc>
      </w:tr>
      <w:tr w14:paraId="0A61B2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C4A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8DB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E0A2F0">
            <w:pPr>
              <w:jc w:val="center"/>
            </w:pPr>
            <w:r>
              <w:rPr>
                <w:rFonts w:ascii="宋体" w:hAnsi="宋体" w:eastAsia="宋体"/>
                <w:sz w:val="16"/>
              </w:rPr>
              <w:t>实际完成情况</w:t>
            </w:r>
          </w:p>
        </w:tc>
      </w:tr>
      <w:tr w14:paraId="5BED9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E68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7683D">
            <w:pPr>
              <w:jc w:val="both"/>
            </w:pPr>
            <w:r>
              <w:rPr>
                <w:rFonts w:ascii="宋体" w:hAnsi="宋体" w:eastAsia="宋体"/>
                <w:sz w:val="16"/>
              </w:rPr>
              <w:t>完成2024年喀什地区非强制检定计量器具委托业务费非税征收计划，我所对喀什地区使用民生计量器具进行鉴定，主要是对非强制检定计量器具进行检定不少于3000个；强制检定计量器具进行不少于25000个，计量检定过程中将产生的水电费、专用材料费、差旅费、公车运行维护费等，确保各项工作正常开展，送检设备器具的计量数据真实、可靠，保证计量数据的溯源性</w:t>
            </w:r>
            <w:r>
              <w:rPr>
                <w:rFonts w:hint="eastAsia" w:ascii="宋体" w:hAnsi="宋体"/>
                <w:sz w:val="16"/>
                <w:lang w:eastAsia="zh-CN"/>
              </w:rPr>
              <w:t>，</w:t>
            </w:r>
            <w:r>
              <w:rPr>
                <w:rFonts w:ascii="宋体" w:hAnsi="宋体" w:eastAsia="宋体"/>
                <w:sz w:val="16"/>
              </w:rPr>
              <w:t>维护全地区民生计量公平公正提供强有力的技术支撑。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19188E">
            <w:pPr>
              <w:jc w:val="both"/>
            </w:pPr>
            <w:r>
              <w:rPr>
                <w:rFonts w:ascii="宋体" w:hAnsi="宋体" w:eastAsia="宋体"/>
                <w:sz w:val="16"/>
              </w:rPr>
              <w:t>全年完成喀什地区委托费用199</w:t>
            </w:r>
            <w:r>
              <w:rPr>
                <w:rFonts w:hint="eastAsia" w:ascii="宋体" w:hAnsi="宋体"/>
                <w:sz w:val="16"/>
                <w:lang w:eastAsia="zh-CN"/>
              </w:rPr>
              <w:t>万元</w:t>
            </w:r>
            <w:r>
              <w:rPr>
                <w:rFonts w:ascii="宋体" w:hAnsi="宋体" w:eastAsia="宋体"/>
                <w:sz w:val="16"/>
              </w:rPr>
              <w:t>并上缴国库，强检类计量器具完成28778件；</w:t>
            </w:r>
            <w:r>
              <w:rPr>
                <w:rFonts w:hint="eastAsia" w:ascii="宋体" w:hAnsi="宋体"/>
                <w:sz w:val="16"/>
                <w:lang w:eastAsia="zh-CN"/>
              </w:rPr>
              <w:t>非</w:t>
            </w:r>
            <w:r>
              <w:rPr>
                <w:rFonts w:ascii="宋体" w:hAnsi="宋体" w:eastAsia="宋体"/>
                <w:sz w:val="16"/>
              </w:rPr>
              <w:t>强制检定计量器具（包括校准类）6485件，项目经费的拨付对产生的水电费、专用材料费、差旅费、公车运行维护费都提供了有效保障，确保各项检定工作正常开展，对委托单位送检的计量器具检测数据准确有效可靠，保证计量数据的溯源性</w:t>
            </w:r>
            <w:r>
              <w:rPr>
                <w:rFonts w:hint="eastAsia" w:ascii="宋体" w:hAnsi="宋体"/>
                <w:sz w:val="16"/>
                <w:lang w:eastAsia="zh-CN"/>
              </w:rPr>
              <w:t>，为</w:t>
            </w:r>
            <w:r>
              <w:rPr>
                <w:rFonts w:ascii="宋体" w:hAnsi="宋体" w:eastAsia="宋体"/>
                <w:sz w:val="16"/>
              </w:rPr>
              <w:t>维护全地区民生计量公平公正提供有力的技术保障</w:t>
            </w:r>
          </w:p>
        </w:tc>
      </w:tr>
      <w:tr w14:paraId="224062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863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23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79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7F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00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6C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7E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BC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18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DB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74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95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32EE">
            <w:pPr>
              <w:jc w:val="center"/>
            </w:pPr>
            <w:r>
              <w:rPr>
                <w:rFonts w:ascii="宋体" w:hAnsi="宋体" w:eastAsia="宋体"/>
                <w:sz w:val="16"/>
              </w:rPr>
              <w:t>偏差原因分析及改进措施</w:t>
            </w:r>
          </w:p>
        </w:tc>
      </w:tr>
      <w:tr w14:paraId="6591F8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184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47B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CF1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B96F">
            <w:pPr>
              <w:jc w:val="center"/>
            </w:pPr>
            <w:r>
              <w:rPr>
                <w:rFonts w:ascii="宋体" w:hAnsi="宋体" w:eastAsia="宋体"/>
                <w:sz w:val="16"/>
              </w:rPr>
              <w:t>完成强制检定（验）台数（件）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27CF">
            <w:pPr>
              <w:jc w:val="center"/>
            </w:pPr>
            <w:r>
              <w:rPr>
                <w:rFonts w:ascii="宋体" w:hAnsi="宋体" w:eastAsia="宋体"/>
                <w:sz w:val="16"/>
              </w:rPr>
              <w:t>&gt;=30000台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4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E8F2">
            <w:pPr>
              <w:jc w:val="center"/>
            </w:pPr>
            <w:r>
              <w:rPr>
                <w:rFonts w:ascii="宋体" w:hAnsi="宋体" w:eastAsia="宋体"/>
                <w:sz w:val="16"/>
              </w:rPr>
              <w:t>25000台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A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20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F3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2D34">
            <w:pPr>
              <w:jc w:val="center"/>
            </w:pPr>
            <w:r>
              <w:rPr>
                <w:rFonts w:ascii="宋体" w:hAnsi="宋体" w:eastAsia="宋体"/>
                <w:sz w:val="16"/>
              </w:rPr>
              <w:t>=28778台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2DB8">
            <w:pPr>
              <w:jc w:val="center"/>
            </w:pPr>
            <w:r>
              <w:rPr>
                <w:rFonts w:ascii="宋体" w:hAnsi="宋体" w:eastAsia="宋体"/>
                <w:sz w:val="16"/>
              </w:rPr>
              <w:t>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8AC98">
            <w:pPr>
              <w:jc w:val="center"/>
            </w:pPr>
            <w:r>
              <w:rPr>
                <w:rFonts w:ascii="宋体" w:hAnsi="宋体" w:eastAsia="宋体"/>
                <w:sz w:val="16"/>
              </w:rPr>
              <w:t>偏差原因为：当年委托送检企业送检标准器增多增加检定业务量</w:t>
            </w:r>
          </w:p>
        </w:tc>
      </w:tr>
      <w:tr w14:paraId="4A640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B8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09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54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D3AB">
            <w:pPr>
              <w:jc w:val="center"/>
            </w:pPr>
            <w:r>
              <w:rPr>
                <w:rFonts w:ascii="宋体" w:hAnsi="宋体" w:eastAsia="宋体"/>
                <w:sz w:val="16"/>
              </w:rPr>
              <w:t>完成非强制检定台件数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6596">
            <w:pPr>
              <w:jc w:val="center"/>
            </w:pPr>
            <w:r>
              <w:rPr>
                <w:rFonts w:ascii="宋体" w:hAnsi="宋体" w:eastAsia="宋体"/>
                <w:sz w:val="16"/>
              </w:rPr>
              <w:t>&gt;=3000台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3E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9F60">
            <w:pPr>
              <w:jc w:val="center"/>
            </w:pPr>
            <w:r>
              <w:rPr>
                <w:rFonts w:ascii="宋体" w:hAnsi="宋体" w:eastAsia="宋体"/>
                <w:sz w:val="16"/>
              </w:rPr>
              <w:t>3000台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A0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0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38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8913">
            <w:pPr>
              <w:jc w:val="center"/>
            </w:pPr>
            <w:r>
              <w:rPr>
                <w:rFonts w:ascii="宋体" w:hAnsi="宋体" w:eastAsia="宋体"/>
                <w:sz w:val="16"/>
              </w:rPr>
              <w:t>=6485台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1C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C4A6">
            <w:pPr>
              <w:jc w:val="center"/>
            </w:pPr>
            <w:r>
              <w:rPr>
                <w:rFonts w:ascii="宋体" w:hAnsi="宋体" w:eastAsia="宋体"/>
                <w:sz w:val="16"/>
              </w:rPr>
              <w:t>偏差原因为：当年委托送检非强检计量器具增加，导致非强制检定计量器具增加</w:t>
            </w:r>
          </w:p>
        </w:tc>
      </w:tr>
      <w:tr w14:paraId="3303C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84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CF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4E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92D5">
            <w:pPr>
              <w:jc w:val="center"/>
            </w:pPr>
            <w:r>
              <w:rPr>
                <w:rFonts w:ascii="宋体" w:hAnsi="宋体" w:eastAsia="宋体"/>
                <w:sz w:val="16"/>
              </w:rPr>
              <w:t>计量器具检定完成率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5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D85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E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8E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79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CA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C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E1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110E2">
            <w:pPr>
              <w:jc w:val="center"/>
            </w:pPr>
          </w:p>
        </w:tc>
      </w:tr>
      <w:tr w14:paraId="2A278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89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5A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99D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0DF4">
            <w:pPr>
              <w:jc w:val="center"/>
            </w:pPr>
            <w:r>
              <w:rPr>
                <w:rFonts w:ascii="宋体" w:hAnsi="宋体" w:eastAsia="宋体"/>
                <w:sz w:val="16"/>
              </w:rPr>
              <w:t>设备检定完成时间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8BFD">
            <w:pPr>
              <w:jc w:val="center"/>
            </w:pPr>
            <w:r>
              <w:rPr>
                <w:rFonts w:ascii="宋体" w:hAnsi="宋体" w:eastAsia="宋体"/>
                <w:sz w:val="16"/>
              </w:rPr>
              <w:t>&lt;=15天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375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0B4C">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9E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95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2C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BF19">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A3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B3350">
            <w:pPr>
              <w:jc w:val="center"/>
            </w:pPr>
          </w:p>
        </w:tc>
      </w:tr>
      <w:tr w14:paraId="61A1A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43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7B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8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67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9B6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2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1F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1C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C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8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4253">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8D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7D7AF">
            <w:pPr>
              <w:jc w:val="center"/>
            </w:pPr>
          </w:p>
        </w:tc>
      </w:tr>
      <w:tr w14:paraId="3B799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FC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47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7E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C4D9">
            <w:pPr>
              <w:jc w:val="center"/>
            </w:pPr>
            <w:r>
              <w:rPr>
                <w:rFonts w:ascii="宋体" w:hAnsi="宋体" w:eastAsia="宋体"/>
                <w:sz w:val="16"/>
              </w:rPr>
              <w:t>单台计量器具检定成本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FE97">
            <w:pPr>
              <w:jc w:val="center"/>
            </w:pPr>
            <w:r>
              <w:rPr>
                <w:rFonts w:ascii="宋体" w:hAnsi="宋体" w:eastAsia="宋体"/>
                <w:sz w:val="16"/>
              </w:rPr>
              <w:t>&lt;=23.26元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B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CE0E0">
            <w:pPr>
              <w:jc w:val="center"/>
            </w:pPr>
            <w:r>
              <w:rPr>
                <w:rFonts w:ascii="宋体" w:hAnsi="宋体" w:eastAsia="宋体"/>
                <w:sz w:val="16"/>
              </w:rPr>
              <w:t>17.81元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C6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4B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7C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E7D4">
            <w:pPr>
              <w:jc w:val="center"/>
            </w:pPr>
            <w:r>
              <w:rPr>
                <w:rFonts w:ascii="宋体" w:hAnsi="宋体" w:eastAsia="宋体"/>
                <w:sz w:val="16"/>
              </w:rPr>
              <w:t>=21.77元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542D">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2606D">
            <w:pPr>
              <w:jc w:val="center"/>
            </w:pPr>
            <w:r>
              <w:rPr>
                <w:rFonts w:ascii="宋体" w:hAnsi="宋体" w:eastAsia="宋体"/>
                <w:sz w:val="16"/>
              </w:rPr>
              <w:t>偏差原因为：合理安排检定工作，节约检定成本，后期会更合理安排检定计划节约检定成本</w:t>
            </w:r>
          </w:p>
        </w:tc>
      </w:tr>
      <w:tr w14:paraId="56608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1A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B6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38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3847">
            <w:pPr>
              <w:jc w:val="center"/>
            </w:pPr>
            <w:r>
              <w:rPr>
                <w:rFonts w:ascii="宋体" w:hAnsi="宋体" w:eastAsia="宋体"/>
                <w:sz w:val="16"/>
              </w:rPr>
              <w:t>提高全地区计量数据质量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C12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21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EB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B0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1F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B4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0E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6BF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FC16E">
            <w:pPr>
              <w:jc w:val="center"/>
            </w:pPr>
          </w:p>
        </w:tc>
      </w:tr>
      <w:tr w14:paraId="1FD41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91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C7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EC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7849">
            <w:pPr>
              <w:jc w:val="center"/>
            </w:pPr>
            <w:r>
              <w:rPr>
                <w:rFonts w:ascii="宋体" w:hAnsi="宋体" w:eastAsia="宋体"/>
                <w:sz w:val="16"/>
              </w:rPr>
              <w:t>受检消费者满意度指标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5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BBC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5D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97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FB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1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0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8D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28DB">
            <w:pPr>
              <w:jc w:val="center"/>
            </w:pPr>
          </w:p>
        </w:tc>
      </w:tr>
      <w:tr w14:paraId="5DB1FF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062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BF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A76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4F51">
            <w:pPr>
              <w:jc w:val="center"/>
            </w:pPr>
            <w:r>
              <w:rPr>
                <w:rFonts w:ascii="宋体" w:hAnsi="宋体" w:eastAsia="宋体"/>
                <w:sz w:val="16"/>
              </w:rPr>
              <w:t>85.78分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4E5561"/>
        </w:tc>
      </w:tr>
    </w:tbl>
    <w:p w14:paraId="4458A0A9">
      <w:r>
        <w:br w:type="page"/>
      </w:r>
    </w:p>
    <w:p w14:paraId="58D60CFF">
      <w:pPr>
        <w:spacing w:line="640" w:lineRule="exact"/>
        <w:ind w:firstLine="640"/>
        <w:jc w:val="both"/>
        <w:outlineLvl w:val="2"/>
      </w:pPr>
      <w:r>
        <w:rPr>
          <w:rFonts w:ascii="黑体" w:hAnsi="黑体" w:eastAsia="黑体"/>
          <w:sz w:val="32"/>
        </w:rPr>
        <w:t>十二、其他需说明的事项</w:t>
      </w:r>
    </w:p>
    <w:p w14:paraId="3437535F">
      <w:pPr>
        <w:spacing w:line="580" w:lineRule="exact"/>
        <w:ind w:firstLine="640"/>
        <w:jc w:val="both"/>
      </w:pPr>
      <w:r>
        <w:rPr>
          <w:rFonts w:ascii="仿宋_GB2312" w:hAnsi="仿宋_GB2312" w:eastAsia="仿宋_GB2312"/>
          <w:b w:val="0"/>
          <w:sz w:val="32"/>
        </w:rPr>
        <w:t>本部门无其他需说明的事项。</w:t>
      </w:r>
    </w:p>
    <w:p w14:paraId="24600ACD">
      <w:r>
        <w:br w:type="page"/>
      </w:r>
    </w:p>
    <w:p w14:paraId="076F1C8F">
      <w:pPr>
        <w:spacing w:line="240" w:lineRule="auto"/>
        <w:jc w:val="center"/>
        <w:outlineLvl w:val="1"/>
      </w:pPr>
      <w:r>
        <w:rPr>
          <w:rFonts w:ascii="黑体" w:hAnsi="黑体" w:eastAsia="黑体"/>
          <w:sz w:val="32"/>
        </w:rPr>
        <w:t>第三部分 专业名词解释</w:t>
      </w:r>
    </w:p>
    <w:p w14:paraId="6F8BC72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3F3A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CD731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673E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C36E0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1F67C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7FA4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95A1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0E516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FD35F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4B009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75A54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D453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3395B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1C7884">
      <w:r>
        <w:br w:type="page"/>
      </w:r>
    </w:p>
    <w:p w14:paraId="3BDBE181">
      <w:pPr>
        <w:spacing w:line="240" w:lineRule="auto"/>
        <w:jc w:val="center"/>
        <w:outlineLvl w:val="1"/>
      </w:pPr>
      <w:r>
        <w:rPr>
          <w:rFonts w:ascii="黑体" w:hAnsi="黑体" w:eastAsia="黑体"/>
          <w:sz w:val="32"/>
        </w:rPr>
        <w:t>第四部分 部门决算报表（见附表）</w:t>
      </w:r>
    </w:p>
    <w:p w14:paraId="259582A5">
      <w:pPr>
        <w:spacing w:line="240" w:lineRule="auto"/>
        <w:ind w:firstLine="640"/>
        <w:jc w:val="both"/>
      </w:pPr>
      <w:r>
        <w:rPr>
          <w:rFonts w:ascii="仿宋_GB2312" w:hAnsi="仿宋_GB2312" w:eastAsia="仿宋_GB2312"/>
          <w:b w:val="0"/>
          <w:sz w:val="32"/>
        </w:rPr>
        <w:t>一、《收入支出决算总表》</w:t>
      </w:r>
    </w:p>
    <w:p w14:paraId="55D35BB3">
      <w:pPr>
        <w:spacing w:line="240" w:lineRule="auto"/>
        <w:ind w:firstLine="640"/>
        <w:jc w:val="both"/>
      </w:pPr>
      <w:r>
        <w:rPr>
          <w:rFonts w:ascii="仿宋_GB2312" w:hAnsi="仿宋_GB2312" w:eastAsia="仿宋_GB2312"/>
          <w:b w:val="0"/>
          <w:sz w:val="32"/>
        </w:rPr>
        <w:t>二、《收入决算表》</w:t>
      </w:r>
    </w:p>
    <w:p w14:paraId="18411C06">
      <w:pPr>
        <w:spacing w:line="240" w:lineRule="auto"/>
        <w:ind w:firstLine="640"/>
        <w:jc w:val="both"/>
      </w:pPr>
      <w:r>
        <w:rPr>
          <w:rFonts w:ascii="仿宋_GB2312" w:hAnsi="仿宋_GB2312" w:eastAsia="仿宋_GB2312"/>
          <w:b w:val="0"/>
          <w:sz w:val="32"/>
        </w:rPr>
        <w:t>三、《支出决算表》</w:t>
      </w:r>
    </w:p>
    <w:p w14:paraId="036CF2E8">
      <w:pPr>
        <w:spacing w:line="240" w:lineRule="auto"/>
        <w:ind w:firstLine="640"/>
        <w:jc w:val="both"/>
      </w:pPr>
      <w:r>
        <w:rPr>
          <w:rFonts w:ascii="仿宋_GB2312" w:hAnsi="仿宋_GB2312" w:eastAsia="仿宋_GB2312"/>
          <w:b w:val="0"/>
          <w:sz w:val="32"/>
        </w:rPr>
        <w:t>四、《财政拨款收入支出决算总表》</w:t>
      </w:r>
    </w:p>
    <w:p w14:paraId="5F6D0AC1">
      <w:pPr>
        <w:spacing w:line="240" w:lineRule="auto"/>
        <w:ind w:firstLine="640"/>
        <w:jc w:val="both"/>
      </w:pPr>
      <w:r>
        <w:rPr>
          <w:rFonts w:ascii="仿宋_GB2312" w:hAnsi="仿宋_GB2312" w:eastAsia="仿宋_GB2312"/>
          <w:b w:val="0"/>
          <w:sz w:val="32"/>
        </w:rPr>
        <w:t>五、《一般公共预算财政拨款支出决算表》</w:t>
      </w:r>
    </w:p>
    <w:p w14:paraId="3022563A">
      <w:pPr>
        <w:spacing w:line="240" w:lineRule="auto"/>
        <w:ind w:firstLine="640"/>
        <w:jc w:val="both"/>
      </w:pPr>
      <w:r>
        <w:rPr>
          <w:rFonts w:ascii="仿宋_GB2312" w:hAnsi="仿宋_GB2312" w:eastAsia="仿宋_GB2312"/>
          <w:b w:val="0"/>
          <w:sz w:val="32"/>
        </w:rPr>
        <w:t>六、《一般公共预算财政拨款基本支出决算表》</w:t>
      </w:r>
    </w:p>
    <w:p w14:paraId="24373058">
      <w:pPr>
        <w:spacing w:line="240" w:lineRule="auto"/>
        <w:ind w:firstLine="640"/>
        <w:jc w:val="both"/>
      </w:pPr>
      <w:r>
        <w:rPr>
          <w:rFonts w:ascii="仿宋_GB2312" w:hAnsi="仿宋_GB2312" w:eastAsia="仿宋_GB2312"/>
          <w:b w:val="0"/>
          <w:sz w:val="32"/>
        </w:rPr>
        <w:t>七、《政府性基金预算财政拨款收入支出决算表》</w:t>
      </w:r>
    </w:p>
    <w:p w14:paraId="69ACAC00">
      <w:pPr>
        <w:spacing w:line="240" w:lineRule="auto"/>
        <w:ind w:firstLine="640"/>
        <w:jc w:val="both"/>
      </w:pPr>
      <w:r>
        <w:rPr>
          <w:rFonts w:ascii="仿宋_GB2312" w:hAnsi="仿宋_GB2312" w:eastAsia="仿宋_GB2312"/>
          <w:b w:val="0"/>
          <w:sz w:val="32"/>
        </w:rPr>
        <w:t>八、《国有资本经营预算财政拨款收入支出决算表》</w:t>
      </w:r>
    </w:p>
    <w:p w14:paraId="0684B942">
      <w:pPr>
        <w:spacing w:line="240" w:lineRule="auto"/>
        <w:ind w:firstLine="640"/>
        <w:jc w:val="both"/>
      </w:pPr>
      <w:r>
        <w:rPr>
          <w:rFonts w:ascii="仿宋_GB2312" w:hAnsi="仿宋_GB2312" w:eastAsia="仿宋_GB2312"/>
          <w:b w:val="0"/>
          <w:sz w:val="32"/>
        </w:rPr>
        <w:t>九、《财政拨款“三公”经费支出决算表》</w:t>
      </w:r>
    </w:p>
    <w:p w14:paraId="28CB89A0">
      <w:pPr>
        <w:spacing w:line="240" w:lineRule="auto"/>
        <w:ind w:firstLine="640"/>
        <w:jc w:val="both"/>
      </w:pPr>
    </w:p>
    <w:p w14:paraId="2CB385DD">
      <w:pPr>
        <w:spacing w:line="240" w:lineRule="auto"/>
        <w:ind w:firstLine="640"/>
        <w:jc w:val="both"/>
      </w:pPr>
    </w:p>
    <w:p w14:paraId="4679EA93">
      <w:pPr>
        <w:spacing w:line="240" w:lineRule="auto"/>
        <w:ind w:firstLine="640"/>
        <w:jc w:val="both"/>
      </w:pPr>
    </w:p>
    <w:p w14:paraId="74E20D90">
      <w:pPr>
        <w:spacing w:line="240" w:lineRule="auto"/>
        <w:ind w:firstLine="640"/>
        <w:jc w:val="both"/>
      </w:pPr>
    </w:p>
    <w:p w14:paraId="4DC2118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1">
    <w:panose1 w:val="02000000000000000000"/>
    <w:charset w:val="86"/>
    <w:family w:val="auto"/>
    <w:pitch w:val="default"/>
    <w:sig w:usb0="A00002BF" w:usb1="38CF7CFA" w:usb2="00082016" w:usb3="00000000" w:csb0="00040001" w:csb1="00000000"/>
  </w:font>
  <w:font w:name="WPSEMBED2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261511"/>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E167B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580095"/>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4542</Words>
  <Characters>5208</Characters>
  <Lines>0</Lines>
  <Paragraphs>0</Paragraphs>
  <TotalTime>14</TotalTime>
  <ScaleCrop>false</ScaleCrop>
  <LinksUpToDate>false</LinksUpToDate>
  <CharactersWithSpaces>5216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2025-09-04T04:23:54Z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