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A2636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喀什市人民检察院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0D668A">
      <w:r>
        <w:br w:type="page"/>
      </w:r>
    </w:p>
    <w:p w14:paraId="58C10560">
      <w:pPr>
        <w:spacing w:line="640" w:lineRule="exact"/>
        <w:jc w:val="center"/>
        <w:outlineLvl w:val="1"/>
      </w:pPr>
      <w:r>
        <w:rPr>
          <w:rFonts w:ascii="黑体" w:hAnsi="黑体" w:eastAsia="黑体"/>
          <w:sz w:val="32"/>
        </w:rPr>
        <w:t>第一部分 部门概况</w:t>
      </w:r>
    </w:p>
    <w:p w14:paraId="278F22B0">
      <w:pPr>
        <w:spacing w:line="640" w:lineRule="exact"/>
        <w:ind w:firstLine="640"/>
        <w:jc w:val="both"/>
        <w:outlineLvl w:val="2"/>
      </w:pPr>
      <w:r>
        <w:rPr>
          <w:rFonts w:ascii="黑体" w:hAnsi="黑体" w:eastAsia="黑体"/>
          <w:sz w:val="32"/>
        </w:rPr>
        <w:t>一、主要职能</w:t>
      </w:r>
    </w:p>
    <w:p w14:paraId="292ECD18">
      <w:pPr>
        <w:spacing w:line="580" w:lineRule="exact"/>
        <w:ind w:firstLine="640"/>
        <w:jc w:val="both"/>
      </w:pPr>
      <w:r>
        <w:rPr>
          <w:rFonts w:ascii="仿宋_GB2312" w:hAnsi="仿宋_GB2312" w:eastAsia="仿宋_GB2312"/>
          <w:sz w:val="32"/>
        </w:rPr>
        <w:t>（一）深入贯彻习近平新时代中国特色社会主义思想，深入贯彻党的路线方针政策和决策部署，聚焦社会长治久安总目标，统一全院检察人员思想和行动，坚持党对检察工作的绝对领导，坚决维护习近平总书记的核心地位，坚决维护党中央权威和集中统一领导。</w:t>
      </w:r>
    </w:p>
    <w:p w14:paraId="2D47B197">
      <w:pPr>
        <w:spacing w:line="580" w:lineRule="exact"/>
        <w:ind w:firstLine="640"/>
        <w:jc w:val="both"/>
      </w:pPr>
      <w:r>
        <w:rPr>
          <w:rFonts w:ascii="仿宋_GB2312" w:hAnsi="仿宋_GB2312" w:eastAsia="仿宋_GB2312"/>
          <w:sz w:val="32"/>
        </w:rPr>
        <w:t>（二）依法向喀什市人民代表大会及其常务委员会提出议案。</w:t>
      </w:r>
    </w:p>
    <w:p w14:paraId="12696827">
      <w:pPr>
        <w:spacing w:line="580" w:lineRule="exact"/>
        <w:ind w:firstLine="640"/>
        <w:jc w:val="both"/>
      </w:pPr>
      <w:r>
        <w:rPr>
          <w:rFonts w:ascii="仿宋_GB2312" w:hAnsi="仿宋_GB2312" w:eastAsia="仿宋_GB2312"/>
          <w:sz w:val="32"/>
        </w:rPr>
        <w:t>（三）贯彻落实检察工作方针、总体规划，完成检察工作任务。</w:t>
      </w:r>
    </w:p>
    <w:p w14:paraId="0027F3FA">
      <w:pPr>
        <w:spacing w:line="580" w:lineRule="exact"/>
        <w:ind w:firstLine="640"/>
        <w:jc w:val="both"/>
      </w:pPr>
      <w:r>
        <w:rPr>
          <w:rFonts w:ascii="仿宋_GB2312" w:hAnsi="仿宋_GB2312" w:eastAsia="仿宋_GB2312"/>
          <w:sz w:val="32"/>
        </w:rPr>
        <w:t>（四）依法开展对刑事犯罪案件的审查批准逮捕、决定逮捕、审查起诉工作。</w:t>
      </w:r>
    </w:p>
    <w:p w14:paraId="50806943">
      <w:pPr>
        <w:spacing w:line="580" w:lineRule="exact"/>
        <w:ind w:firstLine="640"/>
        <w:jc w:val="both"/>
      </w:pPr>
      <w:r>
        <w:rPr>
          <w:rFonts w:ascii="仿宋_GB2312" w:hAnsi="仿宋_GB2312" w:eastAsia="仿宋_GB2312"/>
          <w:sz w:val="32"/>
        </w:rPr>
        <w:t>（五）负责应由喀什市人民检察院承办的刑事、民事、行政诉讼活动及刑事、民事、行政判决和裁定等生效法律文书执行的法律监督工作。</w:t>
      </w:r>
    </w:p>
    <w:p w14:paraId="5AA74653">
      <w:pPr>
        <w:spacing w:line="580" w:lineRule="exact"/>
        <w:ind w:firstLine="640"/>
        <w:jc w:val="both"/>
      </w:pPr>
      <w:r>
        <w:rPr>
          <w:rFonts w:ascii="仿宋_GB2312" w:hAnsi="仿宋_GB2312" w:eastAsia="仿宋_GB2312"/>
          <w:sz w:val="32"/>
        </w:rPr>
        <w:t>（六）负责对喀什市人民法院已发生法律效力、确有错误的判决和裁定，依法提请新疆维吾尔自治区人民检察院喀什检察分院向喀什地区中级人民法院提出抗诉。</w:t>
      </w:r>
    </w:p>
    <w:p w14:paraId="06A53CD1">
      <w:pPr>
        <w:spacing w:line="580" w:lineRule="exact"/>
        <w:ind w:firstLine="640"/>
        <w:jc w:val="both"/>
      </w:pPr>
      <w:r>
        <w:rPr>
          <w:rFonts w:ascii="仿宋_GB2312" w:hAnsi="仿宋_GB2312" w:eastAsia="仿宋_GB2312"/>
          <w:sz w:val="32"/>
        </w:rPr>
        <w:t>（七）负责应由喀什市人民检察院承办的提起公益诉讼工作。</w:t>
      </w:r>
    </w:p>
    <w:p w14:paraId="2CDC71BD">
      <w:pPr>
        <w:spacing w:line="580" w:lineRule="exact"/>
        <w:ind w:firstLine="640"/>
        <w:jc w:val="both"/>
      </w:pPr>
      <w:r>
        <w:rPr>
          <w:rFonts w:ascii="仿宋_GB2312" w:hAnsi="仿宋_GB2312" w:eastAsia="仿宋_GB2312"/>
          <w:sz w:val="32"/>
        </w:rPr>
        <w:t>（八）负责应由喀什市人民检察院承办的对安置教育机构、看守所、社区矫正机构等执法活动的法律监督工作。</w:t>
      </w:r>
    </w:p>
    <w:p w14:paraId="5C573FC1">
      <w:pPr>
        <w:spacing w:line="580" w:lineRule="exact"/>
        <w:ind w:firstLine="640"/>
        <w:jc w:val="both"/>
      </w:pPr>
      <w:r>
        <w:rPr>
          <w:rFonts w:ascii="仿宋_GB2312" w:hAnsi="仿宋_GB2312" w:eastAsia="仿宋_GB2312"/>
          <w:sz w:val="32"/>
        </w:rPr>
        <w:t>（九）受理向喀什市人民检察院的控告申诉，开展控告申诉检察工作。</w:t>
      </w:r>
    </w:p>
    <w:p w14:paraId="31EFAD33">
      <w:pPr>
        <w:spacing w:line="580" w:lineRule="exact"/>
        <w:ind w:firstLine="640"/>
        <w:jc w:val="both"/>
      </w:pPr>
      <w:r>
        <w:rPr>
          <w:rFonts w:ascii="仿宋_GB2312" w:hAnsi="仿宋_GB2312" w:eastAsia="仿宋_GB2312"/>
          <w:sz w:val="32"/>
        </w:rPr>
        <w:t>（十）开展检察应用和理论研究工作。</w:t>
      </w:r>
    </w:p>
    <w:p w14:paraId="4065B6A4">
      <w:pPr>
        <w:spacing w:line="580" w:lineRule="exact"/>
        <w:ind w:firstLine="640"/>
        <w:jc w:val="both"/>
      </w:pPr>
      <w:r>
        <w:rPr>
          <w:rFonts w:ascii="仿宋_GB2312" w:hAnsi="仿宋_GB2312" w:eastAsia="仿宋_GB2312"/>
          <w:sz w:val="32"/>
        </w:rPr>
        <w:t>（十一）负责本院队伍建设和思想政治工作。依法管理检察官及其他检察人员的工作，开展检察机关教育培训工作。</w:t>
      </w:r>
    </w:p>
    <w:p w14:paraId="56FEA178">
      <w:pPr>
        <w:spacing w:line="580" w:lineRule="exact"/>
        <w:ind w:firstLine="640"/>
        <w:jc w:val="both"/>
      </w:pPr>
      <w:r>
        <w:rPr>
          <w:rFonts w:ascii="仿宋_GB2312" w:hAnsi="仿宋_GB2312" w:eastAsia="仿宋_GB2312"/>
          <w:sz w:val="32"/>
        </w:rPr>
        <w:t>（十二）开展本院检务督察工作。</w:t>
      </w:r>
    </w:p>
    <w:p w14:paraId="04D64875">
      <w:pPr>
        <w:spacing w:line="580" w:lineRule="exact"/>
        <w:ind w:firstLine="640"/>
        <w:jc w:val="both"/>
      </w:pPr>
      <w:r>
        <w:rPr>
          <w:rFonts w:ascii="仿宋_GB2312" w:hAnsi="仿宋_GB2312" w:eastAsia="仿宋_GB2312"/>
          <w:sz w:val="32"/>
        </w:rPr>
        <w:t>（十三）开展检察机关的财务装备工作，检察技术信息工作。</w:t>
      </w:r>
    </w:p>
    <w:p w14:paraId="2AE19E98">
      <w:pPr>
        <w:spacing w:line="580" w:lineRule="exact"/>
        <w:ind w:firstLine="640"/>
        <w:jc w:val="both"/>
      </w:pPr>
      <w:r>
        <w:rPr>
          <w:rFonts w:ascii="仿宋_GB2312" w:hAnsi="仿宋_GB2312" w:eastAsia="仿宋_GB2312"/>
          <w:sz w:val="32"/>
        </w:rPr>
        <w:t>（十四）负责其他应当由喀什市人民检察院承办的事项。</w:t>
      </w:r>
    </w:p>
    <w:p w14:paraId="439D6D98">
      <w:pPr>
        <w:spacing w:line="640" w:lineRule="exact"/>
        <w:ind w:firstLine="640"/>
        <w:jc w:val="both"/>
        <w:outlineLvl w:val="2"/>
      </w:pPr>
      <w:r>
        <w:rPr>
          <w:rFonts w:ascii="黑体" w:hAnsi="黑体" w:eastAsia="黑体"/>
          <w:sz w:val="32"/>
        </w:rPr>
        <w:t>二、机构设置及人员情况</w:t>
      </w:r>
    </w:p>
    <w:p w14:paraId="487A26A8">
      <w:pPr>
        <w:spacing w:line="580" w:lineRule="exact"/>
        <w:ind w:firstLine="640"/>
        <w:jc w:val="both"/>
      </w:pPr>
      <w:r>
        <w:rPr>
          <w:rFonts w:ascii="仿宋_GB2312" w:hAnsi="仿宋_GB2312" w:eastAsia="仿宋_GB2312"/>
          <w:sz w:val="32"/>
        </w:rPr>
        <w:t>喀什市人民检察院2024年度，实有人数111人，其中：在职人员65人，增加6人；离休人员0人，增加0人；退休人员46人,减少2人。</w:t>
      </w:r>
    </w:p>
    <w:p w14:paraId="3A0B98C4">
      <w:pPr>
        <w:spacing w:line="580" w:lineRule="exact"/>
        <w:ind w:firstLine="640"/>
        <w:jc w:val="both"/>
      </w:pPr>
      <w:r>
        <w:rPr>
          <w:rFonts w:ascii="仿宋_GB2312" w:hAnsi="仿宋_GB2312" w:eastAsia="仿宋_GB2312"/>
          <w:sz w:val="32"/>
        </w:rPr>
        <w:t>喀什市人民检察院无下属预算单位，下设8个科室，分别是：政治部、办公室、第一检察部、第二检察部、第三检察部、第四检察部、第五检察部、综合检察业务部。</w:t>
      </w:r>
    </w:p>
    <w:p w14:paraId="09EC2A4C">
      <w:r>
        <w:br w:type="page"/>
      </w:r>
    </w:p>
    <w:p w14:paraId="2F76025B">
      <w:pPr>
        <w:spacing w:line="240" w:lineRule="auto"/>
        <w:jc w:val="center"/>
        <w:outlineLvl w:val="1"/>
      </w:pPr>
      <w:r>
        <w:rPr>
          <w:rFonts w:ascii="黑体" w:hAnsi="黑体" w:eastAsia="黑体"/>
          <w:sz w:val="32"/>
        </w:rPr>
        <w:t>第二部分 部门决算情况说明</w:t>
      </w:r>
    </w:p>
    <w:p w14:paraId="46D2126B">
      <w:pPr>
        <w:spacing w:line="640" w:lineRule="exact"/>
        <w:ind w:firstLine="640"/>
        <w:jc w:val="both"/>
        <w:outlineLvl w:val="2"/>
      </w:pPr>
      <w:r>
        <w:rPr>
          <w:rFonts w:ascii="黑体" w:hAnsi="黑体" w:eastAsia="黑体"/>
          <w:sz w:val="32"/>
        </w:rPr>
        <w:t>一、收入支出决算总体情况说明</w:t>
      </w:r>
    </w:p>
    <w:p w14:paraId="35310EFC">
      <w:pPr>
        <w:spacing w:line="580" w:lineRule="exact"/>
        <w:ind w:firstLine="640"/>
        <w:jc w:val="both"/>
      </w:pPr>
      <w:r>
        <w:rPr>
          <w:rFonts w:ascii="仿宋_GB2312" w:hAnsi="仿宋_GB2312" w:eastAsia="仿宋_GB2312"/>
          <w:b/>
          <w:sz w:val="32"/>
        </w:rPr>
        <w:t>2024年度收入总计2,203.28万元，</w:t>
      </w:r>
      <w:r>
        <w:rPr>
          <w:rFonts w:ascii="仿宋_GB2312" w:hAnsi="仿宋_GB2312" w:eastAsia="仿宋_GB2312"/>
          <w:b w:val="0"/>
          <w:sz w:val="32"/>
        </w:rPr>
        <w:t>其中：本年收入合计2,203.28万元，使用非财政拨款结余（含专用结余）0.00万元，年初结转和结余0.00万元。</w:t>
      </w:r>
    </w:p>
    <w:p w14:paraId="013A9023">
      <w:pPr>
        <w:spacing w:line="580" w:lineRule="exact"/>
        <w:ind w:firstLine="640"/>
        <w:jc w:val="both"/>
      </w:pPr>
      <w:r>
        <w:rPr>
          <w:rFonts w:ascii="仿宋_GB2312" w:hAnsi="仿宋_GB2312" w:eastAsia="仿宋_GB2312"/>
          <w:b/>
          <w:sz w:val="32"/>
        </w:rPr>
        <w:t>2024年度支出总计2,203.28万元，</w:t>
      </w:r>
      <w:r>
        <w:rPr>
          <w:rFonts w:ascii="仿宋_GB2312" w:hAnsi="仿宋_GB2312" w:eastAsia="仿宋_GB2312"/>
          <w:b w:val="0"/>
          <w:sz w:val="32"/>
        </w:rPr>
        <w:t>其中：本年支出合计2,203.28万元，结余分配0.00万元，年末结转和结余0.00万元。</w:t>
      </w:r>
    </w:p>
    <w:p w14:paraId="7CABEBE3">
      <w:pPr>
        <w:spacing w:line="580" w:lineRule="exact"/>
        <w:ind w:firstLine="640"/>
        <w:jc w:val="both"/>
      </w:pPr>
      <w:r>
        <w:rPr>
          <w:rFonts w:ascii="仿宋_GB2312" w:hAnsi="仿宋_GB2312" w:eastAsia="仿宋_GB2312"/>
          <w:b w:val="0"/>
          <w:sz w:val="32"/>
        </w:rPr>
        <w:t>收入支出总体与上年相比，增加45.25万元，增长2.10%，主要原因是：本年在职人员增加，在职人员工资调增、社保、公积金基数调增，人员经费增加。</w:t>
      </w:r>
    </w:p>
    <w:p w14:paraId="4F86E109">
      <w:pPr>
        <w:spacing w:line="640" w:lineRule="exact"/>
        <w:ind w:firstLine="640"/>
        <w:jc w:val="both"/>
        <w:outlineLvl w:val="2"/>
      </w:pPr>
      <w:r>
        <w:rPr>
          <w:rFonts w:ascii="黑体" w:hAnsi="黑体" w:eastAsia="黑体"/>
          <w:sz w:val="32"/>
        </w:rPr>
        <w:t>二、收入决算情况说明</w:t>
      </w:r>
    </w:p>
    <w:p w14:paraId="53898BAC">
      <w:pPr>
        <w:spacing w:line="580" w:lineRule="exact"/>
        <w:ind w:firstLine="640"/>
        <w:jc w:val="both"/>
      </w:pPr>
      <w:r>
        <w:rPr>
          <w:rFonts w:ascii="仿宋_GB2312" w:hAnsi="仿宋_GB2312" w:eastAsia="仿宋_GB2312"/>
          <w:b/>
          <w:sz w:val="32"/>
        </w:rPr>
        <w:t>本年收入2,203.28万元，</w:t>
      </w:r>
      <w:r>
        <w:rPr>
          <w:rFonts w:ascii="仿宋_GB2312" w:hAnsi="仿宋_GB2312" w:eastAsia="仿宋_GB2312"/>
          <w:b w:val="0"/>
          <w:sz w:val="32"/>
        </w:rPr>
        <w:t>其中：财政拨款收入2,173.28万元，占98.64%；上级补助收入0.00万元，占0.00%；事业收入0.00万元，占0.00%；经营收入0.00万元，占0.00%；附属单位上缴收入0.00万元，占0.00%；其他收入30.00万元，占1.36%。</w:t>
      </w:r>
    </w:p>
    <w:p w14:paraId="3D5D1BEC">
      <w:pPr>
        <w:spacing w:line="640" w:lineRule="exact"/>
        <w:ind w:firstLine="640"/>
        <w:jc w:val="both"/>
        <w:outlineLvl w:val="2"/>
      </w:pPr>
      <w:r>
        <w:rPr>
          <w:rFonts w:ascii="黑体" w:hAnsi="黑体" w:eastAsia="黑体"/>
          <w:sz w:val="32"/>
        </w:rPr>
        <w:t>三、支出决算情况说明</w:t>
      </w:r>
    </w:p>
    <w:p w14:paraId="554FA8FC">
      <w:pPr>
        <w:spacing w:line="580" w:lineRule="exact"/>
        <w:ind w:firstLine="640"/>
        <w:jc w:val="both"/>
      </w:pPr>
      <w:r>
        <w:rPr>
          <w:rFonts w:ascii="仿宋_GB2312" w:hAnsi="仿宋_GB2312" w:eastAsia="仿宋_GB2312"/>
          <w:b/>
          <w:sz w:val="32"/>
        </w:rPr>
        <w:t>本年支出2,203.28万元，</w:t>
      </w:r>
      <w:r>
        <w:rPr>
          <w:rFonts w:ascii="仿宋_GB2312" w:hAnsi="仿宋_GB2312" w:eastAsia="仿宋_GB2312"/>
          <w:b w:val="0"/>
          <w:sz w:val="32"/>
        </w:rPr>
        <w:t>其中：基本支出1,745.31万元，占79.21%；项目支出457.97万元，占20.79%；上缴上级支出0.00万元，占0.00%；经营支出0.00万元，占0.00%；对附属单位补助支出0.00万元，占0.00%。</w:t>
      </w:r>
    </w:p>
    <w:p w14:paraId="257E1C6D">
      <w:pPr>
        <w:spacing w:line="640" w:lineRule="exact"/>
        <w:ind w:firstLine="640"/>
        <w:jc w:val="both"/>
        <w:outlineLvl w:val="2"/>
      </w:pPr>
      <w:r>
        <w:rPr>
          <w:rFonts w:ascii="黑体" w:hAnsi="黑体" w:eastAsia="黑体"/>
          <w:sz w:val="32"/>
        </w:rPr>
        <w:t>四、财政拨款收入支出决算总体情况说明</w:t>
      </w:r>
    </w:p>
    <w:p w14:paraId="26848CBC">
      <w:pPr>
        <w:spacing w:line="580" w:lineRule="exact"/>
        <w:ind w:firstLine="640"/>
        <w:jc w:val="both"/>
      </w:pPr>
      <w:r>
        <w:rPr>
          <w:rFonts w:ascii="仿宋_GB2312" w:hAnsi="仿宋_GB2312" w:eastAsia="仿宋_GB2312"/>
          <w:b/>
          <w:sz w:val="32"/>
        </w:rPr>
        <w:t>2024年度财政拨款收入总计2,173.28万元，</w:t>
      </w:r>
      <w:r>
        <w:rPr>
          <w:rFonts w:ascii="仿宋_GB2312" w:hAnsi="仿宋_GB2312" w:eastAsia="仿宋_GB2312"/>
          <w:b w:val="0"/>
          <w:sz w:val="32"/>
        </w:rPr>
        <w:t>其中：年初财政拨款结转和结余0.00万元，本年财政拨款收入2,173.28万元。</w:t>
      </w:r>
      <w:r>
        <w:rPr>
          <w:rFonts w:ascii="仿宋_GB2312" w:hAnsi="仿宋_GB2312" w:eastAsia="仿宋_GB2312"/>
          <w:b/>
          <w:sz w:val="32"/>
        </w:rPr>
        <w:t>财政拨款支出总计2,173.28万元，</w:t>
      </w:r>
      <w:r>
        <w:rPr>
          <w:rFonts w:ascii="仿宋_GB2312" w:hAnsi="仿宋_GB2312" w:eastAsia="仿宋_GB2312"/>
          <w:b w:val="0"/>
          <w:sz w:val="32"/>
        </w:rPr>
        <w:t>其中：年末财政拨款结转和结余0.00万元，本年财政拨款支出2,173.28万元。</w:t>
      </w:r>
    </w:p>
    <w:p w14:paraId="4CAD37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增加15.25万元，增长0.71%，主要原因是：本年在职人员增加，在职人员工资调增、社保、公积金基数调增，人员经费增加。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年初预算数1,973.66万元，决算数2,173.28万元，预决算差异率10.11%，主要原因是：本年在职人员增加，年中追加人员经费及人员工资、社保、公积金基数调增部分资金，导致预决算存在差异。</w:t>
      </w:r>
    </w:p>
    <w:p w14:paraId="0D187A12">
      <w:pPr>
        <w:spacing w:line="640" w:lineRule="exact"/>
        <w:ind w:firstLine="640"/>
        <w:jc w:val="both"/>
        <w:outlineLvl w:val="2"/>
      </w:pPr>
      <w:r>
        <w:rPr>
          <w:rFonts w:ascii="黑体" w:hAnsi="黑体" w:eastAsia="黑体"/>
          <w:sz w:val="32"/>
        </w:rPr>
        <w:t>五、一般公共预算财政拨款支出决算情况说明</w:t>
      </w:r>
    </w:p>
    <w:p w14:paraId="67120245">
      <w:pPr>
        <w:spacing w:line="640" w:lineRule="exact"/>
        <w:ind w:firstLine="640"/>
        <w:jc w:val="both"/>
        <w:outlineLvl w:val="3"/>
      </w:pPr>
      <w:r>
        <w:rPr>
          <w:rFonts w:ascii="楷体_GB2312" w:hAnsi="楷体_GB2312" w:eastAsia="楷体_GB2312"/>
          <w:b/>
          <w:sz w:val="32"/>
        </w:rPr>
        <w:t>（一）一般公共预算财政拨款支出决算总体情况</w:t>
      </w:r>
    </w:p>
    <w:p w14:paraId="4BB89BCE">
      <w:pPr>
        <w:spacing w:line="580" w:lineRule="exact"/>
        <w:ind w:firstLine="640"/>
        <w:jc w:val="both"/>
      </w:pPr>
      <w:r>
        <w:rPr>
          <w:rFonts w:ascii="仿宋_GB2312" w:hAnsi="仿宋_GB2312" w:eastAsia="仿宋_GB2312"/>
          <w:b/>
          <w:sz w:val="32"/>
        </w:rPr>
        <w:t>2024年度一般公共预算财政拨款支出2,173.28万元，</w:t>
      </w:r>
      <w:r>
        <w:rPr>
          <w:rFonts w:ascii="仿宋_GB2312" w:hAnsi="仿宋_GB2312" w:eastAsia="仿宋_GB2312"/>
          <w:b w:val="0"/>
          <w:sz w:val="32"/>
        </w:rPr>
        <w:t>占本年支出合计的98.64%。</w:t>
      </w:r>
      <w:r>
        <w:rPr>
          <w:rFonts w:ascii="仿宋_GB2312" w:hAnsi="仿宋_GB2312" w:eastAsia="仿宋_GB2312"/>
          <w:b/>
          <w:sz w:val="32"/>
        </w:rPr>
        <w:t>与上年相比，</w:t>
      </w:r>
      <w:r>
        <w:rPr>
          <w:rFonts w:ascii="仿宋_GB2312" w:hAnsi="仿宋_GB2312" w:eastAsia="仿宋_GB2312"/>
          <w:b w:val="0"/>
          <w:sz w:val="32"/>
        </w:rPr>
        <w:t>增加15.25万元，增长0.71%，主要原因是：本年在职人员增加，在职人员工资调增、社保、公积金基数调增，人员经费增加。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年初预算数1,973.66万元，决算数2,173.28万元，预决算差异率10.11%，主要原因是：本年在职人员增加，年中追加人员经费及人员工资、社保、公积金基数调增部分资金，导致预决算存在差异。</w:t>
      </w:r>
    </w:p>
    <w:p w14:paraId="31D3560D">
      <w:pPr>
        <w:spacing w:line="640" w:lineRule="exact"/>
        <w:ind w:firstLine="640"/>
        <w:jc w:val="both"/>
        <w:outlineLvl w:val="3"/>
      </w:pPr>
      <w:r>
        <w:rPr>
          <w:rFonts w:ascii="楷体_GB2312" w:hAnsi="楷体_GB2312" w:eastAsia="楷体_GB2312"/>
          <w:b/>
          <w:sz w:val="32"/>
        </w:rPr>
        <w:t>（二）一般公共预算财政拨款支出决算结构情况</w:t>
      </w:r>
    </w:p>
    <w:p w14:paraId="2A8B5E2F">
      <w:pPr>
        <w:spacing w:line="580" w:lineRule="exact"/>
        <w:ind w:firstLine="640"/>
        <w:jc w:val="both"/>
      </w:pPr>
      <w:r>
        <w:rPr>
          <w:rFonts w:ascii="仿宋_GB2312" w:hAnsi="仿宋_GB2312" w:eastAsia="仿宋_GB2312"/>
          <w:b w:val="0"/>
          <w:sz w:val="32"/>
        </w:rPr>
        <w:t>1.公共安全支出(类)1,767.47万元,占81.33%。</w:t>
      </w:r>
    </w:p>
    <w:p w14:paraId="28FBB913">
      <w:pPr>
        <w:spacing w:line="580" w:lineRule="exact"/>
        <w:ind w:firstLine="640"/>
        <w:jc w:val="both"/>
      </w:pPr>
      <w:r>
        <w:rPr>
          <w:rFonts w:ascii="仿宋_GB2312" w:hAnsi="仿宋_GB2312" w:eastAsia="仿宋_GB2312"/>
          <w:b w:val="0"/>
          <w:sz w:val="32"/>
        </w:rPr>
        <w:t>2.社会保障和就业支出(类)240.50万元,占11.07%。</w:t>
      </w:r>
    </w:p>
    <w:p w14:paraId="75E89F68">
      <w:pPr>
        <w:spacing w:line="580" w:lineRule="exact"/>
        <w:ind w:firstLine="640"/>
        <w:jc w:val="both"/>
      </w:pPr>
      <w:r>
        <w:rPr>
          <w:rFonts w:ascii="仿宋_GB2312" w:hAnsi="仿宋_GB2312" w:eastAsia="仿宋_GB2312"/>
          <w:b w:val="0"/>
          <w:sz w:val="32"/>
        </w:rPr>
        <w:t>3.卫生健康支出(类)65.65万元,占3.02%。</w:t>
      </w:r>
    </w:p>
    <w:p w14:paraId="16BBBE49">
      <w:pPr>
        <w:spacing w:line="580" w:lineRule="exact"/>
        <w:ind w:firstLine="640"/>
        <w:jc w:val="both"/>
      </w:pPr>
      <w:r>
        <w:rPr>
          <w:rFonts w:ascii="仿宋_GB2312" w:hAnsi="仿宋_GB2312" w:eastAsia="仿宋_GB2312"/>
          <w:b w:val="0"/>
          <w:sz w:val="32"/>
        </w:rPr>
        <w:t>4.住房保障支出(类)99.65万元,占4.59%。</w:t>
      </w:r>
    </w:p>
    <w:p w14:paraId="5D17460A">
      <w:pPr>
        <w:spacing w:line="640" w:lineRule="exact"/>
        <w:ind w:firstLine="640"/>
        <w:jc w:val="both"/>
        <w:outlineLvl w:val="3"/>
      </w:pPr>
      <w:r>
        <w:rPr>
          <w:rFonts w:ascii="楷体_GB2312" w:hAnsi="楷体_GB2312" w:eastAsia="楷体_GB2312"/>
          <w:b/>
          <w:sz w:val="32"/>
        </w:rPr>
        <w:t>（三）一般公共预算财政拨款支出决算具体情况</w:t>
      </w:r>
    </w:p>
    <w:p w14:paraId="68002B3C">
      <w:pPr>
        <w:spacing w:line="580" w:lineRule="exact"/>
        <w:ind w:firstLine="640"/>
        <w:jc w:val="both"/>
      </w:pPr>
      <w:r>
        <w:rPr>
          <w:rFonts w:ascii="仿宋_GB2312" w:hAnsi="仿宋_GB2312" w:eastAsia="仿宋_GB2312"/>
          <w:b w:val="0"/>
          <w:sz w:val="32"/>
        </w:rPr>
        <w:t>1.公共安全支出(类)检察(款)行政运行(项):支出决算数为1,339.50万元，比上年决算增加85.93万元，增长6.85%,主要原因是：本年在职人员工资调增，导致相关人员经费较上年有所增加。</w:t>
      </w:r>
    </w:p>
    <w:p w14:paraId="0ECDFC31">
      <w:pPr>
        <w:spacing w:line="580" w:lineRule="exact"/>
        <w:ind w:firstLine="640"/>
        <w:jc w:val="both"/>
      </w:pPr>
      <w:r>
        <w:rPr>
          <w:rFonts w:ascii="仿宋_GB2312" w:hAnsi="仿宋_GB2312" w:eastAsia="仿宋_GB2312"/>
          <w:b w:val="0"/>
          <w:sz w:val="32"/>
        </w:rPr>
        <w:t>2.公共安全支出(类)检察(款)一般行政管理事务(项):支出决算数为101.77万元，比上年决算减少25.15万元，下降19.82%,主要原因是：本年减少机关事务保障项目经费，导致相关经费减少。</w:t>
      </w:r>
    </w:p>
    <w:p w14:paraId="78D94D00">
      <w:pPr>
        <w:spacing w:line="580" w:lineRule="exact"/>
        <w:ind w:firstLine="640"/>
        <w:jc w:val="both"/>
      </w:pPr>
      <w:r>
        <w:rPr>
          <w:rFonts w:ascii="仿宋_GB2312" w:hAnsi="仿宋_GB2312" w:eastAsia="仿宋_GB2312"/>
          <w:b w:val="0"/>
          <w:sz w:val="32"/>
        </w:rPr>
        <w:t>3.公共安全支出(类)检察(款)检察监督(项):支出决算数为11.71万元，比上年决算增加11.71万元，增长100.00%,主要原因是：本年增加2024年度绩效考核奖金项目经费，导致相关经费增加。</w:t>
      </w:r>
    </w:p>
    <w:p w14:paraId="1698E547">
      <w:pPr>
        <w:spacing w:line="580" w:lineRule="exact"/>
        <w:ind w:firstLine="640"/>
        <w:jc w:val="both"/>
      </w:pPr>
      <w:r>
        <w:rPr>
          <w:rFonts w:ascii="仿宋_GB2312" w:hAnsi="仿宋_GB2312" w:eastAsia="仿宋_GB2312"/>
          <w:b w:val="0"/>
          <w:sz w:val="32"/>
        </w:rPr>
        <w:t>4.公共安全支出(类)检察(款)其他检察支出(项):支出决算数为314.49万元，比上年决算减少132.54万元，下降29.65%,主要原因是：本年减少专项项目经费，导致相关经费减少。</w:t>
      </w:r>
    </w:p>
    <w:p w14:paraId="10BA5226">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5.社会保障和就业支出(类)行政事业单位养老支出(款)行政单位离退休(项):支出决算数为72.25万元，比上年决算增加13.18万元，增长22.31%,主要原因是：本年</w:t>
      </w:r>
      <w:r>
        <w:rPr>
          <w:rFonts w:hint="eastAsia" w:ascii="仿宋_GB2312" w:hAnsi="仿宋_GB2312" w:eastAsia="仿宋_GB2312"/>
          <w:b w:val="0"/>
          <w:sz w:val="32"/>
          <w:lang w:val="en-US" w:eastAsia="zh-CN"/>
        </w:rPr>
        <w:t>新增死亡人员，死亡抚恤金支出增加。</w:t>
      </w:r>
    </w:p>
    <w:p w14:paraId="25973AB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119.36万元，比上年决算增加25.21万元，增长26.78%,主要原因是：本年在职人员增加，养老保险缴费较上年增加。</w:t>
      </w:r>
    </w:p>
    <w:p w14:paraId="580B9BC0">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2.54万元，比上年决算减少16.79万元，下降86.86%,主要原因是：本年新增退休人员及辞职人员较上年减少，导致职业年金缴费支出减少。</w:t>
      </w:r>
    </w:p>
    <w:p w14:paraId="34B7C511">
      <w:pPr>
        <w:spacing w:line="580" w:lineRule="exact"/>
        <w:ind w:firstLine="640"/>
        <w:jc w:val="both"/>
      </w:pPr>
      <w:r>
        <w:rPr>
          <w:rFonts w:ascii="仿宋_GB2312" w:hAnsi="仿宋_GB2312" w:eastAsia="仿宋_GB2312"/>
          <w:b w:val="0"/>
          <w:sz w:val="32"/>
        </w:rPr>
        <w:t>8.社会保障和就业支出(类)抚恤(款)死亡抚恤(项):支出决算数为46.35万元，比上年决算增加24.52万元，增长112.32%,主要原因是：本年新增死亡人员较上年增加，死亡抚恤支出增加。</w:t>
      </w:r>
    </w:p>
    <w:p w14:paraId="057E454F">
      <w:pPr>
        <w:spacing w:line="580" w:lineRule="exact"/>
        <w:ind w:firstLine="640"/>
        <w:jc w:val="both"/>
      </w:pPr>
      <w:r>
        <w:rPr>
          <w:rFonts w:ascii="仿宋_GB2312" w:hAnsi="仿宋_GB2312" w:eastAsia="仿宋_GB2312"/>
          <w:b w:val="0"/>
          <w:sz w:val="32"/>
        </w:rPr>
        <w:t>9.卫生健康支出(类)行政事业单位医疗(款)行政单位医疗(项):支出决算数为50.73万元，比上年决算增加10.57万元，增长26.32%,主要原因是：本年在职人员增加，行政单位医疗支出较上年增加。</w:t>
      </w:r>
    </w:p>
    <w:p w14:paraId="1C864220">
      <w:pPr>
        <w:spacing w:line="580" w:lineRule="exact"/>
        <w:ind w:firstLine="640"/>
        <w:jc w:val="both"/>
      </w:pPr>
      <w:r>
        <w:rPr>
          <w:rFonts w:ascii="仿宋_GB2312" w:hAnsi="仿宋_GB2312" w:eastAsia="仿宋_GB2312"/>
          <w:b w:val="0"/>
          <w:sz w:val="32"/>
        </w:rPr>
        <w:t>10.卫生健康支出(类)行政事业单位医疗(款)公务员医疗补助(项):支出决算数为14.92万元，比上年决算增加3.11万元，增长26.33%,主要原因是：本年在职人员增加，公务员医疗补助较上年增加。</w:t>
      </w:r>
    </w:p>
    <w:p w14:paraId="50C98A66">
      <w:pPr>
        <w:spacing w:line="580" w:lineRule="exact"/>
        <w:ind w:firstLine="640"/>
        <w:jc w:val="both"/>
      </w:pPr>
      <w:r>
        <w:rPr>
          <w:rFonts w:ascii="仿宋_GB2312" w:hAnsi="仿宋_GB2312" w:eastAsia="仿宋_GB2312"/>
          <w:b w:val="0"/>
          <w:sz w:val="32"/>
        </w:rPr>
        <w:t>11.住房保障支出(类)住房改革支出(款)住房公积金(项):支出决算数为99.65万元，比上年决算增加15.50万元，增长18.42%,主要原因是：本年在职人员增加，住房公积金支出较上年增加。</w:t>
      </w:r>
    </w:p>
    <w:p w14:paraId="0DBBC07F">
      <w:pPr>
        <w:spacing w:line="640" w:lineRule="exact"/>
        <w:ind w:firstLine="640"/>
        <w:jc w:val="both"/>
        <w:outlineLvl w:val="2"/>
      </w:pPr>
      <w:r>
        <w:rPr>
          <w:rFonts w:ascii="黑体" w:hAnsi="黑体" w:eastAsia="黑体"/>
          <w:sz w:val="32"/>
        </w:rPr>
        <w:t>六、一般公共预算财政拨款基本支出决算情况说明</w:t>
      </w:r>
    </w:p>
    <w:p w14:paraId="22573630">
      <w:pPr>
        <w:spacing w:line="580" w:lineRule="exact"/>
        <w:ind w:firstLine="640"/>
        <w:jc w:val="both"/>
      </w:pPr>
      <w:r>
        <w:rPr>
          <w:rFonts w:ascii="仿宋_GB2312" w:hAnsi="仿宋_GB2312" w:eastAsia="仿宋_GB2312"/>
          <w:b w:val="0"/>
          <w:sz w:val="32"/>
        </w:rPr>
        <w:t>2024年度一般公共预算财政拨款基本支出1,745.31万元，其中：</w:t>
      </w:r>
      <w:r>
        <w:rPr>
          <w:rFonts w:ascii="仿宋_GB2312" w:hAnsi="仿宋_GB2312" w:eastAsia="仿宋_GB2312"/>
          <w:b/>
          <w:sz w:val="32"/>
        </w:rPr>
        <w:t>人员经费1,647.94万元，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2F38ABDF">
      <w:pPr>
        <w:spacing w:line="580" w:lineRule="exact"/>
        <w:ind w:firstLine="640"/>
        <w:jc w:val="both"/>
      </w:pPr>
      <w:r>
        <w:rPr>
          <w:rFonts w:ascii="仿宋_GB2312" w:hAnsi="仿宋_GB2312" w:eastAsia="仿宋_GB2312"/>
          <w:b/>
          <w:sz w:val="32"/>
        </w:rPr>
        <w:t>公用经费97.37万元，</w:t>
      </w:r>
      <w:r>
        <w:rPr>
          <w:rFonts w:ascii="仿宋_GB2312" w:hAnsi="仿宋_GB2312" w:eastAsia="仿宋_GB2312"/>
          <w:b w:val="0"/>
          <w:sz w:val="32"/>
        </w:rPr>
        <w:t>包括：办公费、水费、电费、邮电费、取暖费、物业管理费、差旅费、维修（护）费、租赁费、专用材料费、工会经费、公务用车运行维护费、其他商品和服务支出。</w:t>
      </w:r>
    </w:p>
    <w:p w14:paraId="716AA463">
      <w:pPr>
        <w:spacing w:line="640" w:lineRule="exact"/>
        <w:ind w:firstLine="640"/>
        <w:jc w:val="both"/>
        <w:outlineLvl w:val="2"/>
      </w:pPr>
      <w:r>
        <w:rPr>
          <w:rFonts w:ascii="黑体" w:hAnsi="黑体" w:eastAsia="黑体"/>
          <w:sz w:val="32"/>
        </w:rPr>
        <w:t>七、政府性基金预算财政拨款收入支出决算情况说明</w:t>
      </w:r>
    </w:p>
    <w:p w14:paraId="601C15D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94BA42B">
      <w:pPr>
        <w:spacing w:line="640" w:lineRule="exact"/>
        <w:ind w:firstLine="640"/>
        <w:jc w:val="both"/>
        <w:outlineLvl w:val="2"/>
      </w:pPr>
      <w:r>
        <w:rPr>
          <w:rFonts w:ascii="黑体" w:hAnsi="黑体" w:eastAsia="黑体"/>
          <w:sz w:val="32"/>
        </w:rPr>
        <w:t>八、国有资本经营预算财政拨款收入支出决算情况说明</w:t>
      </w:r>
    </w:p>
    <w:p w14:paraId="6C8A7B0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B5F7853">
      <w:pPr>
        <w:spacing w:line="640" w:lineRule="exact"/>
        <w:ind w:firstLine="640"/>
        <w:jc w:val="both"/>
        <w:outlineLvl w:val="2"/>
      </w:pPr>
      <w:r>
        <w:rPr>
          <w:rFonts w:ascii="黑体" w:hAnsi="黑体" w:eastAsia="黑体"/>
          <w:sz w:val="32"/>
        </w:rPr>
        <w:t>九、财政拨款“三公”经费支出决算情况说明</w:t>
      </w:r>
    </w:p>
    <w:p w14:paraId="569A4A18">
      <w:pPr>
        <w:spacing w:line="580" w:lineRule="exact"/>
        <w:ind w:firstLine="640"/>
        <w:jc w:val="both"/>
      </w:pPr>
      <w:r>
        <w:rPr>
          <w:rFonts w:ascii="仿宋_GB2312" w:hAnsi="仿宋_GB2312" w:eastAsia="仿宋_GB2312"/>
          <w:b/>
          <w:sz w:val="32"/>
        </w:rPr>
        <w:t>2024年度财政拨款“三公”经费支出16.77万元，</w:t>
      </w:r>
      <w:r>
        <w:rPr>
          <w:rFonts w:ascii="仿宋_GB2312" w:hAnsi="仿宋_GB2312" w:eastAsia="仿宋_GB2312"/>
          <w:b w:val="0"/>
          <w:sz w:val="32"/>
        </w:rPr>
        <w:t>比上年减少20.08万元，下降54.49%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16.77万元，占100.00%，比上年减少20.08万元，下降54.49%，主要原因是：严格落实中央八项规定精神，厉行节约，减少公务用车运行维护费。公务接待费支出0.00万元，占0.00%，比上年增加0.00万元，增长0.00%，主要原因是：2023年与2024年均未安排公务接待费支出。</w:t>
      </w:r>
    </w:p>
    <w:p w14:paraId="39E5D2DC">
      <w:pPr>
        <w:spacing w:line="580" w:lineRule="exact"/>
        <w:ind w:firstLine="640"/>
        <w:jc w:val="both"/>
      </w:pPr>
      <w:r>
        <w:rPr>
          <w:rFonts w:ascii="仿宋_GB2312" w:hAnsi="仿宋_GB2312" w:eastAsia="仿宋_GB2312"/>
          <w:b/>
          <w:sz w:val="32"/>
        </w:rPr>
        <w:t>具体情况如下：</w:t>
      </w:r>
    </w:p>
    <w:p w14:paraId="30777F8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C52E905">
      <w:pPr>
        <w:spacing w:line="580" w:lineRule="exact"/>
        <w:ind w:firstLine="640"/>
        <w:jc w:val="both"/>
      </w:pPr>
      <w:r>
        <w:rPr>
          <w:rFonts w:ascii="仿宋_GB2312" w:hAnsi="仿宋_GB2312" w:eastAsia="仿宋_GB2312"/>
          <w:b w:val="0"/>
          <w:sz w:val="32"/>
        </w:rPr>
        <w:t>公务用车购置及运行维护费16.77万元，其中：公务用车购置费0.00万元，公务用车运行维护费16.77万元。公务用车运行维护费开支内容包括车辆燃油费、保险费、维修维护费、过路费等。公务用车购置数0辆，公务用车保有量17辆。国有资产占用情况中固定资产车辆17辆，与公务用车保有量差异原因是：本部门固定资产车辆与公务用车保有量一致无差异。</w:t>
      </w:r>
    </w:p>
    <w:p w14:paraId="11F7093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0BDBED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16.77万元，决算数16.77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16.77万元，决算数16.77万元，预决算差异率0.00%，主要原因是：严格按照预算执行，预决算无差异。公务接待费全年预算数0.00万元，决算数0.00万元，预决算差异率0.00%，主要原因是：本部门无公务接待费。</w:t>
      </w:r>
    </w:p>
    <w:p w14:paraId="68CA475F">
      <w:pPr>
        <w:spacing w:line="640" w:lineRule="exact"/>
        <w:ind w:firstLine="640"/>
        <w:jc w:val="both"/>
        <w:outlineLvl w:val="2"/>
      </w:pPr>
      <w:r>
        <w:rPr>
          <w:rFonts w:ascii="黑体" w:hAnsi="黑体" w:eastAsia="黑体"/>
          <w:sz w:val="32"/>
        </w:rPr>
        <w:t>十、其他重要事项的情况说明</w:t>
      </w:r>
    </w:p>
    <w:p w14:paraId="3B98AF12">
      <w:pPr>
        <w:spacing w:line="640" w:lineRule="exact"/>
        <w:ind w:firstLine="640"/>
        <w:jc w:val="both"/>
        <w:outlineLvl w:val="3"/>
      </w:pPr>
      <w:r>
        <w:rPr>
          <w:rFonts w:ascii="楷体_GB2312" w:hAnsi="楷体_GB2312" w:eastAsia="楷体_GB2312"/>
          <w:b/>
          <w:sz w:val="32"/>
        </w:rPr>
        <w:t>（一）机关运行经费及公用经费支出情况</w:t>
      </w:r>
    </w:p>
    <w:p w14:paraId="01A74B7A">
      <w:pPr>
        <w:spacing w:line="580" w:lineRule="exact"/>
        <w:ind w:firstLine="640"/>
        <w:jc w:val="both"/>
      </w:pPr>
      <w:r>
        <w:rPr>
          <w:rFonts w:ascii="仿宋_GB2312" w:hAnsi="仿宋_GB2312" w:eastAsia="仿宋_GB2312"/>
          <w:b w:val="0"/>
          <w:sz w:val="32"/>
        </w:rPr>
        <w:t>2024年度喀什市人民检察院（行政单位和参照公务员法管理事业单位）机关运行经费支出97.37万元，比上年减少11.74万元，下降10.76%，主要原因是：本年减少公务用车运行维护费等经费，导致相关经费减少。</w:t>
      </w:r>
    </w:p>
    <w:p w14:paraId="20A4D5FC">
      <w:pPr>
        <w:spacing w:line="640" w:lineRule="exact"/>
        <w:ind w:firstLine="640"/>
        <w:jc w:val="both"/>
        <w:outlineLvl w:val="3"/>
      </w:pPr>
      <w:r>
        <w:rPr>
          <w:rFonts w:ascii="楷体_GB2312" w:hAnsi="楷体_GB2312" w:eastAsia="楷体_GB2312"/>
          <w:b/>
          <w:sz w:val="32"/>
        </w:rPr>
        <w:t>（二）政府采购情况</w:t>
      </w:r>
    </w:p>
    <w:p w14:paraId="7AF17244">
      <w:pPr>
        <w:spacing w:line="580" w:lineRule="exact"/>
        <w:ind w:firstLine="640"/>
        <w:jc w:val="both"/>
      </w:pPr>
      <w:r>
        <w:rPr>
          <w:rFonts w:ascii="仿宋_GB2312" w:hAnsi="仿宋_GB2312" w:eastAsia="仿宋_GB2312"/>
          <w:b w:val="0"/>
          <w:sz w:val="32"/>
        </w:rPr>
        <w:t>2024年度政府采购支出总额131.02万元，其中：政府采购货物支出112.30万元、政府采购工程支出0.00万元、政府采购服务支出18.72万元。</w:t>
      </w:r>
    </w:p>
    <w:p w14:paraId="03FA6379">
      <w:pPr>
        <w:spacing w:line="580" w:lineRule="exact"/>
        <w:ind w:firstLine="640"/>
        <w:jc w:val="both"/>
      </w:pPr>
      <w:r>
        <w:rPr>
          <w:rFonts w:ascii="仿宋_GB2312" w:hAnsi="仿宋_GB2312" w:eastAsia="仿宋_GB2312"/>
          <w:b w:val="0"/>
          <w:sz w:val="32"/>
        </w:rPr>
        <w:t>授予中小企业合同金额131.02万元，占政府采购支出总额的100.00%，其中：授予小微企业合同金额131.02万元，占政府采购支出总额的100.00%。</w:t>
      </w:r>
    </w:p>
    <w:p w14:paraId="7F8A0016">
      <w:pPr>
        <w:spacing w:line="640" w:lineRule="exact"/>
        <w:ind w:firstLine="640"/>
        <w:jc w:val="both"/>
        <w:outlineLvl w:val="3"/>
      </w:pPr>
      <w:r>
        <w:rPr>
          <w:rFonts w:ascii="楷体_GB2312" w:hAnsi="楷体_GB2312" w:eastAsia="楷体_GB2312"/>
          <w:b/>
          <w:sz w:val="32"/>
        </w:rPr>
        <w:t>（三）国有资产占用情况说明</w:t>
      </w:r>
    </w:p>
    <w:p w14:paraId="6842E964">
      <w:pPr>
        <w:spacing w:line="580" w:lineRule="exact"/>
        <w:ind w:firstLine="640"/>
        <w:jc w:val="both"/>
      </w:pPr>
      <w:r>
        <w:rPr>
          <w:rFonts w:ascii="仿宋_GB2312" w:hAnsi="仿宋_GB2312" w:eastAsia="仿宋_GB2312"/>
          <w:b w:val="0"/>
          <w:sz w:val="32"/>
        </w:rPr>
        <w:t>截至2024年12月31日，房屋6,486.80平方米，价值671.93万元。车辆17辆，价值354.54万元，其中：副部（省）级及以上领导用车0辆、主要负责人用车0辆、机要通信用车0辆、应急保障用车0辆、执法执勤用车15辆、特种专业技术用车0辆、离退休干部服务用车0辆、其他用车2辆，其他用车主要是：一般公务用车。单价100万元（含）以上设备（不含车辆）0台（套）。</w:t>
      </w:r>
    </w:p>
    <w:p w14:paraId="3ACA0A8F">
      <w:pPr>
        <w:spacing w:line="640" w:lineRule="exact"/>
        <w:ind w:firstLine="640"/>
        <w:jc w:val="both"/>
        <w:outlineLvl w:val="2"/>
      </w:pPr>
      <w:r>
        <w:rPr>
          <w:rFonts w:ascii="黑体" w:hAnsi="黑体" w:eastAsia="黑体"/>
          <w:sz w:val="32"/>
        </w:rPr>
        <w:t>十一、预算绩效的情况说明</w:t>
      </w:r>
    </w:p>
    <w:p w14:paraId="0975DEF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根据预算绩效管理要求，本部门2024年度预算绩效管理形成整体支出绩效自评表1个，全年预算总额2,218.18万元，实际执行总额2,203.28万元；预算绩效评价项目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个，全年预算数472.87万元，全年执行数457.97万元。预算绩效管理取得的成效：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577D04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92FA422">
        <w:tblPrEx>
          <w:tblCellMar>
            <w:top w:w="0" w:type="dxa"/>
            <w:left w:w="108" w:type="dxa"/>
            <w:bottom w:w="0" w:type="dxa"/>
            <w:right w:w="108" w:type="dxa"/>
          </w:tblCellMar>
        </w:tblPrEx>
        <w:tc>
          <w:tcPr>
            <w:tcW w:w="8847" w:type="dxa"/>
            <w:gridSpan w:val="9"/>
            <w:vAlign w:val="center"/>
          </w:tcPr>
          <w:p w14:paraId="34E61CF5">
            <w:pPr>
              <w:jc w:val="center"/>
            </w:pPr>
            <w:r>
              <w:rPr>
                <w:rFonts w:ascii="宋体" w:hAnsi="宋体" w:eastAsia="宋体"/>
                <w:sz w:val="24"/>
              </w:rPr>
              <w:t>部门整体支出绩效自评表</w:t>
            </w:r>
          </w:p>
        </w:tc>
      </w:tr>
      <w:tr w14:paraId="66180BD1">
        <w:tblPrEx>
          <w:tblCellMar>
            <w:top w:w="0" w:type="dxa"/>
            <w:left w:w="108" w:type="dxa"/>
            <w:bottom w:w="0" w:type="dxa"/>
            <w:right w:w="108" w:type="dxa"/>
          </w:tblCellMar>
        </w:tblPrEx>
        <w:tc>
          <w:tcPr>
            <w:tcW w:w="8847" w:type="dxa"/>
            <w:gridSpan w:val="9"/>
            <w:vAlign w:val="center"/>
          </w:tcPr>
          <w:p w14:paraId="5DA57BF2">
            <w:pPr>
              <w:jc w:val="center"/>
            </w:pPr>
            <w:r>
              <w:rPr>
                <w:rFonts w:ascii="宋体" w:hAnsi="宋体" w:eastAsia="宋体"/>
                <w:sz w:val="24"/>
              </w:rPr>
              <w:t>（2024年度）</w:t>
            </w:r>
          </w:p>
        </w:tc>
      </w:tr>
      <w:tr w14:paraId="205DA7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880B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ACFDBA">
            <w:pPr>
              <w:jc w:val="center"/>
            </w:pPr>
            <w:r>
              <w:rPr>
                <w:rFonts w:ascii="宋体" w:hAnsi="宋体" w:eastAsia="宋体"/>
                <w:sz w:val="16"/>
              </w:rPr>
              <w:t>喀什市人民检察院</w:t>
            </w:r>
          </w:p>
        </w:tc>
      </w:tr>
      <w:tr w14:paraId="435553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A0A5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7092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89E4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3933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2C89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0D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661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9AEE">
            <w:pPr>
              <w:jc w:val="center"/>
            </w:pPr>
            <w:r>
              <w:rPr>
                <w:rFonts w:ascii="宋体" w:hAnsi="宋体" w:eastAsia="宋体"/>
                <w:sz w:val="16"/>
              </w:rPr>
              <w:t>得分</w:t>
            </w:r>
          </w:p>
        </w:tc>
      </w:tr>
      <w:tr w14:paraId="77DF7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E977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5933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10E23">
            <w:pPr>
              <w:jc w:val="center"/>
            </w:pPr>
            <w:r>
              <w:rPr>
                <w:rFonts w:ascii="宋体" w:hAnsi="宋体" w:eastAsia="宋体"/>
                <w:sz w:val="16"/>
              </w:rPr>
              <w:t>1,993.66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8173A">
            <w:pPr>
              <w:jc w:val="center"/>
            </w:pPr>
            <w:r>
              <w:rPr>
                <w:rFonts w:ascii="宋体" w:hAnsi="宋体" w:eastAsia="宋体"/>
                <w:sz w:val="16"/>
              </w:rPr>
              <w:t>2,218.18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A098B">
            <w:pPr>
              <w:jc w:val="center"/>
            </w:pPr>
            <w:r>
              <w:rPr>
                <w:rFonts w:ascii="宋体" w:hAnsi="宋体" w:eastAsia="宋体"/>
                <w:sz w:val="16"/>
              </w:rPr>
              <w:t>2,203.28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575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5EB58">
            <w:pPr>
              <w:jc w:val="center"/>
            </w:pPr>
            <w:r>
              <w:rPr>
                <w:rFonts w:ascii="宋体" w:hAnsi="宋体" w:eastAsia="宋体"/>
                <w:sz w:val="16"/>
              </w:rPr>
              <w:t>99.33%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290E6">
            <w:pPr>
              <w:jc w:val="center"/>
            </w:pPr>
            <w:r>
              <w:rPr>
                <w:rFonts w:ascii="宋体" w:hAnsi="宋体" w:eastAsia="宋体"/>
                <w:sz w:val="16"/>
              </w:rPr>
              <w:t>9.93</w:t>
            </w:r>
          </w:p>
        </w:tc>
      </w:tr>
      <w:tr w14:paraId="47B2C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2BD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3F21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CF0D1">
            <w:pPr>
              <w:jc w:val="center"/>
            </w:pPr>
            <w:r>
              <w:rPr>
                <w:rFonts w:ascii="宋体" w:hAnsi="宋体" w:eastAsia="宋体"/>
                <w:sz w:val="16"/>
              </w:rPr>
              <w:t>412.16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6F95B">
            <w:pPr>
              <w:jc w:val="center"/>
            </w:pPr>
            <w:r>
              <w:rPr>
                <w:rFonts w:ascii="宋体" w:hAnsi="宋体" w:eastAsia="宋体"/>
                <w:sz w:val="16"/>
              </w:rPr>
              <w:t>442.87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D2241">
            <w:pPr>
              <w:jc w:val="center"/>
            </w:pPr>
            <w:r>
              <w:rPr>
                <w:rFonts w:ascii="宋体" w:hAnsi="宋体" w:eastAsia="宋体"/>
                <w:sz w:val="16"/>
              </w:rPr>
              <w:t>427.97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AF1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49B9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0624">
            <w:pPr>
              <w:jc w:val="center"/>
            </w:pPr>
            <w:r>
              <w:rPr>
                <w:rFonts w:ascii="宋体" w:hAnsi="宋体" w:eastAsia="宋体"/>
                <w:sz w:val="16"/>
              </w:rPr>
              <w:t>—</w:t>
            </w:r>
          </w:p>
        </w:tc>
      </w:tr>
      <w:tr w14:paraId="1559FB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517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D412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92019">
            <w:pPr>
              <w:jc w:val="center"/>
            </w:pPr>
            <w:r>
              <w:rPr>
                <w:rFonts w:ascii="宋体" w:hAnsi="宋体" w:eastAsia="宋体"/>
                <w:sz w:val="16"/>
              </w:rPr>
              <w:t>1,561.50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15C3">
            <w:pPr>
              <w:jc w:val="center"/>
            </w:pPr>
            <w:r>
              <w:rPr>
                <w:rFonts w:ascii="宋体" w:hAnsi="宋体" w:eastAsia="宋体"/>
                <w:sz w:val="16"/>
              </w:rPr>
              <w:t>1,745.31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A322E">
            <w:pPr>
              <w:jc w:val="center"/>
            </w:pPr>
            <w:r>
              <w:rPr>
                <w:rFonts w:ascii="宋体" w:hAnsi="宋体" w:eastAsia="宋体"/>
                <w:sz w:val="16"/>
              </w:rPr>
              <w:t>1,745.31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A6C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28E9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36CE">
            <w:pPr>
              <w:jc w:val="center"/>
            </w:pPr>
            <w:r>
              <w:rPr>
                <w:rFonts w:ascii="宋体" w:hAnsi="宋体" w:eastAsia="宋体"/>
                <w:sz w:val="16"/>
              </w:rPr>
              <w:t>—</w:t>
            </w:r>
          </w:p>
        </w:tc>
      </w:tr>
      <w:tr w14:paraId="56D262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65D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E27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E4F1">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62CA7">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A443C">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181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AAA3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87C8">
            <w:pPr>
              <w:jc w:val="center"/>
            </w:pPr>
            <w:r>
              <w:rPr>
                <w:rFonts w:ascii="宋体" w:hAnsi="宋体" w:eastAsia="宋体"/>
                <w:sz w:val="16"/>
              </w:rPr>
              <w:t>—</w:t>
            </w:r>
          </w:p>
        </w:tc>
      </w:tr>
      <w:tr w14:paraId="70DE5D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0DCD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4297D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C9DCB">
            <w:pPr>
              <w:jc w:val="center"/>
            </w:pPr>
            <w:r>
              <w:rPr>
                <w:rFonts w:ascii="宋体" w:hAnsi="宋体" w:eastAsia="宋体"/>
                <w:sz w:val="16"/>
              </w:rPr>
              <w:t>实际完成情况</w:t>
            </w:r>
          </w:p>
        </w:tc>
      </w:tr>
      <w:tr w14:paraId="04B2B8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124E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0DE7BC">
            <w:pPr>
              <w:jc w:val="both"/>
            </w:pPr>
            <w:r>
              <w:rPr>
                <w:rFonts w:ascii="宋体" w:hAnsi="宋体" w:eastAsia="宋体"/>
                <w:sz w:val="16"/>
              </w:rPr>
              <w:t>按时足额发放在职退休60名人员工资、津贴补贴、社保缴费；发放退休人员由财政承担的退休费；4名遗属人员补贴，通过开展各项检察业务，促进检察职能充分履行，推动“四大检察”“十大检察业务”协调发展，打造忠诚干净担当的过硬队伍，维护社会公平正义。全年办理案件数为2973件，办理刑事案件数量2075件，开展反诈骗宣传活动数3次，认罪认罚适用率达到85.05%，检察建议采纳率达到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E39C6">
            <w:pPr>
              <w:jc w:val="both"/>
            </w:pPr>
            <w:r>
              <w:rPr>
                <w:rFonts w:ascii="宋体" w:hAnsi="宋体" w:eastAsia="宋体"/>
                <w:sz w:val="16"/>
              </w:rPr>
              <w:t>始终坚持党对检察工作的绝对领导，紧紧围绕党的治疆方略，坚持按照“务本、求实、提质、增效”的工作目标，以高度的政治自觉、法治自觉、检察自觉依法全面履行法律监督职责和“一个统领、五个始终、八个坚持不懈”工作思路，忠诚履行各项检察职能，强化法律监督实效，全力服务发展大局.本年受理全年受理办案案件数为2783件，受理刑事案件数为1986件，开展反诈骗宣传3次，认罪认罚适用率为85.05%，检察建议采纳率为100%。让每一位公民都能感受到公平公正，提升检察系统的公信力,从而保障我院工资、社保正常发放，提升我院检察干警的积极性。</w:t>
            </w:r>
          </w:p>
        </w:tc>
      </w:tr>
      <w:tr w14:paraId="5C5A93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FD0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40E5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C3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CB5C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A2E8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E9EC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AE1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B553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9A397">
            <w:pPr>
              <w:jc w:val="center"/>
            </w:pPr>
            <w:r>
              <w:rPr>
                <w:rFonts w:ascii="宋体" w:hAnsi="宋体" w:eastAsia="宋体"/>
                <w:sz w:val="16"/>
              </w:rPr>
              <w:t>得分</w:t>
            </w:r>
          </w:p>
        </w:tc>
      </w:tr>
      <w:tr w14:paraId="13ECC0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16D0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BDA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C91BD">
            <w:pPr>
              <w:jc w:val="center"/>
            </w:pPr>
            <w:r>
              <w:rPr>
                <w:rFonts w:ascii="宋体" w:hAnsi="宋体" w:eastAsia="宋体"/>
                <w:sz w:val="16"/>
              </w:rPr>
              <w:t>全院全年办理案件数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54F0E">
            <w:pPr>
              <w:jc w:val="center"/>
            </w:pPr>
            <w:r>
              <w:rPr>
                <w:rFonts w:ascii="宋体" w:hAnsi="宋体" w:eastAsia="宋体"/>
                <w:sz w:val="16"/>
              </w:rPr>
              <w:t>&gt;=2973件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4428">
            <w:pPr>
              <w:jc w:val="center"/>
            </w:pPr>
            <w:r>
              <w:rPr>
                <w:rFonts w:ascii="宋体" w:hAnsi="宋体" w:eastAsia="宋体"/>
                <w:sz w:val="16"/>
              </w:rPr>
              <w:t>喀什市人民检察院工作报告（2023年工作回顾）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725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C2DCD">
            <w:pPr>
              <w:jc w:val="center"/>
            </w:pPr>
            <w:r>
              <w:rPr>
                <w:rFonts w:ascii="宋体" w:hAnsi="宋体" w:eastAsia="宋体"/>
                <w:sz w:val="16"/>
              </w:rPr>
              <w:t>2783件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80497">
            <w:pPr>
              <w:jc w:val="center"/>
            </w:pPr>
            <w:r>
              <w:rPr>
                <w:rFonts w:ascii="宋体" w:hAnsi="宋体" w:eastAsia="宋体"/>
                <w:sz w:val="16"/>
              </w:rPr>
              <w:t>93.61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3D3AC">
            <w:pPr>
              <w:jc w:val="center"/>
            </w:pPr>
            <w:r>
              <w:rPr>
                <w:rFonts w:ascii="宋体" w:hAnsi="宋体" w:eastAsia="宋体"/>
                <w:sz w:val="16"/>
              </w:rPr>
              <w:t>14.04</w:t>
            </w:r>
          </w:p>
        </w:tc>
      </w:tr>
      <w:tr w14:paraId="6E71DA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7A0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DCD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63A98">
            <w:pPr>
              <w:jc w:val="center"/>
            </w:pPr>
            <w:r>
              <w:rPr>
                <w:rFonts w:ascii="宋体" w:hAnsi="宋体" w:eastAsia="宋体"/>
                <w:sz w:val="16"/>
              </w:rPr>
              <w:t>办理刑事案件数量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00876">
            <w:pPr>
              <w:jc w:val="center"/>
            </w:pPr>
            <w:r>
              <w:rPr>
                <w:rFonts w:ascii="宋体" w:hAnsi="宋体" w:eastAsia="宋体"/>
                <w:sz w:val="16"/>
              </w:rPr>
              <w:t>&gt;=2075件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87E60">
            <w:pPr>
              <w:jc w:val="center"/>
            </w:pPr>
            <w:r>
              <w:rPr>
                <w:rFonts w:ascii="宋体" w:hAnsi="宋体" w:eastAsia="宋体"/>
                <w:sz w:val="16"/>
              </w:rPr>
              <w:t>喀什市人民检察院工作报告（2023年工作回顾）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07CA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3D8A8">
            <w:pPr>
              <w:jc w:val="center"/>
            </w:pPr>
            <w:r>
              <w:rPr>
                <w:rFonts w:ascii="宋体" w:hAnsi="宋体" w:eastAsia="宋体"/>
                <w:sz w:val="16"/>
              </w:rPr>
              <w:t>1986件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800B1">
            <w:pPr>
              <w:jc w:val="center"/>
            </w:pPr>
            <w:r>
              <w:rPr>
                <w:rFonts w:ascii="宋体" w:hAnsi="宋体" w:eastAsia="宋体"/>
                <w:sz w:val="16"/>
              </w:rPr>
              <w:t>95.71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45C4E">
            <w:pPr>
              <w:jc w:val="center"/>
            </w:pPr>
            <w:r>
              <w:rPr>
                <w:rFonts w:ascii="宋体" w:hAnsi="宋体" w:eastAsia="宋体"/>
                <w:sz w:val="16"/>
              </w:rPr>
              <w:t>14.36</w:t>
            </w:r>
          </w:p>
        </w:tc>
      </w:tr>
      <w:tr w14:paraId="113518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90C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6BC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E1B86">
            <w:pPr>
              <w:jc w:val="center"/>
            </w:pPr>
            <w:r>
              <w:rPr>
                <w:rFonts w:ascii="宋体" w:hAnsi="宋体" w:eastAsia="宋体"/>
                <w:sz w:val="16"/>
              </w:rPr>
              <w:t>开展反诈骗活动次数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FE8E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6759B">
            <w:pPr>
              <w:jc w:val="center"/>
            </w:pPr>
            <w:r>
              <w:rPr>
                <w:rFonts w:ascii="宋体" w:hAnsi="宋体" w:eastAsia="宋体"/>
                <w:sz w:val="16"/>
              </w:rPr>
              <w:t>喀什市人民检察院工作报告（2023年工作回顾）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0D6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3BF84">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8E5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38424">
            <w:pPr>
              <w:jc w:val="center"/>
            </w:pPr>
            <w:r>
              <w:rPr>
                <w:rFonts w:ascii="宋体" w:hAnsi="宋体" w:eastAsia="宋体"/>
                <w:sz w:val="16"/>
              </w:rPr>
              <w:t>20</w:t>
            </w:r>
          </w:p>
        </w:tc>
      </w:tr>
      <w:tr w14:paraId="13B66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1C2D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3C54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40FF7">
            <w:pPr>
              <w:jc w:val="center"/>
            </w:pPr>
            <w:r>
              <w:rPr>
                <w:rFonts w:ascii="宋体" w:hAnsi="宋体" w:eastAsia="宋体"/>
                <w:sz w:val="16"/>
              </w:rPr>
              <w:t>认罪认罚适用率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AC344">
            <w:pPr>
              <w:jc w:val="center"/>
            </w:pPr>
            <w:r>
              <w:rPr>
                <w:rFonts w:ascii="宋体" w:hAnsi="宋体" w:eastAsia="宋体"/>
                <w:sz w:val="16"/>
              </w:rPr>
              <w:t>&gt;=85.05%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5342B">
            <w:pPr>
              <w:jc w:val="center"/>
            </w:pPr>
            <w:r>
              <w:rPr>
                <w:rFonts w:ascii="宋体" w:hAnsi="宋体" w:eastAsia="宋体"/>
                <w:sz w:val="16"/>
              </w:rPr>
              <w:t>喀什市人民检察院工作报告（2023年工作回顾）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F3F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6D09B">
            <w:pPr>
              <w:jc w:val="center"/>
            </w:pPr>
            <w:r>
              <w:rPr>
                <w:rFonts w:ascii="宋体" w:hAnsi="宋体" w:eastAsia="宋体"/>
                <w:sz w:val="16"/>
              </w:rPr>
              <w:t>85.05%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2FEE5">
            <w:pPr>
              <w:jc w:val="center"/>
            </w:pPr>
            <w:r>
              <w:rPr>
                <w:rFonts w:ascii="宋体" w:hAnsi="宋体" w:eastAsia="宋体"/>
                <w:sz w:val="16"/>
              </w:rPr>
              <w:t>85.05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E884">
            <w:pPr>
              <w:jc w:val="center"/>
            </w:pPr>
            <w:r>
              <w:rPr>
                <w:rFonts w:ascii="宋体" w:hAnsi="宋体" w:eastAsia="宋体"/>
                <w:sz w:val="16"/>
              </w:rPr>
              <w:t>20</w:t>
            </w:r>
          </w:p>
        </w:tc>
      </w:tr>
      <w:tr w14:paraId="1D8AD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A68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B44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9795B">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73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FC3E">
            <w:pPr>
              <w:jc w:val="center"/>
            </w:pPr>
            <w:r>
              <w:rPr>
                <w:rFonts w:ascii="宋体" w:hAnsi="宋体" w:eastAsia="宋体"/>
                <w:sz w:val="16"/>
              </w:rPr>
              <w:t>喀什市人民检察院工作报告（2023年工作回顾）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B8CB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CAA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38C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0CA0F">
            <w:pPr>
              <w:jc w:val="center"/>
            </w:pPr>
            <w:r>
              <w:rPr>
                <w:rFonts w:ascii="宋体" w:hAnsi="宋体" w:eastAsia="宋体"/>
                <w:sz w:val="16"/>
              </w:rPr>
              <w:t>20</w:t>
            </w:r>
          </w:p>
        </w:tc>
      </w:tr>
    </w:tbl>
    <w:p w14:paraId="7941E4BA">
      <w:r>
        <w:br w:type="page"/>
      </w:r>
    </w:p>
    <w:p w14:paraId="57776D6E">
      <w:pPr>
        <w:spacing w:line="640" w:lineRule="exact"/>
        <w:ind w:firstLine="640"/>
        <w:jc w:val="both"/>
        <w:outlineLvl w:val="2"/>
      </w:pPr>
      <w:r>
        <w:rPr>
          <w:rFonts w:ascii="黑体" w:hAnsi="黑体" w:eastAsia="黑体"/>
          <w:sz w:val="32"/>
        </w:rPr>
        <w:t>十二、其他需说明的事项</w:t>
      </w:r>
    </w:p>
    <w:p w14:paraId="32ED39DD">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项目9个，全年预算数</w:t>
      </w:r>
      <w:r>
        <w:rPr>
          <w:rFonts w:ascii="仿宋_GB2312" w:hAnsi="仿宋_GB2312" w:eastAsia="仿宋_GB2312"/>
          <w:b w:val="0"/>
          <w:sz w:val="36"/>
          <w:szCs w:val="36"/>
        </w:rPr>
        <w:t>472.87</w:t>
      </w:r>
      <w:r>
        <w:rPr>
          <w:rFonts w:ascii="仿宋_GB2312" w:hAnsi="仿宋_GB2312" w:eastAsia="仿宋_GB2312"/>
          <w:b w:val="0"/>
          <w:sz w:val="32"/>
        </w:rPr>
        <w:t>万</w:t>
      </w:r>
      <w:bookmarkStart w:id="0" w:name="_GoBack"/>
      <w:bookmarkEnd w:id="0"/>
      <w:r>
        <w:rPr>
          <w:rFonts w:ascii="仿宋_GB2312" w:hAnsi="仿宋_GB2312" w:eastAsia="仿宋_GB2312"/>
          <w:b w:val="0"/>
          <w:sz w:val="32"/>
        </w:rPr>
        <w:t>元，全年执行数457.97万元。</w:t>
      </w:r>
    </w:p>
    <w:p w14:paraId="352E03C1">
      <w:r>
        <w:br w:type="page"/>
      </w:r>
    </w:p>
    <w:p w14:paraId="1394F95D">
      <w:pPr>
        <w:spacing w:line="240" w:lineRule="auto"/>
        <w:jc w:val="center"/>
        <w:outlineLvl w:val="1"/>
      </w:pPr>
      <w:r>
        <w:rPr>
          <w:rFonts w:ascii="黑体" w:hAnsi="黑体" w:eastAsia="黑体"/>
          <w:sz w:val="32"/>
        </w:rPr>
        <w:t>第三部分 专业名词解释</w:t>
      </w:r>
    </w:p>
    <w:p w14:paraId="6ABB0B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3091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72F2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A7C7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A4C6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D42A7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CC2C9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E62F5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DDAD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27919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5FCB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6671B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98CF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67F3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9914AE">
      <w:r>
        <w:br w:type="page"/>
      </w:r>
    </w:p>
    <w:p w14:paraId="15DBF3D5">
      <w:pPr>
        <w:spacing w:line="240" w:lineRule="auto"/>
        <w:jc w:val="center"/>
        <w:outlineLvl w:val="1"/>
      </w:pPr>
      <w:r>
        <w:rPr>
          <w:rFonts w:ascii="黑体" w:hAnsi="黑体" w:eastAsia="黑体"/>
          <w:sz w:val="32"/>
        </w:rPr>
        <w:t>第四部分 部门决算报表（见附表）</w:t>
      </w:r>
    </w:p>
    <w:p w14:paraId="76128CE8">
      <w:pPr>
        <w:spacing w:line="240" w:lineRule="auto"/>
        <w:ind w:firstLine="640"/>
        <w:jc w:val="both"/>
      </w:pPr>
      <w:r>
        <w:rPr>
          <w:rFonts w:ascii="仿宋_GB2312" w:hAnsi="仿宋_GB2312" w:eastAsia="仿宋_GB2312"/>
          <w:b w:val="0"/>
          <w:sz w:val="32"/>
        </w:rPr>
        <w:t>一、《收入支出决算总表》</w:t>
      </w:r>
    </w:p>
    <w:p w14:paraId="0987FFD0">
      <w:pPr>
        <w:spacing w:line="240" w:lineRule="auto"/>
        <w:ind w:firstLine="640"/>
        <w:jc w:val="both"/>
      </w:pPr>
      <w:r>
        <w:rPr>
          <w:rFonts w:ascii="仿宋_GB2312" w:hAnsi="仿宋_GB2312" w:eastAsia="仿宋_GB2312"/>
          <w:b w:val="0"/>
          <w:sz w:val="32"/>
        </w:rPr>
        <w:t>二、《收入决算表》</w:t>
      </w:r>
    </w:p>
    <w:p w14:paraId="31AAE015">
      <w:pPr>
        <w:spacing w:line="240" w:lineRule="auto"/>
        <w:ind w:firstLine="640"/>
        <w:jc w:val="both"/>
      </w:pPr>
      <w:r>
        <w:rPr>
          <w:rFonts w:ascii="仿宋_GB2312" w:hAnsi="仿宋_GB2312" w:eastAsia="仿宋_GB2312"/>
          <w:b w:val="0"/>
          <w:sz w:val="32"/>
        </w:rPr>
        <w:t>三、《支出决算表》</w:t>
      </w:r>
    </w:p>
    <w:p w14:paraId="04CDBB67">
      <w:pPr>
        <w:spacing w:line="240" w:lineRule="auto"/>
        <w:ind w:firstLine="640"/>
        <w:jc w:val="both"/>
      </w:pPr>
      <w:r>
        <w:rPr>
          <w:rFonts w:ascii="仿宋_GB2312" w:hAnsi="仿宋_GB2312" w:eastAsia="仿宋_GB2312"/>
          <w:b w:val="0"/>
          <w:sz w:val="32"/>
        </w:rPr>
        <w:t>四、《财政拨款收入支出决算总表》</w:t>
      </w:r>
    </w:p>
    <w:p w14:paraId="57172864">
      <w:pPr>
        <w:spacing w:line="240" w:lineRule="auto"/>
        <w:ind w:firstLine="640"/>
        <w:jc w:val="both"/>
      </w:pPr>
      <w:r>
        <w:rPr>
          <w:rFonts w:ascii="仿宋_GB2312" w:hAnsi="仿宋_GB2312" w:eastAsia="仿宋_GB2312"/>
          <w:b w:val="0"/>
          <w:sz w:val="32"/>
        </w:rPr>
        <w:t>五、《一般公共预算财政拨款支出决算表》</w:t>
      </w:r>
    </w:p>
    <w:p w14:paraId="0C818FD9">
      <w:pPr>
        <w:spacing w:line="240" w:lineRule="auto"/>
        <w:ind w:firstLine="640"/>
        <w:jc w:val="both"/>
      </w:pPr>
      <w:r>
        <w:rPr>
          <w:rFonts w:ascii="仿宋_GB2312" w:hAnsi="仿宋_GB2312" w:eastAsia="仿宋_GB2312"/>
          <w:b w:val="0"/>
          <w:sz w:val="32"/>
        </w:rPr>
        <w:t>六、《一般公共预算财政拨款基本支出决算表》</w:t>
      </w:r>
    </w:p>
    <w:p w14:paraId="4A6FD03E">
      <w:pPr>
        <w:spacing w:line="240" w:lineRule="auto"/>
        <w:ind w:firstLine="640"/>
        <w:jc w:val="both"/>
      </w:pPr>
      <w:r>
        <w:rPr>
          <w:rFonts w:ascii="仿宋_GB2312" w:hAnsi="仿宋_GB2312" w:eastAsia="仿宋_GB2312"/>
          <w:b w:val="0"/>
          <w:sz w:val="32"/>
        </w:rPr>
        <w:t>七、《政府性基金预算财政拨款收入支出决算表》</w:t>
      </w:r>
    </w:p>
    <w:p w14:paraId="2F2F5624">
      <w:pPr>
        <w:spacing w:line="240" w:lineRule="auto"/>
        <w:ind w:firstLine="640"/>
        <w:jc w:val="both"/>
      </w:pPr>
      <w:r>
        <w:rPr>
          <w:rFonts w:ascii="仿宋_GB2312" w:hAnsi="仿宋_GB2312" w:eastAsia="仿宋_GB2312"/>
          <w:b w:val="0"/>
          <w:sz w:val="32"/>
        </w:rPr>
        <w:t>八、《国有资本经营预算财政拨款收入支出决算表》</w:t>
      </w:r>
    </w:p>
    <w:p w14:paraId="49DA4009">
      <w:pPr>
        <w:spacing w:line="240" w:lineRule="auto"/>
        <w:ind w:firstLine="640"/>
        <w:jc w:val="both"/>
      </w:pPr>
      <w:r>
        <w:rPr>
          <w:rFonts w:ascii="仿宋_GB2312" w:hAnsi="仿宋_GB2312" w:eastAsia="仿宋_GB2312"/>
          <w:b w:val="0"/>
          <w:sz w:val="32"/>
        </w:rPr>
        <w:t>九、《财政拨款“三公”经费支出决算表》</w:t>
      </w:r>
    </w:p>
    <w:p w14:paraId="0578E875">
      <w:pPr>
        <w:spacing w:line="240" w:lineRule="auto"/>
        <w:ind w:firstLine="640"/>
        <w:jc w:val="both"/>
      </w:pPr>
    </w:p>
    <w:p w14:paraId="695BEFBF">
      <w:pPr>
        <w:spacing w:line="240" w:lineRule="auto"/>
        <w:ind w:firstLine="640"/>
        <w:jc w:val="both"/>
      </w:pPr>
    </w:p>
    <w:p w14:paraId="496C5A66">
      <w:pPr>
        <w:spacing w:line="240" w:lineRule="auto"/>
        <w:ind w:firstLine="640"/>
        <w:jc w:val="both"/>
      </w:pPr>
    </w:p>
    <w:p w14:paraId="723F4021">
      <w:pPr>
        <w:spacing w:line="240" w:lineRule="auto"/>
        <w:ind w:firstLine="640"/>
        <w:jc w:val="both"/>
      </w:pPr>
    </w:p>
    <w:p w14:paraId="31BACD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F193B7-DD61-4A35-AB7C-6FC08E26A8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67D2855-2301-416F-90F7-5F7AEF20A862}"/>
  </w:font>
  <w:font w:name="方正小标宋_GBK">
    <w:panose1 w:val="02000000000000000000"/>
    <w:charset w:val="86"/>
    <w:family w:val="script"/>
    <w:pitch w:val="default"/>
    <w:sig w:usb0="A00002BF" w:usb1="38CF7CFA" w:usb2="00082016" w:usb3="00000000" w:csb0="00040001" w:csb1="00000000"/>
    <w:embedRegular r:id="rId3" w:fontKey="{A0A29691-8118-45D7-A657-4BC9C6290404}"/>
  </w:font>
  <w:font w:name="楷体_GB2312">
    <w:panose1 w:val="02010609030101010101"/>
    <w:charset w:val="86"/>
    <w:family w:val="auto"/>
    <w:pitch w:val="default"/>
    <w:sig w:usb0="00000001" w:usb1="080E0000" w:usb2="00000000" w:usb3="00000000" w:csb0="00040000" w:csb1="00000000"/>
    <w:embedRegular r:id="rId4" w:fontKey="{A4B61422-11A1-40F8-8456-3B5B98782F7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D653C6"/>
    <w:rsid w:val="09A729D8"/>
    <w:rsid w:val="0A3C58E8"/>
    <w:rsid w:val="0A7B4867"/>
    <w:rsid w:val="0B8C3ECC"/>
    <w:rsid w:val="0C3613A3"/>
    <w:rsid w:val="0C7227A7"/>
    <w:rsid w:val="0DCA6EF7"/>
    <w:rsid w:val="0E4B1576"/>
    <w:rsid w:val="0EA04331"/>
    <w:rsid w:val="0F9811B3"/>
    <w:rsid w:val="11E15093"/>
    <w:rsid w:val="120E0809"/>
    <w:rsid w:val="18714C97"/>
    <w:rsid w:val="19071D6C"/>
    <w:rsid w:val="19B5554D"/>
    <w:rsid w:val="1B8F2D19"/>
    <w:rsid w:val="1C317E4F"/>
    <w:rsid w:val="1C472464"/>
    <w:rsid w:val="1DAF458D"/>
    <w:rsid w:val="1E086ACE"/>
    <w:rsid w:val="1E4B5CA5"/>
    <w:rsid w:val="1EAA4A5F"/>
    <w:rsid w:val="1F587A0B"/>
    <w:rsid w:val="2064678E"/>
    <w:rsid w:val="20BC0B75"/>
    <w:rsid w:val="20DD6197"/>
    <w:rsid w:val="20F85F56"/>
    <w:rsid w:val="21F317F2"/>
    <w:rsid w:val="2241392C"/>
    <w:rsid w:val="23BC04D2"/>
    <w:rsid w:val="25275618"/>
    <w:rsid w:val="27CE017C"/>
    <w:rsid w:val="27CF2642"/>
    <w:rsid w:val="282459E2"/>
    <w:rsid w:val="28642123"/>
    <w:rsid w:val="29116777"/>
    <w:rsid w:val="2A053397"/>
    <w:rsid w:val="2A444FB1"/>
    <w:rsid w:val="2A6064E2"/>
    <w:rsid w:val="2B727E06"/>
    <w:rsid w:val="2C1965E9"/>
    <w:rsid w:val="2D1136DF"/>
    <w:rsid w:val="2D856A4E"/>
    <w:rsid w:val="2DAE0E44"/>
    <w:rsid w:val="2FD27414"/>
    <w:rsid w:val="313F1D52"/>
    <w:rsid w:val="318029AB"/>
    <w:rsid w:val="31C63837"/>
    <w:rsid w:val="326F0A17"/>
    <w:rsid w:val="3277581B"/>
    <w:rsid w:val="38006E2C"/>
    <w:rsid w:val="3914510A"/>
    <w:rsid w:val="3B0F4170"/>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721DF2"/>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E04ACC"/>
    <w:rsid w:val="71473612"/>
    <w:rsid w:val="718F7F65"/>
    <w:rsid w:val="73423603"/>
    <w:rsid w:val="737A5923"/>
    <w:rsid w:val="73DE4104"/>
    <w:rsid w:val="73FB6630"/>
    <w:rsid w:val="74CB4E6D"/>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6752</Words>
  <Characters>7749</Characters>
  <Lines>0</Lines>
  <Paragraphs>0</Paragraphs>
  <TotalTime>1</TotalTime>
  <ScaleCrop>false</ScaleCrop>
  <LinksUpToDate>false</LinksUpToDate>
  <CharactersWithSpaces>7759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