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84D38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喀什市人民法院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62C43C">
      <w:r>
        <w:br w:type="page"/>
      </w:r>
    </w:p>
    <w:p w14:paraId="76CFD8D7">
      <w:pPr>
        <w:spacing w:line="640" w:lineRule="exact"/>
        <w:jc w:val="center"/>
        <w:outlineLvl w:val="1"/>
      </w:pPr>
      <w:r>
        <w:rPr>
          <w:rFonts w:ascii="黑体" w:hAnsi="黑体" w:eastAsia="黑体"/>
          <w:sz w:val="32"/>
        </w:rPr>
        <w:t>第一部分 部门概况</w:t>
      </w:r>
    </w:p>
    <w:p w14:paraId="5FC3BDB6">
      <w:pPr>
        <w:spacing w:line="640" w:lineRule="exact"/>
        <w:ind w:firstLine="640"/>
        <w:jc w:val="both"/>
        <w:outlineLvl w:val="2"/>
      </w:pPr>
      <w:r>
        <w:rPr>
          <w:rFonts w:ascii="黑体" w:hAnsi="黑体" w:eastAsia="黑体"/>
          <w:sz w:val="32"/>
        </w:rPr>
        <w:t>一、主要职能</w:t>
      </w:r>
    </w:p>
    <w:p w14:paraId="71922EAE">
      <w:pPr>
        <w:spacing w:line="580" w:lineRule="exact"/>
        <w:ind w:firstLine="640"/>
        <w:jc w:val="both"/>
      </w:pPr>
      <w:r>
        <w:rPr>
          <w:rFonts w:ascii="仿宋_GB2312" w:hAnsi="仿宋_GB2312" w:eastAsia="仿宋_GB2312"/>
          <w:sz w:val="32"/>
        </w:rPr>
        <w:t>（1）审判法律规定、上级人民法院指定由基层人民法院管辖的刑事、民事、行政等第一审案件。</w:t>
      </w:r>
    </w:p>
    <w:p w14:paraId="4C3284BE">
      <w:pPr>
        <w:spacing w:line="580" w:lineRule="exact"/>
        <w:ind w:firstLine="640"/>
        <w:jc w:val="both"/>
      </w:pPr>
      <w:r>
        <w:rPr>
          <w:rFonts w:ascii="仿宋_GB2312" w:hAnsi="仿宋_GB2312" w:eastAsia="仿宋_GB2312"/>
          <w:sz w:val="32"/>
        </w:rPr>
        <w:t>（2）依法行使司法裁判权、司法执行权和司法决定权。</w:t>
      </w:r>
    </w:p>
    <w:p w14:paraId="44058395">
      <w:pPr>
        <w:spacing w:line="580" w:lineRule="exact"/>
        <w:ind w:firstLine="640"/>
        <w:jc w:val="both"/>
      </w:pPr>
      <w:r>
        <w:rPr>
          <w:rFonts w:ascii="仿宋_GB2312" w:hAnsi="仿宋_GB2312" w:eastAsia="仿宋_GB2312"/>
          <w:sz w:val="32"/>
        </w:rPr>
        <w:t>（3）监督、指导人民法庭的审判工作。</w:t>
      </w:r>
    </w:p>
    <w:p w14:paraId="581EECE2">
      <w:pPr>
        <w:spacing w:line="580" w:lineRule="exact"/>
        <w:ind w:firstLine="640"/>
        <w:jc w:val="both"/>
      </w:pPr>
      <w:r>
        <w:rPr>
          <w:rFonts w:ascii="仿宋_GB2312" w:hAnsi="仿宋_GB2312" w:eastAsia="仿宋_GB2312"/>
          <w:sz w:val="32"/>
        </w:rPr>
        <w:t>（4）结合审判工作宣传法制，教育公民遵守宪法和法律。</w:t>
      </w:r>
    </w:p>
    <w:p w14:paraId="0EE51772">
      <w:pPr>
        <w:spacing w:line="580" w:lineRule="exact"/>
        <w:ind w:firstLine="640"/>
        <w:jc w:val="both"/>
      </w:pPr>
      <w:r>
        <w:rPr>
          <w:rFonts w:ascii="仿宋_GB2312" w:hAnsi="仿宋_GB2312" w:eastAsia="仿宋_GB2312"/>
          <w:sz w:val="32"/>
        </w:rPr>
        <w:t>（5）承办其他应由我院负责的工作。</w:t>
      </w:r>
    </w:p>
    <w:p w14:paraId="1164E577">
      <w:pPr>
        <w:spacing w:line="640" w:lineRule="exact"/>
        <w:ind w:firstLine="640"/>
        <w:jc w:val="both"/>
        <w:outlineLvl w:val="2"/>
      </w:pPr>
      <w:r>
        <w:rPr>
          <w:rFonts w:ascii="黑体" w:hAnsi="黑体" w:eastAsia="黑体"/>
          <w:sz w:val="32"/>
        </w:rPr>
        <w:t>二、机构设置及人员情况</w:t>
      </w:r>
    </w:p>
    <w:p w14:paraId="70F91EC0">
      <w:pPr>
        <w:spacing w:line="580" w:lineRule="exact"/>
        <w:ind w:firstLine="640"/>
        <w:jc w:val="both"/>
      </w:pPr>
      <w:r>
        <w:rPr>
          <w:rFonts w:ascii="仿宋_GB2312" w:hAnsi="仿宋_GB2312" w:eastAsia="仿宋_GB2312"/>
          <w:sz w:val="32"/>
        </w:rPr>
        <w:t>本部门机构设置及人员情况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59AD91C5">
      <w:r>
        <w:br w:type="page"/>
      </w:r>
    </w:p>
    <w:p w14:paraId="6FDAA227">
      <w:pPr>
        <w:spacing w:line="240" w:lineRule="auto"/>
        <w:jc w:val="center"/>
        <w:outlineLvl w:val="1"/>
      </w:pPr>
      <w:r>
        <w:rPr>
          <w:rFonts w:ascii="黑体" w:hAnsi="黑体" w:eastAsia="黑体"/>
          <w:sz w:val="32"/>
        </w:rPr>
        <w:t>第二部分 部门决算情况说明</w:t>
      </w:r>
    </w:p>
    <w:p w14:paraId="2DB4B74F">
      <w:pPr>
        <w:spacing w:line="640" w:lineRule="exact"/>
        <w:ind w:firstLine="640"/>
        <w:jc w:val="both"/>
        <w:outlineLvl w:val="2"/>
      </w:pPr>
      <w:r>
        <w:rPr>
          <w:rFonts w:ascii="黑体" w:hAnsi="黑体" w:eastAsia="黑体"/>
          <w:sz w:val="32"/>
        </w:rPr>
        <w:t>一、收入支出决算总体情况说明</w:t>
      </w:r>
    </w:p>
    <w:p w14:paraId="7FDDFE1D">
      <w:pPr>
        <w:spacing w:line="580" w:lineRule="exact"/>
        <w:ind w:firstLine="640"/>
        <w:jc w:val="both"/>
      </w:pPr>
      <w:r>
        <w:rPr>
          <w:rFonts w:ascii="仿宋_GB2312" w:hAnsi="仿宋_GB2312" w:eastAsia="仿宋_GB2312"/>
          <w:b/>
          <w:sz w:val="32"/>
        </w:rPr>
        <w:t>2024年度收入总计3,987.61万元，</w:t>
      </w:r>
      <w:r>
        <w:rPr>
          <w:rFonts w:ascii="仿宋_GB2312" w:hAnsi="仿宋_GB2312" w:eastAsia="仿宋_GB2312"/>
          <w:b w:val="0"/>
          <w:sz w:val="32"/>
        </w:rPr>
        <w:t>其中：本年收入合计3,937.61万元，使用非财政拨款结余（含专用结余）0.00万元，年初结转和结余50.00万元。</w:t>
      </w:r>
    </w:p>
    <w:p w14:paraId="425998B2">
      <w:pPr>
        <w:spacing w:line="580" w:lineRule="exact"/>
        <w:ind w:firstLine="640"/>
        <w:jc w:val="both"/>
      </w:pPr>
      <w:r>
        <w:rPr>
          <w:rFonts w:ascii="仿宋_GB2312" w:hAnsi="仿宋_GB2312" w:eastAsia="仿宋_GB2312"/>
          <w:b/>
          <w:sz w:val="32"/>
        </w:rPr>
        <w:t>2024年度支出总计3,987.61万元，</w:t>
      </w:r>
      <w:r>
        <w:rPr>
          <w:rFonts w:ascii="仿宋_GB2312" w:hAnsi="仿宋_GB2312" w:eastAsia="仿宋_GB2312"/>
          <w:b w:val="0"/>
          <w:sz w:val="32"/>
        </w:rPr>
        <w:t>其中：本年支出合计3,987.61万元，结余分配0.00万元，年末结转和结余0.00万元。</w:t>
      </w:r>
    </w:p>
    <w:p w14:paraId="2B92C9C1">
      <w:pPr>
        <w:spacing w:line="580" w:lineRule="exact"/>
        <w:ind w:firstLine="640"/>
        <w:jc w:val="both"/>
      </w:pPr>
      <w:r>
        <w:rPr>
          <w:rFonts w:ascii="仿宋_GB2312" w:hAnsi="仿宋_GB2312" w:eastAsia="仿宋_GB2312"/>
          <w:b w:val="0"/>
          <w:sz w:val="32"/>
        </w:rPr>
        <w:t>收入支出总体与上年相比，减少83.22万元，下降2.04%，主要原因是：本年减少专项、司法绩效考核奖励等项目经费，导致相关经费减少。</w:t>
      </w:r>
    </w:p>
    <w:p w14:paraId="1B8F44FB">
      <w:pPr>
        <w:spacing w:line="640" w:lineRule="exact"/>
        <w:ind w:firstLine="640"/>
        <w:jc w:val="both"/>
        <w:outlineLvl w:val="2"/>
      </w:pPr>
      <w:r>
        <w:rPr>
          <w:rFonts w:ascii="黑体" w:hAnsi="黑体" w:eastAsia="黑体"/>
          <w:sz w:val="32"/>
        </w:rPr>
        <w:t>二、收入决算情况说明</w:t>
      </w:r>
    </w:p>
    <w:p w14:paraId="33CB695B">
      <w:pPr>
        <w:spacing w:line="580" w:lineRule="exact"/>
        <w:ind w:firstLine="640"/>
        <w:jc w:val="both"/>
      </w:pPr>
      <w:r>
        <w:rPr>
          <w:rFonts w:ascii="仿宋_GB2312" w:hAnsi="仿宋_GB2312" w:eastAsia="仿宋_GB2312"/>
          <w:b/>
          <w:sz w:val="32"/>
        </w:rPr>
        <w:t>本年收入3,937.61万元，</w:t>
      </w:r>
      <w:r>
        <w:rPr>
          <w:rFonts w:ascii="仿宋_GB2312" w:hAnsi="仿宋_GB2312" w:eastAsia="仿宋_GB2312"/>
          <w:b w:val="0"/>
          <w:sz w:val="32"/>
        </w:rPr>
        <w:t>其中：财政拨款收入3,937.61万元，占100.00%；上级补助收入0.00万元，占0.00%；事业收入0.00万元，占0.00%；经营收入0.00万元，占0.00%；附属单位上缴收入0.00万元，占0.00%；其他收入0.00万元，占0.00%。</w:t>
      </w:r>
    </w:p>
    <w:p w14:paraId="7DC54C09">
      <w:pPr>
        <w:spacing w:line="640" w:lineRule="exact"/>
        <w:ind w:firstLine="640"/>
        <w:jc w:val="both"/>
        <w:outlineLvl w:val="2"/>
      </w:pPr>
      <w:r>
        <w:rPr>
          <w:rFonts w:ascii="黑体" w:hAnsi="黑体" w:eastAsia="黑体"/>
          <w:sz w:val="32"/>
        </w:rPr>
        <w:t>三、支出决算情况说明</w:t>
      </w:r>
    </w:p>
    <w:p w14:paraId="2CFCC1F1">
      <w:pPr>
        <w:spacing w:line="580" w:lineRule="exact"/>
        <w:ind w:firstLine="640"/>
        <w:jc w:val="both"/>
      </w:pPr>
      <w:r>
        <w:rPr>
          <w:rFonts w:ascii="仿宋_GB2312" w:hAnsi="仿宋_GB2312" w:eastAsia="仿宋_GB2312"/>
          <w:b/>
          <w:sz w:val="32"/>
        </w:rPr>
        <w:t>本年支出3,987.61万元，</w:t>
      </w:r>
      <w:r>
        <w:rPr>
          <w:rFonts w:ascii="仿宋_GB2312" w:hAnsi="仿宋_GB2312" w:eastAsia="仿宋_GB2312"/>
          <w:b w:val="0"/>
          <w:sz w:val="32"/>
        </w:rPr>
        <w:t>其中：基本支出2,969.90万元，占74.48%；项目支出1,017.71万元，占25.52%；上缴上级支出0.00万元，占0.00%；经营支出0.00万元，占0.00%；对附属单位补助支出0.00万元，占0.00%。</w:t>
      </w:r>
    </w:p>
    <w:p w14:paraId="68F4C1F1">
      <w:pPr>
        <w:spacing w:line="640" w:lineRule="exact"/>
        <w:ind w:firstLine="640"/>
        <w:jc w:val="both"/>
        <w:outlineLvl w:val="2"/>
      </w:pPr>
      <w:r>
        <w:rPr>
          <w:rFonts w:ascii="黑体" w:hAnsi="黑体" w:eastAsia="黑体"/>
          <w:sz w:val="32"/>
        </w:rPr>
        <w:t>四、财政拨款收入支出决算总体情况说明</w:t>
      </w:r>
    </w:p>
    <w:p w14:paraId="14D1227D">
      <w:pPr>
        <w:spacing w:line="580" w:lineRule="exact"/>
        <w:ind w:firstLine="640"/>
        <w:jc w:val="both"/>
      </w:pPr>
      <w:r>
        <w:rPr>
          <w:rFonts w:ascii="仿宋_GB2312" w:hAnsi="仿宋_GB2312" w:eastAsia="仿宋_GB2312"/>
          <w:b/>
          <w:sz w:val="32"/>
        </w:rPr>
        <w:t>2024年度财政拨款收入总计3,937.61万元，</w:t>
      </w:r>
      <w:r>
        <w:rPr>
          <w:rFonts w:ascii="仿宋_GB2312" w:hAnsi="仿宋_GB2312" w:eastAsia="仿宋_GB2312"/>
          <w:b w:val="0"/>
          <w:sz w:val="32"/>
        </w:rPr>
        <w:t>其中：年初财政拨款结转和结余0.00万元，本年财政拨款收入3,937.61万元。</w:t>
      </w:r>
      <w:r>
        <w:rPr>
          <w:rFonts w:ascii="仿宋_GB2312" w:hAnsi="仿宋_GB2312" w:eastAsia="仿宋_GB2312"/>
          <w:b/>
          <w:sz w:val="32"/>
        </w:rPr>
        <w:t>财政拨款支出总计3,937.61万元，</w:t>
      </w:r>
      <w:r>
        <w:rPr>
          <w:rFonts w:ascii="仿宋_GB2312" w:hAnsi="仿宋_GB2312" w:eastAsia="仿宋_GB2312"/>
          <w:b w:val="0"/>
          <w:sz w:val="32"/>
        </w:rPr>
        <w:t>其中：年末财政拨款结转和结余0.00万元，本年财政拨款支出3,937.61万元。</w:t>
      </w:r>
    </w:p>
    <w:p w14:paraId="37EE14D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减少83.22万元，下降2.07%，主要原因是：本年减少专项、司法绩效考核奖励等项目经费，导致相关经费减少。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年初预算数3,955.66万元，决算数3,937.61万元，预决算差异率-0.46%，主要原因是：严格落实中央八项规定精神，厉行节约，减少不必要的开支。</w:t>
      </w:r>
    </w:p>
    <w:p w14:paraId="08011119">
      <w:pPr>
        <w:spacing w:line="640" w:lineRule="exact"/>
        <w:ind w:firstLine="640"/>
        <w:jc w:val="both"/>
        <w:outlineLvl w:val="2"/>
      </w:pPr>
      <w:r>
        <w:rPr>
          <w:rFonts w:ascii="黑体" w:hAnsi="黑体" w:eastAsia="黑体"/>
          <w:sz w:val="32"/>
        </w:rPr>
        <w:t>五、一般公共预算财政拨款支出决算情况说明</w:t>
      </w:r>
    </w:p>
    <w:p w14:paraId="5301F2C0">
      <w:pPr>
        <w:spacing w:line="640" w:lineRule="exact"/>
        <w:ind w:firstLine="640"/>
        <w:jc w:val="both"/>
        <w:outlineLvl w:val="3"/>
      </w:pPr>
      <w:r>
        <w:rPr>
          <w:rFonts w:ascii="楷体_GB2312" w:hAnsi="楷体_GB2312" w:eastAsia="楷体_GB2312"/>
          <w:b/>
          <w:sz w:val="32"/>
        </w:rPr>
        <w:t>（一）一般公共预算财政拨款支出决算总体情况</w:t>
      </w:r>
    </w:p>
    <w:p w14:paraId="3BF103BC">
      <w:pPr>
        <w:spacing w:line="580" w:lineRule="exact"/>
        <w:ind w:firstLine="640"/>
        <w:jc w:val="both"/>
      </w:pPr>
      <w:r>
        <w:rPr>
          <w:rFonts w:ascii="仿宋_GB2312" w:hAnsi="仿宋_GB2312" w:eastAsia="仿宋_GB2312"/>
          <w:b/>
          <w:sz w:val="32"/>
        </w:rPr>
        <w:t>2024年度一般公共预算财政拨款支出3,937.61万元，</w:t>
      </w:r>
      <w:r>
        <w:rPr>
          <w:rFonts w:ascii="仿宋_GB2312" w:hAnsi="仿宋_GB2312" w:eastAsia="仿宋_GB2312"/>
          <w:b w:val="0"/>
          <w:sz w:val="32"/>
        </w:rPr>
        <w:t>占本年支出合计的98.75%。</w:t>
      </w:r>
      <w:r>
        <w:rPr>
          <w:rFonts w:ascii="仿宋_GB2312" w:hAnsi="仿宋_GB2312" w:eastAsia="仿宋_GB2312"/>
          <w:b/>
          <w:sz w:val="32"/>
        </w:rPr>
        <w:t>与上年相比，</w:t>
      </w:r>
      <w:r>
        <w:rPr>
          <w:rFonts w:ascii="仿宋_GB2312" w:hAnsi="仿宋_GB2312" w:eastAsia="仿宋_GB2312"/>
          <w:b w:val="0"/>
          <w:sz w:val="32"/>
        </w:rPr>
        <w:t>减少83.22万元，下降2.07%，主要原因是：本年减少专项、司法绩效考核奖励等项目经费，导致相关经费减少。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年初预算数3,955.66万元，决算数3,937.61万元，预决算差异率-0.46%，主要原因是：严格落实中央八项规定精神，厉行节约，减少不必要的开支。</w:t>
      </w:r>
    </w:p>
    <w:p w14:paraId="5941E7E1">
      <w:pPr>
        <w:spacing w:line="640" w:lineRule="exact"/>
        <w:ind w:firstLine="640"/>
        <w:jc w:val="both"/>
        <w:outlineLvl w:val="3"/>
      </w:pPr>
      <w:r>
        <w:rPr>
          <w:rFonts w:ascii="楷体_GB2312" w:hAnsi="楷体_GB2312" w:eastAsia="楷体_GB2312"/>
          <w:b/>
          <w:sz w:val="32"/>
        </w:rPr>
        <w:t>（二）一般公共预算财政拨款支出决算结构情况</w:t>
      </w:r>
    </w:p>
    <w:p w14:paraId="653918F7">
      <w:pPr>
        <w:spacing w:line="580" w:lineRule="exact"/>
        <w:ind w:firstLine="640"/>
        <w:jc w:val="both"/>
      </w:pPr>
      <w:r>
        <w:rPr>
          <w:rFonts w:ascii="仿宋_GB2312" w:hAnsi="仿宋_GB2312" w:eastAsia="仿宋_GB2312"/>
          <w:b w:val="0"/>
          <w:sz w:val="32"/>
        </w:rPr>
        <w:t>1.公共安全支出(类)3,268.85万元,占83.02%。</w:t>
      </w:r>
    </w:p>
    <w:p w14:paraId="2A111E51">
      <w:pPr>
        <w:spacing w:line="580" w:lineRule="exact"/>
        <w:ind w:firstLine="640"/>
        <w:jc w:val="both"/>
      </w:pPr>
      <w:r>
        <w:rPr>
          <w:rFonts w:ascii="仿宋_GB2312" w:hAnsi="仿宋_GB2312" w:eastAsia="仿宋_GB2312"/>
          <w:b w:val="0"/>
          <w:sz w:val="32"/>
        </w:rPr>
        <w:t>2.社会保障和就业支出(类)344.19万元,占8.74%。</w:t>
      </w:r>
    </w:p>
    <w:p w14:paraId="5C25478D">
      <w:pPr>
        <w:spacing w:line="580" w:lineRule="exact"/>
        <w:ind w:firstLine="640"/>
        <w:jc w:val="both"/>
      </w:pPr>
      <w:r>
        <w:rPr>
          <w:rFonts w:ascii="仿宋_GB2312" w:hAnsi="仿宋_GB2312" w:eastAsia="仿宋_GB2312"/>
          <w:b w:val="0"/>
          <w:sz w:val="32"/>
        </w:rPr>
        <w:t>3.卫生健康支出(类)128.47万元,占3.26%。</w:t>
      </w:r>
    </w:p>
    <w:p w14:paraId="097BD9D8">
      <w:pPr>
        <w:spacing w:line="580" w:lineRule="exact"/>
        <w:ind w:firstLine="640"/>
        <w:jc w:val="both"/>
      </w:pPr>
      <w:r>
        <w:rPr>
          <w:rFonts w:ascii="仿宋_GB2312" w:hAnsi="仿宋_GB2312" w:eastAsia="仿宋_GB2312"/>
          <w:b w:val="0"/>
          <w:sz w:val="32"/>
        </w:rPr>
        <w:t>4.住房保障支出(类)196.09万元,占4.98%。</w:t>
      </w:r>
    </w:p>
    <w:p w14:paraId="36DE6BDF">
      <w:pPr>
        <w:spacing w:line="640" w:lineRule="exact"/>
        <w:ind w:firstLine="640"/>
        <w:jc w:val="both"/>
        <w:outlineLvl w:val="3"/>
      </w:pPr>
      <w:r>
        <w:rPr>
          <w:rFonts w:ascii="楷体_GB2312" w:hAnsi="楷体_GB2312" w:eastAsia="楷体_GB2312"/>
          <w:b/>
          <w:sz w:val="32"/>
        </w:rPr>
        <w:t>（三）一般公共预算财政拨款支出决算具体情况</w:t>
      </w:r>
    </w:p>
    <w:p w14:paraId="2E1858BC">
      <w:pPr>
        <w:spacing w:line="580" w:lineRule="exact"/>
        <w:ind w:firstLine="640"/>
        <w:jc w:val="both"/>
      </w:pPr>
      <w:r>
        <w:rPr>
          <w:rFonts w:ascii="仿宋_GB2312" w:hAnsi="仿宋_GB2312" w:eastAsia="仿宋_GB2312"/>
          <w:b w:val="0"/>
          <w:sz w:val="32"/>
        </w:rPr>
        <w:t>1.公共安全支出(类)法院(款)行政运行(项):支出决算数为2,301.15万元，比上年决算增加22.33万元，增长0.98%,主要原因是：本年新增在职人员，人员经费增加，导致经费较上年有所增加。</w:t>
      </w:r>
    </w:p>
    <w:p w14:paraId="5357126B">
      <w:pPr>
        <w:spacing w:line="580" w:lineRule="exact"/>
        <w:ind w:firstLine="640"/>
        <w:jc w:val="both"/>
      </w:pPr>
      <w:r>
        <w:rPr>
          <w:rFonts w:ascii="仿宋_GB2312" w:hAnsi="仿宋_GB2312" w:eastAsia="仿宋_GB2312"/>
          <w:b w:val="0"/>
          <w:sz w:val="32"/>
        </w:rPr>
        <w:t>2.公共安全支出(类)法院(款)一般行政管理事务(项):支出决算数为332.31万元，比上年决算减少4.79万元，下降1.42%,主要原因是：本年减少司法绩效考核奖励项目经费，导致相关经费减少。</w:t>
      </w:r>
    </w:p>
    <w:p w14:paraId="085970E0">
      <w:pPr>
        <w:spacing w:line="580" w:lineRule="exact"/>
        <w:ind w:firstLine="640"/>
        <w:jc w:val="both"/>
      </w:pPr>
      <w:r>
        <w:rPr>
          <w:rFonts w:ascii="仿宋_GB2312" w:hAnsi="仿宋_GB2312" w:eastAsia="仿宋_GB2312"/>
          <w:b w:val="0"/>
          <w:sz w:val="32"/>
        </w:rPr>
        <w:t>3.公共安全支出(类)法院(款)其他法院支出(项):支出决算数为635.40万元，比上年决算减少72.41万元，下降10.23%,主要原因是：本年减少专项项目经费，导致相关经费减少。</w:t>
      </w:r>
    </w:p>
    <w:p w14:paraId="332D35D0">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104.18万元，比上年决算增加22.73万元，增长27.91%,主要原因是：本年退休人员增加，增加退休人员基础绩效奖，退休费支出增加。</w:t>
      </w:r>
    </w:p>
    <w:p w14:paraId="2CC9C441">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234.58万元，比上年决算增加23.67万元，增长11.22%,主要原因是：本年在职人员工资基数调增，养老缴费基数上涨，相应支出增加。</w:t>
      </w:r>
    </w:p>
    <w:p w14:paraId="7F26A33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5.43万元，比上年决算减少9.20万元，下降62.88%,主要原因是：本年新增退休人员及辞职人员较上年减少，导致职业年金缴费支出减少。</w:t>
      </w:r>
    </w:p>
    <w:p w14:paraId="68D3C006">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7.社会保障和就业支出(类)抚恤(款)死亡抚恤(项):支出决算数为0.00万元，比上年决算减少100.12万元，下降100.00%,主要原因是：本年无新增死亡人员，死亡抚恤支出较上年减少。</w:t>
      </w:r>
    </w:p>
    <w:p w14:paraId="44975419">
      <w:pPr>
        <w:spacing w:line="580" w:lineRule="exact"/>
        <w:ind w:firstLine="640"/>
        <w:jc w:val="both"/>
      </w:pPr>
      <w:r>
        <w:rPr>
          <w:rFonts w:ascii="仿宋_GB2312" w:hAnsi="仿宋_GB2312" w:eastAsia="仿宋_GB2312"/>
          <w:b w:val="0"/>
          <w:sz w:val="32"/>
        </w:rPr>
        <w:t>8.卫生健康支出(类)行政事业单位医疗(款)行政单位医疗(项):支出决算数为99.92万元，比上年决算增加9.48万元，增长10.48%,主要原因是：本年在职人员增加，行政单位医疗支出较上年增加。</w:t>
      </w:r>
    </w:p>
    <w:p w14:paraId="31D71512">
      <w:pPr>
        <w:spacing w:line="580" w:lineRule="exact"/>
        <w:ind w:firstLine="640"/>
        <w:jc w:val="both"/>
      </w:pPr>
      <w:r>
        <w:rPr>
          <w:rFonts w:ascii="仿宋_GB2312" w:hAnsi="仿宋_GB2312" w:eastAsia="仿宋_GB2312"/>
          <w:b w:val="0"/>
          <w:sz w:val="32"/>
        </w:rPr>
        <w:t>9.卫生健康支出(类)行政事业单位医疗(款)公务员医疗补助(项):支出决算数为28.55万元，比上年决算增加2.79万元，增长10.83%,主要原因是：本年在职人员增加，公务员医疗补助较上年增加。</w:t>
      </w:r>
    </w:p>
    <w:p w14:paraId="5C1D9AF7">
      <w:pPr>
        <w:spacing w:line="580" w:lineRule="exact"/>
        <w:ind w:firstLine="640"/>
        <w:jc w:val="both"/>
      </w:pPr>
      <w:r>
        <w:rPr>
          <w:rFonts w:ascii="仿宋_GB2312" w:hAnsi="仿宋_GB2312" w:eastAsia="仿宋_GB2312"/>
          <w:b w:val="0"/>
          <w:sz w:val="32"/>
        </w:rPr>
        <w:t>10.住房保障支出(类)住房改革支出(款)住房公积金(项):支出决算数为196.09万元，比上年决算增加22.31万元，增长12.84%,主要原因是：本年在职人员增加，住房公积金支出较上年增加。</w:t>
      </w:r>
    </w:p>
    <w:p w14:paraId="598B2D9F">
      <w:pPr>
        <w:spacing w:line="640" w:lineRule="exact"/>
        <w:ind w:firstLine="640"/>
        <w:jc w:val="both"/>
        <w:outlineLvl w:val="2"/>
      </w:pPr>
      <w:r>
        <w:rPr>
          <w:rFonts w:ascii="黑体" w:hAnsi="黑体" w:eastAsia="黑体"/>
          <w:sz w:val="32"/>
        </w:rPr>
        <w:t>六、一般公共预算财政拨款基本支出决算情况说明</w:t>
      </w:r>
    </w:p>
    <w:p w14:paraId="11C1BFC6">
      <w:pPr>
        <w:spacing w:line="580" w:lineRule="exact"/>
        <w:ind w:firstLine="640"/>
        <w:jc w:val="both"/>
      </w:pPr>
      <w:r>
        <w:rPr>
          <w:rFonts w:ascii="仿宋_GB2312" w:hAnsi="仿宋_GB2312" w:eastAsia="仿宋_GB2312"/>
          <w:b w:val="0"/>
          <w:sz w:val="32"/>
        </w:rPr>
        <w:t>2024年度一般公共预算财政拨款基本支出2,969.90万元，其中：</w:t>
      </w:r>
      <w:r>
        <w:rPr>
          <w:rFonts w:ascii="仿宋_GB2312" w:hAnsi="仿宋_GB2312" w:eastAsia="仿宋_GB2312"/>
          <w:b/>
          <w:sz w:val="32"/>
        </w:rPr>
        <w:t>人员经费2,751.87万元，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2DDD5439">
      <w:pPr>
        <w:spacing w:line="580" w:lineRule="exact"/>
        <w:ind w:firstLine="640"/>
        <w:jc w:val="both"/>
      </w:pPr>
      <w:r>
        <w:rPr>
          <w:rFonts w:ascii="仿宋_GB2312" w:hAnsi="仿宋_GB2312" w:eastAsia="仿宋_GB2312"/>
          <w:b/>
          <w:sz w:val="32"/>
        </w:rPr>
        <w:t>公用经费218.03万元，</w:t>
      </w:r>
      <w:r>
        <w:rPr>
          <w:rFonts w:ascii="仿宋_GB2312" w:hAnsi="仿宋_GB2312" w:eastAsia="仿宋_GB2312"/>
          <w:b w:val="0"/>
          <w:sz w:val="32"/>
        </w:rPr>
        <w:t>包括：水费、电费、取暖费、物业管理费、差旅费、租赁费、专用材料费、工会经费、公务用车运行维护费、其他商品和服务支出。</w:t>
      </w:r>
    </w:p>
    <w:p w14:paraId="5D06D5DD">
      <w:pPr>
        <w:spacing w:line="640" w:lineRule="exact"/>
        <w:ind w:firstLine="640"/>
        <w:jc w:val="both"/>
        <w:outlineLvl w:val="2"/>
      </w:pPr>
      <w:r>
        <w:rPr>
          <w:rFonts w:ascii="黑体" w:hAnsi="黑体" w:eastAsia="黑体"/>
          <w:sz w:val="32"/>
        </w:rPr>
        <w:t>七、政府性基金预算财政拨款收入支出决算情况说明</w:t>
      </w:r>
    </w:p>
    <w:p w14:paraId="6CF767E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CC0F426">
      <w:pPr>
        <w:spacing w:line="640" w:lineRule="exact"/>
        <w:ind w:firstLine="640"/>
        <w:jc w:val="both"/>
        <w:outlineLvl w:val="2"/>
      </w:pPr>
      <w:r>
        <w:rPr>
          <w:rFonts w:ascii="黑体" w:hAnsi="黑体" w:eastAsia="黑体"/>
          <w:sz w:val="32"/>
        </w:rPr>
        <w:t>八、国有资本经营预算财政拨款收入支出决算情况说明</w:t>
      </w:r>
    </w:p>
    <w:p w14:paraId="4DFE113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77BDF94">
      <w:pPr>
        <w:spacing w:line="640" w:lineRule="exact"/>
        <w:ind w:firstLine="640"/>
        <w:jc w:val="both"/>
        <w:outlineLvl w:val="2"/>
      </w:pPr>
      <w:r>
        <w:rPr>
          <w:rFonts w:ascii="黑体" w:hAnsi="黑体" w:eastAsia="黑体"/>
          <w:sz w:val="32"/>
        </w:rPr>
        <w:t>九、财政拨款“三公”经费支出决算情况说明</w:t>
      </w:r>
    </w:p>
    <w:p w14:paraId="40E0CE28">
      <w:pPr>
        <w:spacing w:line="580" w:lineRule="exact"/>
        <w:ind w:firstLine="640"/>
        <w:jc w:val="both"/>
      </w:pPr>
      <w:r>
        <w:rPr>
          <w:rFonts w:ascii="仿宋_GB2312" w:hAnsi="仿宋_GB2312" w:eastAsia="仿宋_GB2312"/>
          <w:b/>
          <w:sz w:val="32"/>
        </w:rPr>
        <w:t>2024年度财政拨款“三公”经费支出52.09万元，</w:t>
      </w:r>
      <w:r>
        <w:rPr>
          <w:rFonts w:ascii="仿宋_GB2312" w:hAnsi="仿宋_GB2312" w:eastAsia="仿宋_GB2312"/>
          <w:b w:val="0"/>
          <w:sz w:val="32"/>
        </w:rPr>
        <w:t>比上年增加13.58万元，增长35.26%，主要原因是：本部门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52.09万元，占100.00%，比上年增加13.58万元，增长35.26%，主要原因是：本部门公务用车日渐老化，维修维护成本增加，导致公务用车运行维护费较上年增加。公务接待费支出0.00万元，占0.00%，比上年增加0.00万元，增长0.00%，主要原因是：2023年与2024年均未安排公务接待费支出。</w:t>
      </w:r>
    </w:p>
    <w:p w14:paraId="7DFA6DA8">
      <w:pPr>
        <w:spacing w:line="580" w:lineRule="exact"/>
        <w:ind w:firstLine="640"/>
        <w:jc w:val="both"/>
      </w:pPr>
      <w:r>
        <w:rPr>
          <w:rFonts w:ascii="仿宋_GB2312" w:hAnsi="仿宋_GB2312" w:eastAsia="仿宋_GB2312"/>
          <w:b/>
          <w:sz w:val="32"/>
        </w:rPr>
        <w:t>具体情况如下：</w:t>
      </w:r>
    </w:p>
    <w:p w14:paraId="536395D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43891F1">
      <w:pPr>
        <w:spacing w:line="580" w:lineRule="exact"/>
        <w:ind w:firstLine="640"/>
        <w:jc w:val="both"/>
      </w:pPr>
      <w:r>
        <w:rPr>
          <w:rFonts w:ascii="仿宋_GB2312" w:hAnsi="仿宋_GB2312" w:eastAsia="仿宋_GB2312"/>
          <w:b w:val="0"/>
          <w:sz w:val="32"/>
        </w:rPr>
        <w:t>公务用车购置及运行维护费52.09万元，其中：公务用车购置费0.00万元，公务用车运行维护费52.09万元。公务用车运行维护费开支内容包括车辆加油费、维修费、保险费、审车费、过路费等。公务用车购置数0辆，公务用车保有量24辆。国有资产占用情况中固定资产车辆24辆，与公务用车保有量差异原因是：本部门固定资产车辆与公务用车保有量一致无差异。</w:t>
      </w:r>
    </w:p>
    <w:p w14:paraId="1825636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B0DA5C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52.09万元，决算数52.09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52.09万元，决算数52.09万元，预决算差异率0.00%，主要原因是：严格按照预算执行，预决算无差异。公务接待费全年预算数0.00万元，决算数0.00万元，预决算差异率0.00%，主要原因是：本部门无公务接待费。</w:t>
      </w:r>
    </w:p>
    <w:p w14:paraId="7853675F">
      <w:pPr>
        <w:spacing w:line="640" w:lineRule="exact"/>
        <w:ind w:firstLine="640"/>
        <w:jc w:val="both"/>
        <w:outlineLvl w:val="2"/>
      </w:pPr>
      <w:r>
        <w:rPr>
          <w:rFonts w:ascii="黑体" w:hAnsi="黑体" w:eastAsia="黑体"/>
          <w:sz w:val="32"/>
        </w:rPr>
        <w:t>十、其他重要事项的情况说明</w:t>
      </w:r>
    </w:p>
    <w:p w14:paraId="325DF7A0">
      <w:pPr>
        <w:spacing w:line="640" w:lineRule="exact"/>
        <w:ind w:firstLine="640"/>
        <w:jc w:val="both"/>
        <w:outlineLvl w:val="3"/>
      </w:pPr>
      <w:r>
        <w:rPr>
          <w:rFonts w:ascii="楷体_GB2312" w:hAnsi="楷体_GB2312" w:eastAsia="楷体_GB2312"/>
          <w:b/>
          <w:sz w:val="32"/>
        </w:rPr>
        <w:t>（一）机关运行经费及公用经费支出情况</w:t>
      </w:r>
    </w:p>
    <w:p w14:paraId="45EAF428">
      <w:pPr>
        <w:spacing w:line="580" w:lineRule="exact"/>
        <w:ind w:firstLine="640"/>
        <w:jc w:val="both"/>
      </w:pPr>
      <w:r>
        <w:rPr>
          <w:rFonts w:ascii="仿宋_GB2312" w:hAnsi="仿宋_GB2312" w:eastAsia="仿宋_GB2312"/>
          <w:b w:val="0"/>
          <w:sz w:val="32"/>
        </w:rPr>
        <w:t>2024年度喀什市人民法院（行政单位和参照公务员法管理事业单位）机关运行经费支出218.03万元，比上年增加57.99万元，增长36.23%，主要原因是：本年增加租赁费、公务用车运行维护费等经费，导致相关经费增加。</w:t>
      </w:r>
    </w:p>
    <w:p w14:paraId="2A6DC077">
      <w:pPr>
        <w:spacing w:line="640" w:lineRule="exact"/>
        <w:ind w:firstLine="640"/>
        <w:jc w:val="both"/>
        <w:outlineLvl w:val="3"/>
      </w:pPr>
      <w:r>
        <w:rPr>
          <w:rFonts w:ascii="楷体_GB2312" w:hAnsi="楷体_GB2312" w:eastAsia="楷体_GB2312"/>
          <w:b/>
          <w:sz w:val="32"/>
        </w:rPr>
        <w:t>（二）政府采购情况</w:t>
      </w:r>
    </w:p>
    <w:p w14:paraId="62452B78">
      <w:pPr>
        <w:spacing w:line="580" w:lineRule="exact"/>
        <w:ind w:firstLine="640"/>
        <w:jc w:val="both"/>
      </w:pPr>
      <w:r>
        <w:rPr>
          <w:rFonts w:ascii="仿宋_GB2312" w:hAnsi="仿宋_GB2312" w:eastAsia="仿宋_GB2312"/>
          <w:b w:val="0"/>
          <w:sz w:val="32"/>
        </w:rPr>
        <w:t>2024年度政府采购支出总额340.15万元，其中：政府采购货物支出245.92万元、政府采购工程支出12.00万元、政府采购服务支出82.23万元。</w:t>
      </w:r>
    </w:p>
    <w:p w14:paraId="6C686848">
      <w:pPr>
        <w:spacing w:line="580" w:lineRule="exact"/>
        <w:ind w:firstLine="640"/>
        <w:jc w:val="both"/>
      </w:pPr>
      <w:r>
        <w:rPr>
          <w:rFonts w:ascii="仿宋_GB2312" w:hAnsi="仿宋_GB2312" w:eastAsia="仿宋_GB2312"/>
          <w:b w:val="0"/>
          <w:sz w:val="32"/>
        </w:rPr>
        <w:t>授予中小企业合同金额340.15万元，占政府采购支出总额的100.00%，其中：授予小微企业合同金额335.90万元，占政府采购支出总额的98.75%。</w:t>
      </w:r>
    </w:p>
    <w:p w14:paraId="1F8479BC">
      <w:pPr>
        <w:spacing w:line="640" w:lineRule="exact"/>
        <w:ind w:firstLine="640"/>
        <w:jc w:val="both"/>
        <w:outlineLvl w:val="3"/>
      </w:pPr>
      <w:r>
        <w:rPr>
          <w:rFonts w:ascii="楷体_GB2312" w:hAnsi="楷体_GB2312" w:eastAsia="楷体_GB2312"/>
          <w:b/>
          <w:sz w:val="32"/>
        </w:rPr>
        <w:t>（三）国有资产占用情况说明</w:t>
      </w:r>
    </w:p>
    <w:p w14:paraId="22C571F2">
      <w:pPr>
        <w:spacing w:line="580" w:lineRule="exact"/>
        <w:ind w:firstLine="640"/>
        <w:jc w:val="both"/>
      </w:pPr>
      <w:r>
        <w:rPr>
          <w:rFonts w:ascii="仿宋_GB2312" w:hAnsi="仿宋_GB2312" w:eastAsia="仿宋_GB2312"/>
          <w:b w:val="0"/>
          <w:sz w:val="32"/>
        </w:rPr>
        <w:t>截至2024年12月31日，房屋14,396.64平方米，价值1,979.33万元。车辆24辆，价值368.65万元，其中：副部（省）级及以上领导用车0辆、主要负责人用车0辆、机要通信用车0辆、应急保障用车0辆、执法执勤用车21辆、特种专业技术用车0辆、离退休干部服务用车0辆、其他用车3辆，其他用车主要是：一般公务用车。单价100万元（含）以上设备（不含车辆）0台（套）。</w:t>
      </w:r>
    </w:p>
    <w:p w14:paraId="47772BB7">
      <w:pPr>
        <w:spacing w:line="640" w:lineRule="exact"/>
        <w:ind w:firstLine="640"/>
        <w:jc w:val="both"/>
        <w:outlineLvl w:val="2"/>
      </w:pPr>
      <w:r>
        <w:rPr>
          <w:rFonts w:ascii="黑体" w:hAnsi="黑体" w:eastAsia="黑体"/>
          <w:sz w:val="32"/>
        </w:rPr>
        <w:t>十一、预算绩效的情况说明</w:t>
      </w:r>
    </w:p>
    <w:p w14:paraId="39A96C1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4,027.94万元，实际执行总额3,987.69万元；预算绩效评价项目9个，全年预算数1,017.71万元，全年执行数1,017.71万元。预算绩效管理取得的成效：</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不予公开。具体附部门整体支出绩效自评表。</w:t>
      </w:r>
    </w:p>
    <w:p w14:paraId="37D64F7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931290">
        <w:tblPrEx>
          <w:tblCellMar>
            <w:top w:w="0" w:type="dxa"/>
            <w:left w:w="108" w:type="dxa"/>
            <w:bottom w:w="0" w:type="dxa"/>
            <w:right w:w="108" w:type="dxa"/>
          </w:tblCellMar>
        </w:tblPrEx>
        <w:tc>
          <w:tcPr>
            <w:tcW w:w="8847" w:type="dxa"/>
            <w:gridSpan w:val="9"/>
            <w:vAlign w:val="center"/>
          </w:tcPr>
          <w:p w14:paraId="55D33D2E">
            <w:pPr>
              <w:jc w:val="center"/>
            </w:pPr>
            <w:r>
              <w:rPr>
                <w:rFonts w:ascii="宋体" w:hAnsi="宋体" w:eastAsia="宋体"/>
                <w:sz w:val="24"/>
              </w:rPr>
              <w:t>部门整体支出绩效自评表</w:t>
            </w:r>
          </w:p>
        </w:tc>
      </w:tr>
      <w:tr w14:paraId="3B778EED">
        <w:tblPrEx>
          <w:tblCellMar>
            <w:top w:w="0" w:type="dxa"/>
            <w:left w:w="108" w:type="dxa"/>
            <w:bottom w:w="0" w:type="dxa"/>
            <w:right w:w="108" w:type="dxa"/>
          </w:tblCellMar>
        </w:tblPrEx>
        <w:tc>
          <w:tcPr>
            <w:tcW w:w="8847" w:type="dxa"/>
            <w:gridSpan w:val="9"/>
            <w:vAlign w:val="center"/>
          </w:tcPr>
          <w:p w14:paraId="3470866F">
            <w:pPr>
              <w:jc w:val="center"/>
            </w:pPr>
            <w:r>
              <w:rPr>
                <w:rFonts w:ascii="宋体" w:hAnsi="宋体" w:eastAsia="宋体"/>
                <w:sz w:val="24"/>
              </w:rPr>
              <w:t>（2024年度）</w:t>
            </w:r>
          </w:p>
        </w:tc>
      </w:tr>
      <w:tr w14:paraId="363F56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4371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42E988C">
            <w:pPr>
              <w:jc w:val="center"/>
            </w:pPr>
            <w:r>
              <w:rPr>
                <w:rFonts w:ascii="宋体" w:hAnsi="宋体" w:eastAsia="宋体"/>
                <w:sz w:val="16"/>
              </w:rPr>
              <w:t>喀什市人民法院</w:t>
            </w:r>
          </w:p>
        </w:tc>
      </w:tr>
      <w:tr w14:paraId="251D7F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B511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CB6D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BA7C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016A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E0E0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A356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B9F8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71667">
            <w:pPr>
              <w:jc w:val="center"/>
            </w:pPr>
            <w:r>
              <w:rPr>
                <w:rFonts w:ascii="宋体" w:hAnsi="宋体" w:eastAsia="宋体"/>
                <w:sz w:val="16"/>
              </w:rPr>
              <w:t>得分</w:t>
            </w:r>
          </w:p>
        </w:tc>
      </w:tr>
      <w:tr w14:paraId="64FAF6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5188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D52C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FAEDC">
            <w:pPr>
              <w:jc w:val="center"/>
            </w:pPr>
            <w:r>
              <w:rPr>
                <w:rFonts w:ascii="宋体" w:hAnsi="宋体" w:eastAsia="宋体"/>
                <w:sz w:val="16"/>
              </w:rPr>
              <w:t>4,005.66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FAA43">
            <w:pPr>
              <w:jc w:val="center"/>
            </w:pPr>
            <w:r>
              <w:rPr>
                <w:rFonts w:ascii="宋体" w:hAnsi="宋体" w:eastAsia="宋体"/>
                <w:sz w:val="16"/>
              </w:rPr>
              <w:t>4,027.94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85BAC">
            <w:pPr>
              <w:jc w:val="center"/>
            </w:pPr>
            <w:r>
              <w:rPr>
                <w:rFonts w:ascii="宋体" w:hAnsi="宋体" w:eastAsia="宋体"/>
                <w:sz w:val="16"/>
              </w:rPr>
              <w:t>3,987.69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890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77617">
            <w:pPr>
              <w:jc w:val="center"/>
            </w:pPr>
            <w:r>
              <w:rPr>
                <w:rFonts w:ascii="宋体" w:hAnsi="宋体" w:eastAsia="宋体"/>
                <w:sz w:val="16"/>
              </w:rPr>
              <w:t>99.00%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9BEBE">
            <w:pPr>
              <w:jc w:val="center"/>
            </w:pPr>
            <w:r>
              <w:rPr>
                <w:rFonts w:ascii="宋体" w:hAnsi="宋体" w:eastAsia="宋体"/>
                <w:sz w:val="16"/>
              </w:rPr>
              <w:t>9.9</w:t>
            </w:r>
          </w:p>
        </w:tc>
      </w:tr>
      <w:tr w14:paraId="086CDF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FDF2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A256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B1BAC">
            <w:pPr>
              <w:jc w:val="center"/>
            </w:pPr>
            <w:r>
              <w:rPr>
                <w:rFonts w:ascii="宋体" w:hAnsi="宋体" w:eastAsia="宋体"/>
                <w:sz w:val="16"/>
              </w:rPr>
              <w:t>793.67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41145">
            <w:pPr>
              <w:jc w:val="center"/>
            </w:pPr>
            <w:r>
              <w:rPr>
                <w:rFonts w:ascii="宋体" w:hAnsi="宋体" w:eastAsia="宋体"/>
                <w:sz w:val="16"/>
              </w:rPr>
              <w:t>923.93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B093F">
            <w:pPr>
              <w:jc w:val="center"/>
            </w:pPr>
            <w:r>
              <w:rPr>
                <w:rFonts w:ascii="宋体" w:hAnsi="宋体" w:eastAsia="宋体"/>
                <w:sz w:val="16"/>
              </w:rPr>
              <w:t>883.69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398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5FE8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E0E48">
            <w:pPr>
              <w:jc w:val="center"/>
            </w:pPr>
            <w:r>
              <w:rPr>
                <w:rFonts w:ascii="宋体" w:hAnsi="宋体" w:eastAsia="宋体"/>
                <w:sz w:val="16"/>
              </w:rPr>
              <w:t>—</w:t>
            </w:r>
          </w:p>
        </w:tc>
      </w:tr>
      <w:tr w14:paraId="7EED43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8A6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DDC0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D5A2C">
            <w:pPr>
              <w:jc w:val="center"/>
            </w:pPr>
            <w:r>
              <w:rPr>
                <w:rFonts w:ascii="宋体" w:hAnsi="宋体" w:eastAsia="宋体"/>
                <w:sz w:val="16"/>
              </w:rPr>
              <w:t>3,161.99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4F87F">
            <w:pPr>
              <w:jc w:val="center"/>
            </w:pPr>
            <w:r>
              <w:rPr>
                <w:rFonts w:ascii="宋体" w:hAnsi="宋体" w:eastAsia="宋体"/>
                <w:sz w:val="16"/>
              </w:rPr>
              <w:t>3,054.01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2A89B">
            <w:pPr>
              <w:jc w:val="center"/>
            </w:pPr>
            <w:r>
              <w:rPr>
                <w:rFonts w:ascii="宋体" w:hAnsi="宋体" w:eastAsia="宋体"/>
                <w:sz w:val="16"/>
              </w:rPr>
              <w:t>3,054.00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34C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8AC7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4A36">
            <w:pPr>
              <w:jc w:val="center"/>
            </w:pPr>
            <w:r>
              <w:rPr>
                <w:rFonts w:ascii="宋体" w:hAnsi="宋体" w:eastAsia="宋体"/>
                <w:sz w:val="16"/>
              </w:rPr>
              <w:t>—</w:t>
            </w:r>
          </w:p>
        </w:tc>
      </w:tr>
      <w:tr w14:paraId="4F0002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6774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D0DF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60C35">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E691C">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27EC9">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806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7ADD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3B4AC">
            <w:pPr>
              <w:jc w:val="center"/>
            </w:pPr>
            <w:r>
              <w:rPr>
                <w:rFonts w:ascii="宋体" w:hAnsi="宋体" w:eastAsia="宋体"/>
                <w:sz w:val="16"/>
              </w:rPr>
              <w:t>—</w:t>
            </w:r>
          </w:p>
        </w:tc>
      </w:tr>
      <w:tr w14:paraId="0A99FE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5CD5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4B09D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05C7D7">
            <w:pPr>
              <w:jc w:val="center"/>
            </w:pPr>
            <w:r>
              <w:rPr>
                <w:rFonts w:ascii="宋体" w:hAnsi="宋体" w:eastAsia="宋体"/>
                <w:sz w:val="16"/>
              </w:rPr>
              <w:t>实际完成情况</w:t>
            </w:r>
          </w:p>
        </w:tc>
      </w:tr>
      <w:tr w14:paraId="12C1AD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7E6B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AD72DF">
            <w:pPr>
              <w:jc w:val="both"/>
            </w:pPr>
            <w:r>
              <w:rPr>
                <w:rFonts w:ascii="宋体" w:hAnsi="宋体" w:eastAsia="宋体"/>
                <w:sz w:val="16"/>
              </w:rPr>
              <w:t>我院充分发挥法院的审判执行工作职能，全面提升审判执行工作质效，保障法院审判执行工作的顺利开展。全面提升法官队伍整体职业素养，打造忠诚干净担当爱岗敬业的法院队伍，保障维护案件审判执行的公平正义，推进司法体制改革进程。坚持司法为民，公正司法，为喀什市经济社会发展提供坚强司法服务和保障。提升我院依法审理刑事、民商事、执行各类案件质量。提高人民满意度，保障司法审判的各项工作顺利进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B7BF79">
            <w:pPr>
              <w:jc w:val="both"/>
            </w:pPr>
            <w:r>
              <w:rPr>
                <w:rFonts w:ascii="宋体" w:hAnsi="宋体" w:eastAsia="宋体"/>
                <w:sz w:val="16"/>
              </w:rPr>
              <w:t>使当事人保护了自己的人权，充分体现法院司法为民的理念，对解决纠纷、促进经济发展，构建和谐社会起到推动作用。已经完成人员经费、公用经费、办案业务保障费用等支出；保障人员、公用经费正常运作，提高政府执政为民形象，为困难群众提供正确的法律指导，减少上访事件的发生。推动矛盾多元化解，助推市域治理现代化；优化法治化营商环境，提升司法服务保障；深入开展“护蕾”行动，加强未成年人保护。积极保障优化</w:t>
            </w:r>
            <w:r>
              <w:rPr>
                <w:rFonts w:hint="eastAsia" w:ascii="宋体" w:hAnsi="宋体"/>
                <w:sz w:val="16"/>
                <w:lang w:eastAsia="zh-CN"/>
              </w:rPr>
              <w:t>法治化营商环境</w:t>
            </w:r>
            <w:r>
              <w:rPr>
                <w:rFonts w:ascii="宋体" w:hAnsi="宋体" w:eastAsia="宋体"/>
                <w:sz w:val="16"/>
              </w:rPr>
              <w:t>。以案促调以案促改，引导妥善化解涉及延期交房引发的群体性问题，全力服务“保交楼”“保民生”工作；深化“法院+”模式，与金融银行、工会劳动、商会行业等联合做好矛盾纠纷多元化解机制对接，加强纠纷调处指导，依法参与市重大矛盾纠纷处理，协助重大风险化解，助力法治化营商环境建设。深入经济开发区、中亚南亚工业园、深圳城等园区与企业座谈3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严惩各类刑事犯罪，妥善审理民商事案件，全力化解矛盾纠纷。加强行政审判，全力推动法治政府建设。强化执行力度，全力攻坚执行难。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主动服务保障自贸区建设。争取上级法院支持，协助起草《喀什两级法院关于服务保障中国（新疆）自由贸易试验区喀什片区建设实施方案（试行）</w:t>
            </w:r>
            <w:r>
              <w:rPr>
                <w:rFonts w:hint="eastAsia" w:ascii="宋体" w:hAnsi="宋体"/>
                <w:sz w:val="16"/>
                <w:lang w:eastAsia="zh-CN"/>
              </w:rPr>
              <w:t>》《</w:t>
            </w:r>
            <w:r>
              <w:rPr>
                <w:rFonts w:ascii="宋体" w:hAnsi="宋体" w:eastAsia="宋体"/>
                <w:sz w:val="16"/>
              </w:rPr>
              <w:t>喀什地区中级人民法院域外法查明工作指南（试行）》，挂牌成立自由贸易区喀什片区人民法庭，立足服务自贸区企业发展，每月走访企业了解司法需求，开展法律风险防控普法，探索与深圳国际仲裁院喀什分院形成矛盾纠纷化解诉讼与仲裁对接机制；加强知识产权审判工作，推进简繁分流，加大赔偿保护。各项指标完成较好。</w:t>
            </w:r>
          </w:p>
        </w:tc>
      </w:tr>
      <w:tr w14:paraId="3FF30D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8A0D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D036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9F3E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282A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FB31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C017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B188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351E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56042">
            <w:pPr>
              <w:jc w:val="center"/>
            </w:pPr>
            <w:r>
              <w:rPr>
                <w:rFonts w:ascii="宋体" w:hAnsi="宋体" w:eastAsia="宋体"/>
                <w:sz w:val="16"/>
              </w:rPr>
              <w:t>得分</w:t>
            </w:r>
          </w:p>
        </w:tc>
      </w:tr>
      <w:tr w14:paraId="121827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F81D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DBAE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0B622">
            <w:pPr>
              <w:jc w:val="center"/>
            </w:pPr>
            <w:r>
              <w:rPr>
                <w:rFonts w:ascii="宋体" w:hAnsi="宋体" w:eastAsia="宋体"/>
                <w:sz w:val="16"/>
              </w:rPr>
              <w:t>依法受理案件数量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E2E9E">
            <w:pPr>
              <w:jc w:val="center"/>
            </w:pPr>
            <w:r>
              <w:rPr>
                <w:rFonts w:ascii="宋体" w:hAnsi="宋体" w:eastAsia="宋体"/>
                <w:sz w:val="16"/>
              </w:rPr>
              <w:t>&gt;=15000件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697F5">
            <w:pPr>
              <w:jc w:val="center"/>
            </w:pPr>
            <w:r>
              <w:rPr>
                <w:rFonts w:ascii="宋体" w:hAnsi="宋体" w:eastAsia="宋体"/>
                <w:sz w:val="16"/>
              </w:rPr>
              <w:t>喀什市人民法院工作报告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F8C6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10071">
            <w:pPr>
              <w:jc w:val="center"/>
            </w:pPr>
            <w:r>
              <w:rPr>
                <w:rFonts w:ascii="宋体" w:hAnsi="宋体" w:eastAsia="宋体"/>
                <w:sz w:val="16"/>
              </w:rPr>
              <w:t>19745件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F5B26">
            <w:pPr>
              <w:jc w:val="center"/>
            </w:pPr>
            <w:r>
              <w:rPr>
                <w:rFonts w:ascii="宋体" w:hAnsi="宋体" w:eastAsia="宋体"/>
                <w:sz w:val="16"/>
              </w:rPr>
              <w:t>131.63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EB0AF">
            <w:pPr>
              <w:jc w:val="center"/>
            </w:pPr>
            <w:r>
              <w:rPr>
                <w:rFonts w:ascii="宋体" w:hAnsi="宋体" w:eastAsia="宋体"/>
                <w:sz w:val="16"/>
              </w:rPr>
              <w:t>20</w:t>
            </w:r>
          </w:p>
        </w:tc>
      </w:tr>
      <w:tr w14:paraId="7B22A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E0A0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1B2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5211B">
            <w:pPr>
              <w:jc w:val="center"/>
            </w:pPr>
            <w:r>
              <w:rPr>
                <w:rFonts w:ascii="宋体" w:hAnsi="宋体" w:eastAsia="宋体"/>
                <w:sz w:val="16"/>
              </w:rPr>
              <w:t>依法审理案件结案数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72282">
            <w:pPr>
              <w:jc w:val="center"/>
            </w:pPr>
            <w:r>
              <w:rPr>
                <w:rFonts w:ascii="宋体" w:hAnsi="宋体" w:eastAsia="宋体"/>
                <w:sz w:val="16"/>
              </w:rPr>
              <w:t>&gt;=14000件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E97FE">
            <w:pPr>
              <w:jc w:val="center"/>
            </w:pPr>
            <w:r>
              <w:rPr>
                <w:rFonts w:ascii="宋体" w:hAnsi="宋体" w:eastAsia="宋体"/>
                <w:sz w:val="16"/>
              </w:rPr>
              <w:t>喀什市人民法院工作报告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FCDC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9C43C">
            <w:pPr>
              <w:jc w:val="center"/>
            </w:pPr>
            <w:r>
              <w:rPr>
                <w:rFonts w:ascii="宋体" w:hAnsi="宋体" w:eastAsia="宋体"/>
                <w:sz w:val="16"/>
              </w:rPr>
              <w:t>18371件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06E86">
            <w:pPr>
              <w:jc w:val="center"/>
            </w:pPr>
            <w:r>
              <w:rPr>
                <w:rFonts w:ascii="宋体" w:hAnsi="宋体" w:eastAsia="宋体"/>
                <w:sz w:val="16"/>
              </w:rPr>
              <w:t>131.22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8B82A">
            <w:pPr>
              <w:jc w:val="center"/>
            </w:pPr>
            <w:r>
              <w:rPr>
                <w:rFonts w:ascii="宋体" w:hAnsi="宋体" w:eastAsia="宋体"/>
                <w:sz w:val="16"/>
              </w:rPr>
              <w:t>20</w:t>
            </w:r>
          </w:p>
        </w:tc>
      </w:tr>
      <w:tr w14:paraId="3DB3D4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740E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2E68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696BF">
            <w:pPr>
              <w:jc w:val="center"/>
            </w:pPr>
            <w:r>
              <w:rPr>
                <w:rFonts w:ascii="宋体" w:hAnsi="宋体" w:eastAsia="宋体"/>
                <w:sz w:val="16"/>
              </w:rPr>
              <w:t>依法受理案件结案率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E72D8">
            <w:pPr>
              <w:jc w:val="center"/>
            </w:pPr>
            <w:r>
              <w:rPr>
                <w:rFonts w:ascii="宋体" w:hAnsi="宋体" w:eastAsia="宋体"/>
                <w:sz w:val="16"/>
              </w:rPr>
              <w:t>&gt;=94%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0FA12">
            <w:pPr>
              <w:jc w:val="center"/>
            </w:pPr>
            <w:r>
              <w:rPr>
                <w:rFonts w:ascii="宋体" w:hAnsi="宋体" w:eastAsia="宋体"/>
                <w:sz w:val="16"/>
              </w:rPr>
              <w:t>喀什市人民法院工作报告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0A9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E3CB6">
            <w:pPr>
              <w:jc w:val="center"/>
            </w:pPr>
            <w:r>
              <w:rPr>
                <w:rFonts w:ascii="宋体" w:hAnsi="宋体" w:eastAsia="宋体"/>
                <w:sz w:val="16"/>
              </w:rPr>
              <w:t>94.04%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624A6">
            <w:pPr>
              <w:jc w:val="center"/>
            </w:pPr>
            <w:r>
              <w:rPr>
                <w:rFonts w:ascii="宋体" w:hAnsi="宋体" w:eastAsia="宋体"/>
                <w:sz w:val="16"/>
              </w:rPr>
              <w:t>100.04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C609D">
            <w:pPr>
              <w:jc w:val="center"/>
            </w:pPr>
            <w:r>
              <w:rPr>
                <w:rFonts w:ascii="宋体" w:hAnsi="宋体" w:eastAsia="宋体"/>
                <w:sz w:val="16"/>
              </w:rPr>
              <w:t>20</w:t>
            </w:r>
          </w:p>
        </w:tc>
      </w:tr>
      <w:tr w14:paraId="7A2173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212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0E79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CD329">
            <w:pPr>
              <w:jc w:val="center"/>
            </w:pPr>
            <w:r>
              <w:rPr>
                <w:rFonts w:ascii="宋体" w:hAnsi="宋体" w:eastAsia="宋体"/>
                <w:sz w:val="16"/>
              </w:rPr>
              <w:t>案件执行执结率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6B13D">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6E150">
            <w:pPr>
              <w:jc w:val="center"/>
            </w:pPr>
            <w:r>
              <w:rPr>
                <w:rFonts w:ascii="宋体" w:hAnsi="宋体" w:eastAsia="宋体"/>
                <w:sz w:val="16"/>
              </w:rPr>
              <w:t>喀什市人民法院工作报告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4030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8252E">
            <w:pPr>
              <w:jc w:val="center"/>
            </w:pPr>
            <w:r>
              <w:rPr>
                <w:rFonts w:ascii="宋体" w:hAnsi="宋体" w:eastAsia="宋体"/>
                <w:sz w:val="16"/>
              </w:rPr>
              <w:t>92.34%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1CB34">
            <w:pPr>
              <w:jc w:val="center"/>
            </w:pPr>
            <w:r>
              <w:rPr>
                <w:rFonts w:ascii="宋体" w:hAnsi="宋体" w:eastAsia="宋体"/>
                <w:sz w:val="16"/>
              </w:rPr>
              <w:t>102.6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1E5E2">
            <w:pPr>
              <w:jc w:val="center"/>
            </w:pPr>
            <w:r>
              <w:rPr>
                <w:rFonts w:ascii="宋体" w:hAnsi="宋体" w:eastAsia="宋体"/>
                <w:sz w:val="16"/>
              </w:rPr>
              <w:t>15</w:t>
            </w:r>
          </w:p>
        </w:tc>
      </w:tr>
      <w:tr w14:paraId="0F1913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7AAC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0E14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3F0B8">
            <w:pPr>
              <w:jc w:val="center"/>
            </w:pPr>
            <w:r>
              <w:rPr>
                <w:rFonts w:ascii="宋体" w:hAnsi="宋体" w:eastAsia="宋体"/>
                <w:sz w:val="16"/>
              </w:rPr>
              <w:t>案件审限期内执结率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D3C5E">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2DD74">
            <w:pPr>
              <w:jc w:val="center"/>
            </w:pPr>
            <w:r>
              <w:rPr>
                <w:rFonts w:ascii="宋体" w:hAnsi="宋体" w:eastAsia="宋体"/>
                <w:sz w:val="16"/>
              </w:rPr>
              <w:t>喀什市人民法院工作报告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FE8A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F28C6">
            <w:pPr>
              <w:jc w:val="center"/>
            </w:pPr>
            <w:r>
              <w:rPr>
                <w:rFonts w:ascii="宋体" w:hAnsi="宋体" w:eastAsia="宋体"/>
                <w:sz w:val="16"/>
              </w:rPr>
              <w:t>99.89%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31B84">
            <w:pPr>
              <w:jc w:val="center"/>
            </w:pPr>
            <w:r>
              <w:rPr>
                <w:rFonts w:ascii="宋体" w:hAnsi="宋体" w:eastAsia="宋体"/>
                <w:sz w:val="16"/>
              </w:rPr>
              <w:t>101.93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B9398">
            <w:pPr>
              <w:jc w:val="center"/>
            </w:pPr>
            <w:r>
              <w:rPr>
                <w:rFonts w:ascii="宋体" w:hAnsi="宋体" w:eastAsia="宋体"/>
                <w:sz w:val="16"/>
              </w:rPr>
              <w:t>15</w:t>
            </w:r>
          </w:p>
        </w:tc>
      </w:tr>
    </w:tbl>
    <w:p w14:paraId="72AD1099">
      <w:r>
        <w:br w:type="page"/>
      </w:r>
    </w:p>
    <w:p w14:paraId="20CD0EE8">
      <w:pPr>
        <w:spacing w:line="640" w:lineRule="exact"/>
        <w:ind w:firstLine="640"/>
        <w:jc w:val="both"/>
        <w:outlineLvl w:val="2"/>
      </w:pPr>
      <w:r>
        <w:rPr>
          <w:rFonts w:ascii="黑体" w:hAnsi="黑体" w:eastAsia="黑体"/>
          <w:sz w:val="32"/>
        </w:rPr>
        <w:t>十二、其他需说明的事项</w:t>
      </w:r>
    </w:p>
    <w:p w14:paraId="424B678B">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项目9个，全年预算数1,017.71万元，全年执行数1,017.71万元。</w:t>
      </w:r>
      <w:bookmarkStart w:id="0" w:name="_GoBack"/>
      <w:bookmarkEnd w:id="0"/>
    </w:p>
    <w:p w14:paraId="5E0E1A0E">
      <w:r>
        <w:br w:type="page"/>
      </w:r>
    </w:p>
    <w:p w14:paraId="74DFDAD6">
      <w:pPr>
        <w:spacing w:line="240" w:lineRule="auto"/>
        <w:jc w:val="center"/>
        <w:outlineLvl w:val="1"/>
      </w:pPr>
      <w:r>
        <w:rPr>
          <w:rFonts w:ascii="黑体" w:hAnsi="黑体" w:eastAsia="黑体"/>
          <w:sz w:val="32"/>
        </w:rPr>
        <w:t>第三部分 专业名词解释</w:t>
      </w:r>
    </w:p>
    <w:p w14:paraId="4DD9612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AFE158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E7DA7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6C410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E1DA7D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A7E787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8D7FF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E8E58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00869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3312F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49075A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2DD09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19BC7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B4083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0C45F9">
      <w:r>
        <w:br w:type="page"/>
      </w:r>
    </w:p>
    <w:p w14:paraId="236D2A3E">
      <w:pPr>
        <w:spacing w:line="240" w:lineRule="auto"/>
        <w:jc w:val="center"/>
        <w:outlineLvl w:val="1"/>
      </w:pPr>
      <w:r>
        <w:rPr>
          <w:rFonts w:ascii="黑体" w:hAnsi="黑体" w:eastAsia="黑体"/>
          <w:sz w:val="32"/>
        </w:rPr>
        <w:t>第四部分 部门决算报表（见附表）</w:t>
      </w:r>
    </w:p>
    <w:p w14:paraId="365E9FAD">
      <w:pPr>
        <w:spacing w:line="240" w:lineRule="auto"/>
        <w:ind w:firstLine="640"/>
        <w:jc w:val="both"/>
      </w:pPr>
      <w:r>
        <w:rPr>
          <w:rFonts w:ascii="仿宋_GB2312" w:hAnsi="仿宋_GB2312" w:eastAsia="仿宋_GB2312"/>
          <w:b w:val="0"/>
          <w:sz w:val="32"/>
        </w:rPr>
        <w:t>一、《收入支出决算总表》</w:t>
      </w:r>
    </w:p>
    <w:p w14:paraId="1041B387">
      <w:pPr>
        <w:spacing w:line="240" w:lineRule="auto"/>
        <w:ind w:firstLine="640"/>
        <w:jc w:val="both"/>
      </w:pPr>
      <w:r>
        <w:rPr>
          <w:rFonts w:ascii="仿宋_GB2312" w:hAnsi="仿宋_GB2312" w:eastAsia="仿宋_GB2312"/>
          <w:b w:val="0"/>
          <w:sz w:val="32"/>
        </w:rPr>
        <w:t>二、《收入决算表》</w:t>
      </w:r>
    </w:p>
    <w:p w14:paraId="51B13CD0">
      <w:pPr>
        <w:spacing w:line="240" w:lineRule="auto"/>
        <w:ind w:firstLine="640"/>
        <w:jc w:val="both"/>
      </w:pPr>
      <w:r>
        <w:rPr>
          <w:rFonts w:ascii="仿宋_GB2312" w:hAnsi="仿宋_GB2312" w:eastAsia="仿宋_GB2312"/>
          <w:b w:val="0"/>
          <w:sz w:val="32"/>
        </w:rPr>
        <w:t>三、《支出决算表》</w:t>
      </w:r>
    </w:p>
    <w:p w14:paraId="418ED34C">
      <w:pPr>
        <w:spacing w:line="240" w:lineRule="auto"/>
        <w:ind w:firstLine="640"/>
        <w:jc w:val="both"/>
      </w:pPr>
      <w:r>
        <w:rPr>
          <w:rFonts w:ascii="仿宋_GB2312" w:hAnsi="仿宋_GB2312" w:eastAsia="仿宋_GB2312"/>
          <w:b w:val="0"/>
          <w:sz w:val="32"/>
        </w:rPr>
        <w:t>四、《财政拨款收入支出决算总表》</w:t>
      </w:r>
    </w:p>
    <w:p w14:paraId="33E971CD">
      <w:pPr>
        <w:spacing w:line="240" w:lineRule="auto"/>
        <w:ind w:firstLine="640"/>
        <w:jc w:val="both"/>
      </w:pPr>
      <w:r>
        <w:rPr>
          <w:rFonts w:ascii="仿宋_GB2312" w:hAnsi="仿宋_GB2312" w:eastAsia="仿宋_GB2312"/>
          <w:b w:val="0"/>
          <w:sz w:val="32"/>
        </w:rPr>
        <w:t>五、《一般公共预算财政拨款支出决算表》</w:t>
      </w:r>
    </w:p>
    <w:p w14:paraId="4CD2F52A">
      <w:pPr>
        <w:spacing w:line="240" w:lineRule="auto"/>
        <w:ind w:firstLine="640"/>
        <w:jc w:val="both"/>
      </w:pPr>
      <w:r>
        <w:rPr>
          <w:rFonts w:ascii="仿宋_GB2312" w:hAnsi="仿宋_GB2312" w:eastAsia="仿宋_GB2312"/>
          <w:b w:val="0"/>
          <w:sz w:val="32"/>
        </w:rPr>
        <w:t>六、《一般公共预算财政拨款基本支出决算表》</w:t>
      </w:r>
    </w:p>
    <w:p w14:paraId="24792BF0">
      <w:pPr>
        <w:spacing w:line="240" w:lineRule="auto"/>
        <w:ind w:firstLine="640"/>
        <w:jc w:val="both"/>
      </w:pPr>
      <w:r>
        <w:rPr>
          <w:rFonts w:ascii="仿宋_GB2312" w:hAnsi="仿宋_GB2312" w:eastAsia="仿宋_GB2312"/>
          <w:b w:val="0"/>
          <w:sz w:val="32"/>
        </w:rPr>
        <w:t>七、《政府性基金预算财政拨款收入支出决算表》</w:t>
      </w:r>
    </w:p>
    <w:p w14:paraId="0D2C1C4C">
      <w:pPr>
        <w:spacing w:line="240" w:lineRule="auto"/>
        <w:ind w:firstLine="640"/>
        <w:jc w:val="both"/>
      </w:pPr>
      <w:r>
        <w:rPr>
          <w:rFonts w:ascii="仿宋_GB2312" w:hAnsi="仿宋_GB2312" w:eastAsia="仿宋_GB2312"/>
          <w:b w:val="0"/>
          <w:sz w:val="32"/>
        </w:rPr>
        <w:t>八、《国有资本经营预算财政拨款收入支出决算表》</w:t>
      </w:r>
    </w:p>
    <w:p w14:paraId="49F0D20A">
      <w:pPr>
        <w:spacing w:line="240" w:lineRule="auto"/>
        <w:ind w:firstLine="640"/>
        <w:jc w:val="both"/>
      </w:pPr>
      <w:r>
        <w:rPr>
          <w:rFonts w:ascii="仿宋_GB2312" w:hAnsi="仿宋_GB2312" w:eastAsia="仿宋_GB2312"/>
          <w:b w:val="0"/>
          <w:sz w:val="32"/>
        </w:rPr>
        <w:t>九、《财政拨款“三公”经费支出决算表》</w:t>
      </w:r>
    </w:p>
    <w:p w14:paraId="2A827206">
      <w:pPr>
        <w:spacing w:line="240" w:lineRule="auto"/>
        <w:ind w:firstLine="640"/>
        <w:jc w:val="both"/>
      </w:pPr>
    </w:p>
    <w:p w14:paraId="781C71AD">
      <w:pPr>
        <w:spacing w:line="240" w:lineRule="auto"/>
        <w:ind w:firstLine="640"/>
        <w:jc w:val="both"/>
      </w:pPr>
    </w:p>
    <w:p w14:paraId="51F52B6F">
      <w:pPr>
        <w:spacing w:line="240" w:lineRule="auto"/>
        <w:ind w:firstLine="640"/>
        <w:jc w:val="both"/>
      </w:pPr>
    </w:p>
    <w:p w14:paraId="6F98DFE3">
      <w:pPr>
        <w:spacing w:line="240" w:lineRule="auto"/>
        <w:ind w:firstLine="640"/>
        <w:jc w:val="both"/>
      </w:pPr>
    </w:p>
    <w:p w14:paraId="312C30D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81357F-120A-48C7-BB6B-4C73BE76A7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37BEA87-43B7-44E3-B62B-A3829F504472}"/>
  </w:font>
  <w:font w:name="方正小标宋_GBK">
    <w:panose1 w:val="02000000000000000000"/>
    <w:charset w:val="86"/>
    <w:family w:val="script"/>
    <w:pitch w:val="default"/>
    <w:sig w:usb0="A00002BF" w:usb1="38CF7CFA" w:usb2="00082016" w:usb3="00000000" w:csb0="00040001" w:csb1="00000000"/>
    <w:embedRegular r:id="rId3" w:fontKey="{662C84A3-D9F0-43A9-BE51-F2E781C9B9BA}"/>
  </w:font>
  <w:font w:name="楷体_GB2312">
    <w:panose1 w:val="02010609030101010101"/>
    <w:charset w:val="86"/>
    <w:family w:val="auto"/>
    <w:pitch w:val="default"/>
    <w:sig w:usb0="00000001" w:usb1="080E0000" w:usb2="00000000" w:usb3="00000000" w:csb0="00040000" w:csb1="00000000"/>
    <w:embedRegular r:id="rId4" w:fontKey="{C7C49A1F-A7AD-4A45-9836-03C5694E06F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97050F"/>
    <w:rsid w:val="0DCA6EF7"/>
    <w:rsid w:val="0E4B1576"/>
    <w:rsid w:val="0EA04331"/>
    <w:rsid w:val="0F9811B3"/>
    <w:rsid w:val="107679D1"/>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AFD485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6413</Words>
  <Characters>7363</Characters>
  <Lines>0</Lines>
  <Paragraphs>0</Paragraphs>
  <TotalTime>0</TotalTime>
  <ScaleCrop>false</ScaleCrop>
  <LinksUpToDate>false</LinksUpToDate>
  <CharactersWithSpaces>7373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2025-09-29T04:19:50Z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