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塔什库尔干塔吉克自治县人民法院2024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4BAAAEE">
      <w:r>
        <w:br w:type="page"/>
      </w:r>
    </w:p>
    <w:p w14:paraId="5D3D31A2">
      <w:pPr>
        <w:spacing w:line="640" w:lineRule="exact"/>
        <w:jc w:val="center"/>
        <w:outlineLvl w:val="1"/>
      </w:pPr>
      <w:r>
        <w:rPr>
          <w:rFonts w:ascii="黑体" w:hAnsi="黑体" w:eastAsia="黑体"/>
          <w:sz w:val="32"/>
        </w:rPr>
        <w:t>第一部分 部门概况</w:t>
      </w:r>
    </w:p>
    <w:p w14:paraId="5514BBD3">
      <w:pPr>
        <w:spacing w:line="640" w:lineRule="exact"/>
        <w:ind w:firstLine="640"/>
        <w:jc w:val="both"/>
        <w:outlineLvl w:val="2"/>
      </w:pPr>
      <w:r>
        <w:rPr>
          <w:rFonts w:ascii="黑体" w:hAnsi="黑体" w:eastAsia="黑体"/>
          <w:sz w:val="32"/>
        </w:rPr>
        <w:t>一、主要职能</w:t>
      </w:r>
    </w:p>
    <w:p w14:paraId="3AB8369C">
      <w:pPr>
        <w:spacing w:line="580" w:lineRule="exact"/>
        <w:ind w:firstLine="640"/>
        <w:jc w:val="both"/>
      </w:pPr>
      <w:r>
        <w:rPr>
          <w:rFonts w:ascii="仿宋_GB2312" w:hAnsi="仿宋_GB2312" w:eastAsia="仿宋_GB2312"/>
          <w:sz w:val="32"/>
        </w:rPr>
        <w:t>（1）依据宪法独立行使审判权，依法履行审判职能。</w:t>
      </w:r>
    </w:p>
    <w:p w14:paraId="02F498C1">
      <w:pPr>
        <w:spacing w:line="580" w:lineRule="exact"/>
        <w:ind w:firstLine="640"/>
        <w:jc w:val="both"/>
      </w:pPr>
      <w:r>
        <w:rPr>
          <w:rFonts w:ascii="仿宋_GB2312" w:hAnsi="仿宋_GB2312" w:eastAsia="仿宋_GB2312"/>
          <w:sz w:val="32"/>
        </w:rPr>
        <w:t>（2）依法审理各类一审刑事案件，惩办一切犯罪分子，维护社会和谐。</w:t>
      </w:r>
    </w:p>
    <w:p w14:paraId="2D9CAFC9">
      <w:pPr>
        <w:spacing w:line="580" w:lineRule="exact"/>
        <w:ind w:firstLine="640"/>
        <w:jc w:val="both"/>
      </w:pPr>
      <w:r>
        <w:rPr>
          <w:rFonts w:ascii="仿宋_GB2312" w:hAnsi="仿宋_GB2312" w:eastAsia="仿宋_GB2312"/>
          <w:sz w:val="32"/>
        </w:rPr>
        <w:t>（3）依法审理各类一审民事案件，解决民事纠纷，保护公民法人的合法权益。</w:t>
      </w:r>
    </w:p>
    <w:p w14:paraId="7CD9BF3B">
      <w:pPr>
        <w:spacing w:line="580" w:lineRule="exact"/>
        <w:ind w:firstLine="640"/>
        <w:jc w:val="both"/>
      </w:pPr>
      <w:r>
        <w:rPr>
          <w:rFonts w:ascii="仿宋_GB2312" w:hAnsi="仿宋_GB2312" w:eastAsia="仿宋_GB2312"/>
          <w:sz w:val="32"/>
        </w:rPr>
        <w:t>（4）依法审理各类一审经济纠纷案件，调节经济关系，维护社会经济秩序，保障我县经济健康发展。</w:t>
      </w:r>
    </w:p>
    <w:p w14:paraId="38C4B586">
      <w:pPr>
        <w:spacing w:line="580" w:lineRule="exact"/>
        <w:ind w:firstLine="640"/>
        <w:jc w:val="both"/>
      </w:pPr>
      <w:r>
        <w:rPr>
          <w:rFonts w:ascii="仿宋_GB2312" w:hAnsi="仿宋_GB2312" w:eastAsia="仿宋_GB2312"/>
          <w:sz w:val="32"/>
        </w:rPr>
        <w:t>（5）依法审理各类一审诉讼案件，保护公民、法人和其他组织的合法权益、监督和支持行政机关依法行使职权。</w:t>
      </w:r>
    </w:p>
    <w:p w14:paraId="4C287236">
      <w:pPr>
        <w:spacing w:line="580" w:lineRule="exact"/>
        <w:ind w:firstLine="640"/>
        <w:jc w:val="both"/>
      </w:pPr>
      <w:r>
        <w:rPr>
          <w:rFonts w:ascii="仿宋_GB2312" w:hAnsi="仿宋_GB2312" w:eastAsia="仿宋_GB2312"/>
          <w:sz w:val="32"/>
        </w:rPr>
        <w:t>（6）审理各类依照法律应当由基层人民法院按照再审程序审理的案件。</w:t>
      </w:r>
    </w:p>
    <w:p w14:paraId="07DD2C06">
      <w:pPr>
        <w:spacing w:line="580" w:lineRule="exact"/>
        <w:ind w:firstLine="640"/>
        <w:jc w:val="both"/>
      </w:pPr>
      <w:r>
        <w:rPr>
          <w:rFonts w:ascii="仿宋_GB2312" w:hAnsi="仿宋_GB2312" w:eastAsia="仿宋_GB2312"/>
          <w:sz w:val="32"/>
        </w:rPr>
        <w:t>（7）依法审理中级人民法院批准或指定的由我院审判的刑事、民事、经济、行政等案件。</w:t>
      </w:r>
    </w:p>
    <w:p w14:paraId="74954BB7">
      <w:pPr>
        <w:spacing w:line="580" w:lineRule="exact"/>
        <w:ind w:firstLine="640"/>
        <w:jc w:val="both"/>
      </w:pPr>
      <w:r>
        <w:rPr>
          <w:rFonts w:ascii="仿宋_GB2312" w:hAnsi="仿宋_GB2312" w:eastAsia="仿宋_GB2312"/>
          <w:sz w:val="32"/>
        </w:rPr>
        <w:t>（8）负责指导农村人民调解委员会的工作。</w:t>
      </w:r>
    </w:p>
    <w:p w14:paraId="00988675">
      <w:pPr>
        <w:spacing w:line="580" w:lineRule="exact"/>
        <w:ind w:firstLine="640"/>
        <w:jc w:val="both"/>
      </w:pPr>
      <w:r>
        <w:rPr>
          <w:rFonts w:ascii="仿宋_GB2312" w:hAnsi="仿宋_GB2312" w:eastAsia="仿宋_GB2312"/>
          <w:sz w:val="32"/>
        </w:rPr>
        <w:t>（9）主动接受上级人民法院的领导，在上级人民法院的统一领导下，开展审判业务工作。</w:t>
      </w:r>
    </w:p>
    <w:p w14:paraId="6176237F">
      <w:pPr>
        <w:spacing w:line="580" w:lineRule="exact"/>
        <w:ind w:firstLine="640"/>
        <w:jc w:val="both"/>
      </w:pPr>
      <w:r>
        <w:rPr>
          <w:rFonts w:ascii="仿宋_GB2312" w:hAnsi="仿宋_GB2312" w:eastAsia="仿宋_GB2312"/>
          <w:sz w:val="32"/>
        </w:rPr>
        <w:t>（10）主动接受党的领导，依法接受</w:t>
      </w:r>
      <w:r>
        <w:rPr>
          <w:rFonts w:hint="eastAsia" w:ascii="仿宋_GB2312" w:hAnsi="仿宋_GB2312" w:eastAsia="仿宋_GB2312"/>
          <w:sz w:val="32"/>
          <w:lang w:eastAsia="zh-CN"/>
        </w:rPr>
        <w:t>塔什库尔干塔吉克自治县</w:t>
      </w:r>
      <w:r>
        <w:rPr>
          <w:rFonts w:ascii="仿宋_GB2312" w:hAnsi="仿宋_GB2312" w:eastAsia="仿宋_GB2312"/>
          <w:sz w:val="32"/>
        </w:rPr>
        <w:t>人民代表大会及其常务委员会的监督，向</w:t>
      </w:r>
      <w:r>
        <w:rPr>
          <w:rFonts w:hint="eastAsia" w:ascii="仿宋_GB2312" w:hAnsi="仿宋_GB2312" w:eastAsia="仿宋_GB2312"/>
          <w:sz w:val="32"/>
          <w:lang w:eastAsia="zh-CN"/>
        </w:rPr>
        <w:t>塔什库尔干塔吉克自治县</w:t>
      </w:r>
      <w:r>
        <w:rPr>
          <w:rFonts w:ascii="仿宋_GB2312" w:hAnsi="仿宋_GB2312" w:eastAsia="仿宋_GB2312"/>
          <w:sz w:val="32"/>
        </w:rPr>
        <w:t>人民代表大会及其常务委员会负责并报告工作；依法向</w:t>
      </w:r>
      <w:r>
        <w:rPr>
          <w:rFonts w:hint="eastAsia" w:ascii="仿宋_GB2312" w:hAnsi="仿宋_GB2312" w:eastAsia="仿宋_GB2312"/>
          <w:sz w:val="32"/>
          <w:lang w:eastAsia="zh-CN"/>
        </w:rPr>
        <w:t>塔什库尔干塔吉克自治县</w:t>
      </w:r>
      <w:r>
        <w:rPr>
          <w:rFonts w:ascii="仿宋_GB2312" w:hAnsi="仿宋_GB2312" w:eastAsia="仿宋_GB2312"/>
          <w:sz w:val="32"/>
        </w:rPr>
        <w:t>人民代表大会及其常务委员会提出方案，接受同级人大常委会的质询。</w:t>
      </w:r>
    </w:p>
    <w:p w14:paraId="09A21ADA">
      <w:pPr>
        <w:spacing w:line="580" w:lineRule="exact"/>
        <w:ind w:firstLine="640"/>
        <w:jc w:val="both"/>
      </w:pPr>
      <w:r>
        <w:rPr>
          <w:rFonts w:ascii="仿宋_GB2312" w:hAnsi="仿宋_GB2312" w:eastAsia="仿宋_GB2312"/>
          <w:sz w:val="32"/>
        </w:rPr>
        <w:t>（11）指导各基层人民法庭的审判业务、思想政治、教育培训工作，按照权限管理法官、书记员、司法警察及司法行政人员。</w:t>
      </w:r>
    </w:p>
    <w:p w14:paraId="546CC688">
      <w:pPr>
        <w:spacing w:line="580" w:lineRule="exact"/>
        <w:ind w:firstLine="640"/>
        <w:jc w:val="both"/>
      </w:pPr>
      <w:r>
        <w:rPr>
          <w:rFonts w:ascii="仿宋_GB2312" w:hAnsi="仿宋_GB2312" w:eastAsia="仿宋_GB2312"/>
          <w:sz w:val="32"/>
        </w:rPr>
        <w:t>（12）利用审判活动，积极开展法治宣传教育，提高公民法律意识和守法观念。</w:t>
      </w:r>
    </w:p>
    <w:p w14:paraId="6D070BDA">
      <w:pPr>
        <w:spacing w:line="580" w:lineRule="exact"/>
        <w:ind w:firstLine="640"/>
        <w:jc w:val="both"/>
      </w:pPr>
      <w:r>
        <w:rPr>
          <w:rFonts w:ascii="仿宋_GB2312" w:hAnsi="仿宋_GB2312" w:eastAsia="仿宋_GB2312"/>
          <w:sz w:val="32"/>
        </w:rPr>
        <w:t>（13）开展审判工作研究，积极总结和探索基层人民法院审判工作以及改革、建设的经验。</w:t>
      </w:r>
    </w:p>
    <w:p w14:paraId="39E688E1">
      <w:pPr>
        <w:spacing w:line="580" w:lineRule="exact"/>
        <w:ind w:firstLine="640"/>
        <w:jc w:val="both"/>
      </w:pPr>
      <w:r>
        <w:rPr>
          <w:rFonts w:ascii="仿宋_GB2312" w:hAnsi="仿宋_GB2312" w:eastAsia="仿宋_GB2312"/>
          <w:sz w:val="32"/>
        </w:rPr>
        <w:t>（14）在县党委领导下开展党风廉政建设、社会治安综合治理、精神文明创建等各项工作。</w:t>
      </w:r>
    </w:p>
    <w:p w14:paraId="1F0B6974">
      <w:pPr>
        <w:spacing w:line="640" w:lineRule="exact"/>
        <w:ind w:firstLine="640"/>
        <w:jc w:val="both"/>
        <w:outlineLvl w:val="2"/>
      </w:pPr>
      <w:r>
        <w:rPr>
          <w:rFonts w:ascii="黑体" w:hAnsi="黑体" w:eastAsia="黑体"/>
          <w:sz w:val="32"/>
        </w:rPr>
        <w:t>二、机构设置及人员情况</w:t>
      </w:r>
    </w:p>
    <w:p w14:paraId="54D69B98">
      <w:pPr>
        <w:spacing w:line="580" w:lineRule="exact"/>
        <w:ind w:firstLine="640"/>
        <w:jc w:val="both"/>
      </w:pPr>
      <w:r>
        <w:rPr>
          <w:rFonts w:ascii="仿宋_GB2312" w:hAnsi="仿宋_GB2312" w:eastAsia="仿宋_GB2312"/>
          <w:sz w:val="32"/>
        </w:rPr>
        <w:t>塔什库尔干塔吉克自治县人民法院2024年度，实有人数48人，其中：在职人员30人，减少1人；离休人员0人，增加0人；退休人员18人,增加0人。</w:t>
      </w:r>
    </w:p>
    <w:p w14:paraId="4FC0C971">
      <w:pPr>
        <w:spacing w:line="580" w:lineRule="exact"/>
        <w:ind w:firstLine="640"/>
        <w:jc w:val="both"/>
      </w:pPr>
      <w:r>
        <w:rPr>
          <w:rFonts w:ascii="仿宋_GB2312" w:hAnsi="仿宋_GB2312" w:eastAsia="仿宋_GB2312"/>
          <w:sz w:val="32"/>
        </w:rPr>
        <w:t>塔什库尔干塔吉克自治县人民法院无下属预算单位，下设6个科室，分别是：综合办公室、政治部、执行局、综合审判庭、立案庭、审判管理办公室。</w:t>
      </w:r>
    </w:p>
    <w:p w14:paraId="3F941D2F">
      <w:r>
        <w:br w:type="page"/>
      </w:r>
    </w:p>
    <w:p w14:paraId="7475EA06">
      <w:pPr>
        <w:spacing w:line="240" w:lineRule="auto"/>
        <w:jc w:val="center"/>
        <w:outlineLvl w:val="1"/>
      </w:pPr>
      <w:r>
        <w:rPr>
          <w:rFonts w:ascii="黑体" w:hAnsi="黑体" w:eastAsia="黑体"/>
          <w:sz w:val="32"/>
        </w:rPr>
        <w:t>第二部分 部门决算情况说明</w:t>
      </w:r>
    </w:p>
    <w:p w14:paraId="49DCAF85">
      <w:pPr>
        <w:spacing w:line="640" w:lineRule="exact"/>
        <w:ind w:firstLine="640"/>
        <w:jc w:val="both"/>
        <w:outlineLvl w:val="2"/>
      </w:pPr>
      <w:r>
        <w:rPr>
          <w:rFonts w:ascii="黑体" w:hAnsi="黑体" w:eastAsia="黑体"/>
          <w:sz w:val="32"/>
        </w:rPr>
        <w:t>一、收入支出决算总体情况说明</w:t>
      </w:r>
    </w:p>
    <w:p w14:paraId="549BB56E">
      <w:pPr>
        <w:spacing w:line="580" w:lineRule="exact"/>
        <w:ind w:firstLine="640"/>
        <w:jc w:val="both"/>
      </w:pPr>
      <w:r>
        <w:rPr>
          <w:rFonts w:ascii="仿宋_GB2312" w:hAnsi="仿宋_GB2312" w:eastAsia="仿宋_GB2312"/>
          <w:b/>
          <w:sz w:val="32"/>
        </w:rPr>
        <w:t>2024年度收入总计1,233.57万元，</w:t>
      </w:r>
      <w:r>
        <w:rPr>
          <w:rFonts w:ascii="仿宋_GB2312" w:hAnsi="仿宋_GB2312" w:eastAsia="仿宋_GB2312"/>
          <w:b w:val="0"/>
          <w:sz w:val="32"/>
        </w:rPr>
        <w:t>其中：本年收入合计1,233.57万元，使用非财政拨款结余（含专用结余）0.00万元，年初结转和结余0.00万元。</w:t>
      </w:r>
    </w:p>
    <w:p w14:paraId="67C5E6FA">
      <w:pPr>
        <w:spacing w:line="580" w:lineRule="exact"/>
        <w:ind w:firstLine="640"/>
        <w:jc w:val="both"/>
      </w:pPr>
      <w:r>
        <w:rPr>
          <w:rFonts w:ascii="仿宋_GB2312" w:hAnsi="仿宋_GB2312" w:eastAsia="仿宋_GB2312"/>
          <w:b/>
          <w:sz w:val="32"/>
        </w:rPr>
        <w:t>2024年度支出总计1,233.57万元，</w:t>
      </w:r>
      <w:r>
        <w:rPr>
          <w:rFonts w:ascii="仿宋_GB2312" w:hAnsi="仿宋_GB2312" w:eastAsia="仿宋_GB2312"/>
          <w:b w:val="0"/>
          <w:sz w:val="32"/>
        </w:rPr>
        <w:t>其中：本年支出合计1,233.57万元，结余分配0.00万元，年末结转和结余0.00万元。</w:t>
      </w:r>
    </w:p>
    <w:p w14:paraId="0F4C49C6">
      <w:pPr>
        <w:spacing w:line="580" w:lineRule="exact"/>
        <w:ind w:firstLine="640"/>
        <w:jc w:val="both"/>
      </w:pPr>
      <w:r>
        <w:rPr>
          <w:rFonts w:ascii="仿宋_GB2312" w:hAnsi="仿宋_GB2312" w:eastAsia="仿宋_GB2312"/>
          <w:b w:val="0"/>
          <w:sz w:val="32"/>
        </w:rPr>
        <w:t>收入支出总体与上年相比，减少87.71万元，下降6.64%，主要原因是：本年中央、自治区</w:t>
      </w:r>
      <w:r>
        <w:rPr>
          <w:rFonts w:hint="eastAsia" w:ascii="仿宋_GB2312" w:hAnsi="仿宋_GB2312" w:eastAsia="仿宋_GB2312"/>
          <w:b w:val="0"/>
          <w:sz w:val="32"/>
          <w:lang w:eastAsia="zh-CN"/>
        </w:rPr>
        <w:t>政府</w:t>
      </w:r>
      <w:r>
        <w:rPr>
          <w:rFonts w:ascii="仿宋_GB2312" w:hAnsi="仿宋_GB2312" w:eastAsia="仿宋_GB2312"/>
          <w:b w:val="0"/>
          <w:sz w:val="32"/>
        </w:rPr>
        <w:t>转移支付资金较上年减少。</w:t>
      </w:r>
    </w:p>
    <w:p w14:paraId="0199FED8">
      <w:pPr>
        <w:spacing w:line="640" w:lineRule="exact"/>
        <w:ind w:firstLine="640"/>
        <w:jc w:val="both"/>
        <w:outlineLvl w:val="2"/>
      </w:pPr>
      <w:r>
        <w:rPr>
          <w:rFonts w:ascii="黑体" w:hAnsi="黑体" w:eastAsia="黑体"/>
          <w:sz w:val="32"/>
        </w:rPr>
        <w:t>二、收入决算情况说明</w:t>
      </w:r>
    </w:p>
    <w:p w14:paraId="3F647526">
      <w:pPr>
        <w:spacing w:line="580" w:lineRule="exact"/>
        <w:ind w:firstLine="640"/>
        <w:jc w:val="both"/>
      </w:pPr>
      <w:r>
        <w:rPr>
          <w:rFonts w:ascii="仿宋_GB2312" w:hAnsi="仿宋_GB2312" w:eastAsia="仿宋_GB2312"/>
          <w:b/>
          <w:sz w:val="32"/>
        </w:rPr>
        <w:t>本年收入1,233.57万元，</w:t>
      </w:r>
      <w:r>
        <w:rPr>
          <w:rFonts w:ascii="仿宋_GB2312" w:hAnsi="仿宋_GB2312" w:eastAsia="仿宋_GB2312"/>
          <w:b w:val="0"/>
          <w:sz w:val="32"/>
        </w:rPr>
        <w:t>其中：财政拨款收入1,194.02万元，占96.79%；上级补助收入0.00万元，占0.00%；事业收入0.00万元，占0.00%；经营收入0.00万元，占0.00%；附属单位上缴收入0.00万元，占0.00%；其他收入39.55万元，占3.21%。</w:t>
      </w:r>
    </w:p>
    <w:p w14:paraId="009E0989">
      <w:pPr>
        <w:spacing w:line="640" w:lineRule="exact"/>
        <w:ind w:firstLine="640"/>
        <w:jc w:val="both"/>
        <w:outlineLvl w:val="2"/>
      </w:pPr>
      <w:r>
        <w:rPr>
          <w:rFonts w:ascii="黑体" w:hAnsi="黑体" w:eastAsia="黑体"/>
          <w:sz w:val="32"/>
        </w:rPr>
        <w:t>三、支出决算情况说明</w:t>
      </w:r>
    </w:p>
    <w:p w14:paraId="37E8911D">
      <w:pPr>
        <w:spacing w:line="580" w:lineRule="exact"/>
        <w:ind w:firstLine="640"/>
        <w:jc w:val="both"/>
      </w:pPr>
      <w:r>
        <w:rPr>
          <w:rFonts w:ascii="仿宋_GB2312" w:hAnsi="仿宋_GB2312" w:eastAsia="仿宋_GB2312"/>
          <w:b/>
          <w:sz w:val="32"/>
        </w:rPr>
        <w:t>本年支出1,233.57万元，</w:t>
      </w:r>
      <w:r>
        <w:rPr>
          <w:rFonts w:ascii="仿宋_GB2312" w:hAnsi="仿宋_GB2312" w:eastAsia="仿宋_GB2312"/>
          <w:b w:val="0"/>
          <w:sz w:val="32"/>
        </w:rPr>
        <w:t>其中：基本支出910.57万元，占73.82%；项目支出323.00万元，占26.18%；上缴上级支出0.00万元，占0.00%；经营支出0.00万元，占0.00%；对附属单位补助支出0.00万元，占0.00%。</w:t>
      </w:r>
    </w:p>
    <w:p w14:paraId="6FD1F5A6">
      <w:pPr>
        <w:spacing w:line="640" w:lineRule="exact"/>
        <w:ind w:firstLine="640"/>
        <w:jc w:val="both"/>
        <w:outlineLvl w:val="2"/>
      </w:pPr>
      <w:r>
        <w:rPr>
          <w:rFonts w:ascii="黑体" w:hAnsi="黑体" w:eastAsia="黑体"/>
          <w:sz w:val="32"/>
        </w:rPr>
        <w:t>四、财政拨款收入支出决算总体情况说明</w:t>
      </w:r>
    </w:p>
    <w:p w14:paraId="745AEB64">
      <w:pPr>
        <w:spacing w:line="580" w:lineRule="exact"/>
        <w:ind w:firstLine="640"/>
        <w:jc w:val="both"/>
      </w:pPr>
      <w:r>
        <w:rPr>
          <w:rFonts w:ascii="仿宋_GB2312" w:hAnsi="仿宋_GB2312" w:eastAsia="仿宋_GB2312"/>
          <w:b/>
          <w:sz w:val="32"/>
        </w:rPr>
        <w:t>2024年度财政拨款收入总计1,194.02万元，</w:t>
      </w:r>
      <w:r>
        <w:rPr>
          <w:rFonts w:ascii="仿宋_GB2312" w:hAnsi="仿宋_GB2312" w:eastAsia="仿宋_GB2312"/>
          <w:b w:val="0"/>
          <w:sz w:val="32"/>
        </w:rPr>
        <w:t>其中：年初财政拨款结转和结余0.00万元，本年财政拨款收入1,194.02万元。</w:t>
      </w:r>
      <w:r>
        <w:rPr>
          <w:rFonts w:ascii="仿宋_GB2312" w:hAnsi="仿宋_GB2312" w:eastAsia="仿宋_GB2312"/>
          <w:b/>
          <w:sz w:val="32"/>
        </w:rPr>
        <w:t>财政拨款支出总计1,194.02万元，</w:t>
      </w:r>
      <w:r>
        <w:rPr>
          <w:rFonts w:ascii="仿宋_GB2312" w:hAnsi="仿宋_GB2312" w:eastAsia="仿宋_GB2312"/>
          <w:b w:val="0"/>
          <w:sz w:val="32"/>
        </w:rPr>
        <w:t>其中：年末财政拨款结转和结余0.00万元，本年财政拨款支出1,194.02万元。</w:t>
      </w:r>
    </w:p>
    <w:p w14:paraId="463E964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减少77.26万元，下降6.08%，主要原因是：本年中央、自治区政法转移支付资金较上年减少。</w:t>
      </w:r>
      <w:r>
        <w:rPr>
          <w:rFonts w:ascii="仿宋_GB2312" w:hAnsi="仿宋_GB2312" w:eastAsia="仿宋_GB2312"/>
          <w:b/>
          <w:sz w:val="32"/>
        </w:rPr>
        <w:t>与年初预算相比，</w:t>
      </w:r>
      <w:r>
        <w:rPr>
          <w:rFonts w:ascii="仿宋_GB2312" w:hAnsi="仿宋_GB2312" w:eastAsia="仿宋_GB2312"/>
          <w:b w:val="0"/>
          <w:sz w:val="32"/>
        </w:rPr>
        <w:t>年初预算数1,230.48万元，决算数1,194.02万元，预决算差异率-2.96%，主要原因是：本年在职人员减少，年中调减人员经费，导致预决算存在差异。</w:t>
      </w:r>
    </w:p>
    <w:p w14:paraId="31F80EF3">
      <w:pPr>
        <w:spacing w:line="640" w:lineRule="exact"/>
        <w:ind w:firstLine="640"/>
        <w:jc w:val="both"/>
        <w:outlineLvl w:val="2"/>
      </w:pPr>
      <w:r>
        <w:rPr>
          <w:rFonts w:ascii="黑体" w:hAnsi="黑体" w:eastAsia="黑体"/>
          <w:sz w:val="32"/>
        </w:rPr>
        <w:t>五、一般公共预算财政拨款支出决算情况说明</w:t>
      </w:r>
    </w:p>
    <w:p w14:paraId="23C7BACB">
      <w:pPr>
        <w:spacing w:line="640" w:lineRule="exact"/>
        <w:ind w:firstLine="640"/>
        <w:jc w:val="both"/>
        <w:outlineLvl w:val="3"/>
      </w:pPr>
      <w:r>
        <w:rPr>
          <w:rFonts w:ascii="楷体_GB2312" w:hAnsi="楷体_GB2312" w:eastAsia="楷体_GB2312"/>
          <w:b/>
          <w:sz w:val="32"/>
        </w:rPr>
        <w:t>（一）一般公共预算财政拨款支出决算总体情况</w:t>
      </w:r>
    </w:p>
    <w:p w14:paraId="7CE6E6C7">
      <w:pPr>
        <w:spacing w:line="580" w:lineRule="exact"/>
        <w:ind w:firstLine="640"/>
        <w:jc w:val="both"/>
      </w:pPr>
      <w:r>
        <w:rPr>
          <w:rFonts w:ascii="仿宋_GB2312" w:hAnsi="仿宋_GB2312" w:eastAsia="仿宋_GB2312"/>
          <w:b/>
          <w:sz w:val="32"/>
        </w:rPr>
        <w:t>2024年度一般公共预算财政拨款支出1,194.02万元，</w:t>
      </w:r>
      <w:r>
        <w:rPr>
          <w:rFonts w:ascii="仿宋_GB2312" w:hAnsi="仿宋_GB2312" w:eastAsia="仿宋_GB2312"/>
          <w:b w:val="0"/>
          <w:sz w:val="32"/>
        </w:rPr>
        <w:t>占本年支出合计的96.79%。</w:t>
      </w:r>
      <w:r>
        <w:rPr>
          <w:rFonts w:ascii="仿宋_GB2312" w:hAnsi="仿宋_GB2312" w:eastAsia="仿宋_GB2312"/>
          <w:b/>
          <w:sz w:val="32"/>
        </w:rPr>
        <w:t>与上年相比，</w:t>
      </w:r>
      <w:r>
        <w:rPr>
          <w:rFonts w:ascii="仿宋_GB2312" w:hAnsi="仿宋_GB2312" w:eastAsia="仿宋_GB2312"/>
          <w:b w:val="0"/>
          <w:sz w:val="32"/>
        </w:rPr>
        <w:t>减少77.26万元，下降6.08%，主要原因是：本年中央、自治区</w:t>
      </w:r>
      <w:r>
        <w:rPr>
          <w:rFonts w:hint="eastAsia" w:ascii="仿宋_GB2312" w:hAnsi="仿宋_GB2312" w:eastAsia="仿宋_GB2312"/>
          <w:b w:val="0"/>
          <w:sz w:val="32"/>
          <w:lang w:eastAsia="zh-CN"/>
        </w:rPr>
        <w:t>政府</w:t>
      </w:r>
      <w:r>
        <w:rPr>
          <w:rFonts w:ascii="仿宋_GB2312" w:hAnsi="仿宋_GB2312" w:eastAsia="仿宋_GB2312"/>
          <w:b w:val="0"/>
          <w:sz w:val="32"/>
        </w:rPr>
        <w:t>转移支付资金较上年减少。</w:t>
      </w:r>
      <w:r>
        <w:rPr>
          <w:rFonts w:ascii="仿宋_GB2312" w:hAnsi="仿宋_GB2312" w:eastAsia="仿宋_GB2312"/>
          <w:b/>
          <w:sz w:val="32"/>
        </w:rPr>
        <w:t>与年初预算相比,</w:t>
      </w:r>
      <w:r>
        <w:rPr>
          <w:rFonts w:ascii="仿宋_GB2312" w:hAnsi="仿宋_GB2312" w:eastAsia="仿宋_GB2312"/>
          <w:b w:val="0"/>
          <w:sz w:val="32"/>
        </w:rPr>
        <w:t>年初预算数1,230.48万元，决算数1,194.02万元，预决算差异率-2.96%，主要原因是：本年在职人员减少，年中调减人员经费，导致预决算存在差异。</w:t>
      </w:r>
    </w:p>
    <w:p w14:paraId="41131348">
      <w:pPr>
        <w:spacing w:line="640" w:lineRule="exact"/>
        <w:ind w:firstLine="640"/>
        <w:jc w:val="both"/>
        <w:outlineLvl w:val="3"/>
      </w:pPr>
      <w:r>
        <w:rPr>
          <w:rFonts w:ascii="楷体_GB2312" w:hAnsi="楷体_GB2312" w:eastAsia="楷体_GB2312"/>
          <w:b/>
          <w:sz w:val="32"/>
        </w:rPr>
        <w:t>（二）一般公共预算财政拨款支出决算结构情况</w:t>
      </w:r>
    </w:p>
    <w:p w14:paraId="48095786">
      <w:pPr>
        <w:spacing w:line="580" w:lineRule="exact"/>
        <w:ind w:firstLine="640"/>
        <w:jc w:val="both"/>
      </w:pPr>
      <w:r>
        <w:rPr>
          <w:rFonts w:ascii="仿宋_GB2312" w:hAnsi="仿宋_GB2312" w:eastAsia="仿宋_GB2312"/>
          <w:b w:val="0"/>
          <w:sz w:val="32"/>
        </w:rPr>
        <w:t>1.公共安全支出(类)985.74万元,占82.56%。</w:t>
      </w:r>
    </w:p>
    <w:p w14:paraId="0316804C">
      <w:pPr>
        <w:spacing w:line="580" w:lineRule="exact"/>
        <w:ind w:firstLine="640"/>
        <w:jc w:val="both"/>
      </w:pPr>
      <w:r>
        <w:rPr>
          <w:rFonts w:ascii="仿宋_GB2312" w:hAnsi="仿宋_GB2312" w:eastAsia="仿宋_GB2312"/>
          <w:b w:val="0"/>
          <w:sz w:val="32"/>
        </w:rPr>
        <w:t>2.社会保障和就业支出(类)103.37万元,占8.66%。</w:t>
      </w:r>
    </w:p>
    <w:p w14:paraId="1876C997">
      <w:pPr>
        <w:spacing w:line="580" w:lineRule="exact"/>
        <w:ind w:firstLine="640"/>
        <w:jc w:val="both"/>
      </w:pPr>
      <w:r>
        <w:rPr>
          <w:rFonts w:ascii="仿宋_GB2312" w:hAnsi="仿宋_GB2312" w:eastAsia="仿宋_GB2312"/>
          <w:b w:val="0"/>
          <w:sz w:val="32"/>
        </w:rPr>
        <w:t>3.卫生健康支出(类)40.69万元,占3.41%。</w:t>
      </w:r>
    </w:p>
    <w:p w14:paraId="2AE608AF">
      <w:pPr>
        <w:spacing w:line="580" w:lineRule="exact"/>
        <w:ind w:firstLine="640"/>
        <w:jc w:val="both"/>
      </w:pPr>
      <w:r>
        <w:rPr>
          <w:rFonts w:ascii="仿宋_GB2312" w:hAnsi="仿宋_GB2312" w:eastAsia="仿宋_GB2312"/>
          <w:b w:val="0"/>
          <w:sz w:val="32"/>
        </w:rPr>
        <w:t>4.住房保障支出(类)64.23万元,占5.38%。</w:t>
      </w:r>
    </w:p>
    <w:p w14:paraId="22AB4CE1">
      <w:pPr>
        <w:spacing w:line="640" w:lineRule="exact"/>
        <w:ind w:firstLine="640"/>
        <w:jc w:val="both"/>
        <w:outlineLvl w:val="3"/>
      </w:pPr>
      <w:r>
        <w:rPr>
          <w:rFonts w:ascii="楷体_GB2312" w:hAnsi="楷体_GB2312" w:eastAsia="楷体_GB2312"/>
          <w:b/>
          <w:sz w:val="32"/>
        </w:rPr>
        <w:t>（三）一般公共预算财政拨款支出决算具体情况</w:t>
      </w:r>
    </w:p>
    <w:p w14:paraId="453E1BE1">
      <w:pPr>
        <w:spacing w:line="580" w:lineRule="exact"/>
        <w:ind w:firstLine="640"/>
        <w:jc w:val="both"/>
      </w:pPr>
      <w:r>
        <w:rPr>
          <w:rFonts w:ascii="仿宋_GB2312" w:hAnsi="仿宋_GB2312" w:eastAsia="仿宋_GB2312"/>
          <w:b w:val="0"/>
          <w:sz w:val="32"/>
        </w:rPr>
        <w:t>1.公共安全支出(类)法院(款)行政运行(项):支出决算数为702.29万元，比上年决算减少25.00万元，下降3.44%,主要原因是：本年在职人员减少，相应人员经费较上年减少。</w:t>
      </w:r>
    </w:p>
    <w:p w14:paraId="3FA1CCE6">
      <w:pPr>
        <w:spacing w:line="580" w:lineRule="exact"/>
        <w:ind w:firstLine="640"/>
        <w:jc w:val="both"/>
      </w:pPr>
      <w:r>
        <w:rPr>
          <w:rFonts w:ascii="仿宋_GB2312" w:hAnsi="仿宋_GB2312" w:eastAsia="仿宋_GB2312"/>
          <w:b w:val="0"/>
          <w:sz w:val="32"/>
        </w:rPr>
        <w:t>2.公共安全支出(类)法院(款)一般行政管理事务(项):支出决算数为98.87万元，比上年决算增加5.18万元，增长5.53%,主要原因是：本年司法绩效奖金增加。</w:t>
      </w:r>
    </w:p>
    <w:p w14:paraId="062CAA7E">
      <w:pPr>
        <w:spacing w:line="580" w:lineRule="exact"/>
        <w:ind w:firstLine="640"/>
        <w:jc w:val="both"/>
      </w:pPr>
      <w:r>
        <w:rPr>
          <w:rFonts w:ascii="仿宋_GB2312" w:hAnsi="仿宋_GB2312" w:eastAsia="仿宋_GB2312"/>
          <w:b w:val="0"/>
          <w:sz w:val="32"/>
        </w:rPr>
        <w:t>3.公共安全支出(类)法院(款)其他法院支出(项):支出决算数为184.58万元，比上年决算减少59.13万元，下降24.26%,主要原因是：本年中央、自治区政法转移支付资金较上年减少。</w:t>
      </w:r>
    </w:p>
    <w:p w14:paraId="2C009B6C">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4.社会保障和就业支出(类)行政事业单位养老支出(款)行政单位离退休(项):支出决算数为25.93万元，比上年决算增加6.01万元，增长30.17%,主要原因是：本年退休人员基础绩效奖增加，导致退休费支出增加。</w:t>
      </w:r>
    </w:p>
    <w:p w14:paraId="12595A5C">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77.44万元，比上年决算增加12.94万元，增长20.06%,主要原因是：本年在职人员工资基数调增，养老缴费基数上涨，相应支出增加。</w:t>
      </w:r>
    </w:p>
    <w:p w14:paraId="132DCB0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6.社会保障和就业支出(类)行政事业单位养老支出(款)机关事业单位职业年金缴费支出(项):支出决算数为0.00万元，比上年决算减少3.07万元，下降100.00%,主要原因是：本年减少退休人员，减少职业年金缴费支出。</w:t>
      </w:r>
    </w:p>
    <w:p w14:paraId="21C1973A">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7.社会保障和就业支出(类)抚恤(款)死亡抚恤(项):支出决算数为0.00万元，比上年决算减少29.24万元，下降100.00%,主要原因是：本年无死亡人员，减少死亡抚恤支出。</w:t>
      </w:r>
    </w:p>
    <w:p w14:paraId="174E3AEB">
      <w:pPr>
        <w:spacing w:line="580" w:lineRule="exact"/>
        <w:ind w:firstLine="640"/>
        <w:jc w:val="both"/>
      </w:pPr>
      <w:r>
        <w:rPr>
          <w:rFonts w:ascii="仿宋_GB2312" w:hAnsi="仿宋_GB2312" w:eastAsia="仿宋_GB2312"/>
          <w:b w:val="0"/>
          <w:sz w:val="32"/>
        </w:rPr>
        <w:t>8.卫生健康支出(类)行政事业单位医疗(款)行政单位医疗(项):支出决算数为31.84万元，比上年决算增加4.30万元，增长15.61%,主要原因是：本年在职人员工资基数调增，医疗缴费基数上涨，相应支出增加。</w:t>
      </w:r>
    </w:p>
    <w:p w14:paraId="20017FFC">
      <w:pPr>
        <w:spacing w:line="580" w:lineRule="exact"/>
        <w:ind w:firstLine="640"/>
        <w:jc w:val="both"/>
      </w:pPr>
      <w:r>
        <w:rPr>
          <w:rFonts w:ascii="仿宋_GB2312" w:hAnsi="仿宋_GB2312" w:eastAsia="仿宋_GB2312"/>
          <w:b w:val="0"/>
          <w:sz w:val="32"/>
        </w:rPr>
        <w:t>9.卫生健康支出(类)行政事业单位医疗(款)公务员医疗补助(项):支出决算数为8.84万元，比上年决算增加1.22万元，增长16.01%,主要原因是：本年在职人员工资基数调增，医疗缴费基数上涨，相应支出增加。</w:t>
      </w:r>
    </w:p>
    <w:p w14:paraId="5688E32E">
      <w:pPr>
        <w:spacing w:line="580" w:lineRule="exact"/>
        <w:ind w:firstLine="640"/>
        <w:jc w:val="both"/>
      </w:pPr>
      <w:r>
        <w:rPr>
          <w:rFonts w:ascii="仿宋_GB2312" w:hAnsi="仿宋_GB2312" w:eastAsia="仿宋_GB2312"/>
          <w:b w:val="0"/>
          <w:sz w:val="32"/>
        </w:rPr>
        <w:t>10.住房保障支出(类)住房改革支出(款)住房公积金(项):支出决算数为64.23万元，比上年决算增加9.55万元，增长17.47%,主要原因是：本年在职人员工资基数调增，公积金缴费基数上涨，相应支出增加。</w:t>
      </w:r>
    </w:p>
    <w:p w14:paraId="7F027C65">
      <w:pPr>
        <w:spacing w:line="640" w:lineRule="exact"/>
        <w:ind w:firstLine="640"/>
        <w:jc w:val="both"/>
        <w:outlineLvl w:val="2"/>
      </w:pPr>
      <w:r>
        <w:rPr>
          <w:rFonts w:ascii="黑体" w:hAnsi="黑体" w:eastAsia="黑体"/>
          <w:sz w:val="32"/>
        </w:rPr>
        <w:t>六、一般公共预算财政拨款基本支出决算情况说明</w:t>
      </w:r>
    </w:p>
    <w:p w14:paraId="7274D7FE">
      <w:pPr>
        <w:spacing w:line="580" w:lineRule="exact"/>
        <w:ind w:firstLine="640"/>
        <w:jc w:val="both"/>
      </w:pPr>
      <w:r>
        <w:rPr>
          <w:rFonts w:ascii="仿宋_GB2312" w:hAnsi="仿宋_GB2312" w:eastAsia="仿宋_GB2312"/>
          <w:b w:val="0"/>
          <w:sz w:val="32"/>
        </w:rPr>
        <w:t>2024年度一般公共预算财政拨款基本支出910.57万元，其中：</w:t>
      </w:r>
      <w:r>
        <w:rPr>
          <w:rFonts w:ascii="仿宋_GB2312" w:hAnsi="仿宋_GB2312" w:eastAsia="仿宋_GB2312"/>
          <w:b/>
          <w:sz w:val="32"/>
        </w:rPr>
        <w:t>人员经费844.47万元，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w:t>
      </w:r>
    </w:p>
    <w:p w14:paraId="4B0FB8B0">
      <w:pPr>
        <w:spacing w:line="580" w:lineRule="exact"/>
        <w:ind w:firstLine="640"/>
        <w:jc w:val="both"/>
      </w:pPr>
      <w:r>
        <w:rPr>
          <w:rFonts w:ascii="仿宋_GB2312" w:hAnsi="仿宋_GB2312" w:eastAsia="仿宋_GB2312"/>
          <w:b/>
          <w:sz w:val="32"/>
        </w:rPr>
        <w:t>公用经费66.10万元，</w:t>
      </w:r>
      <w:r>
        <w:rPr>
          <w:rFonts w:ascii="仿宋_GB2312" w:hAnsi="仿宋_GB2312" w:eastAsia="仿宋_GB2312"/>
          <w:b w:val="0"/>
          <w:sz w:val="32"/>
        </w:rPr>
        <w:t>包括：办公费、手续费、水费、电费、邮电费、取暖费、差旅费、专用材料费、工会经费、公务用车运行维护费、其他商品和服务支出。</w:t>
      </w:r>
    </w:p>
    <w:p w14:paraId="30D0DA00">
      <w:pPr>
        <w:spacing w:line="640" w:lineRule="exact"/>
        <w:ind w:firstLine="640"/>
        <w:jc w:val="both"/>
        <w:outlineLvl w:val="2"/>
      </w:pPr>
      <w:r>
        <w:rPr>
          <w:rFonts w:ascii="黑体" w:hAnsi="黑体" w:eastAsia="黑体"/>
          <w:sz w:val="32"/>
        </w:rPr>
        <w:t>七、政府性基金预算财政拨款收入支出决算情况说明</w:t>
      </w:r>
    </w:p>
    <w:p w14:paraId="55004C14">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9C10D45">
      <w:pPr>
        <w:spacing w:line="640" w:lineRule="exact"/>
        <w:ind w:firstLine="640"/>
        <w:jc w:val="both"/>
        <w:outlineLvl w:val="2"/>
      </w:pPr>
      <w:r>
        <w:rPr>
          <w:rFonts w:ascii="黑体" w:hAnsi="黑体" w:eastAsia="黑体"/>
          <w:sz w:val="32"/>
        </w:rPr>
        <w:t>八、国有资本经营预算财政拨款收入支出决算情况说明</w:t>
      </w:r>
    </w:p>
    <w:p w14:paraId="6973359E">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8B2C7F7">
      <w:pPr>
        <w:spacing w:line="640" w:lineRule="exact"/>
        <w:ind w:firstLine="640"/>
        <w:jc w:val="both"/>
        <w:outlineLvl w:val="2"/>
      </w:pPr>
      <w:r>
        <w:rPr>
          <w:rFonts w:ascii="黑体" w:hAnsi="黑体" w:eastAsia="黑体"/>
          <w:sz w:val="32"/>
        </w:rPr>
        <w:t>九、财政拨款“三公”经费支出决算情况说明</w:t>
      </w:r>
    </w:p>
    <w:p w14:paraId="17AB6C74">
      <w:pPr>
        <w:spacing w:line="580" w:lineRule="exact"/>
        <w:ind w:firstLine="640"/>
        <w:jc w:val="both"/>
      </w:pPr>
      <w:r>
        <w:rPr>
          <w:rFonts w:ascii="仿宋_GB2312" w:hAnsi="仿宋_GB2312" w:eastAsia="仿宋_GB2312"/>
          <w:b/>
          <w:sz w:val="32"/>
        </w:rPr>
        <w:t>2024年度财政拨款“三公”经费支出20.70万元，</w:t>
      </w:r>
      <w:r>
        <w:rPr>
          <w:rFonts w:ascii="仿宋_GB2312" w:hAnsi="仿宋_GB2312" w:eastAsia="仿宋_GB2312"/>
          <w:b w:val="0"/>
          <w:sz w:val="32"/>
        </w:rPr>
        <w:t>比上年增加0.44万元，增长2.17%，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20.70万元，占100.00%，比上年增加0.44万元，增长2.17%，主要原因是：本年因业务需求，用车次数增加，燃油费增加，导致公务用车运行维护费较上年增加。公务接待费支出0.00万元，占0.00%，比上年增加0.00万元，增长0.00%，主要原因是：2023年与2024年均未安排公务接待费支出。</w:t>
      </w:r>
    </w:p>
    <w:p w14:paraId="701EBA25">
      <w:pPr>
        <w:spacing w:line="580" w:lineRule="exact"/>
        <w:ind w:firstLine="640"/>
        <w:jc w:val="both"/>
      </w:pPr>
      <w:r>
        <w:rPr>
          <w:rFonts w:ascii="仿宋_GB2312" w:hAnsi="仿宋_GB2312" w:eastAsia="仿宋_GB2312"/>
          <w:b/>
          <w:sz w:val="32"/>
        </w:rPr>
        <w:t>具体情况如下：</w:t>
      </w:r>
    </w:p>
    <w:p w14:paraId="0E081752">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12C8421">
      <w:pPr>
        <w:spacing w:line="580" w:lineRule="exact"/>
        <w:ind w:firstLine="640"/>
        <w:jc w:val="both"/>
      </w:pPr>
      <w:r>
        <w:rPr>
          <w:rFonts w:ascii="仿宋_GB2312" w:hAnsi="仿宋_GB2312" w:eastAsia="仿宋_GB2312"/>
          <w:b w:val="0"/>
          <w:sz w:val="32"/>
        </w:rPr>
        <w:t>公务用车购置及运行维护费20.70万元，其中：公务用车购置费0.00万元，公务用车运行维护费20.70万元。公务用车运行维护费开支内容包括车辆加油费、维修费、保险费、审车费、过路费等。公务用车购置数0辆，公务用车保有量8辆。国有资产占用情况中固定资产车辆8辆，与公务用车保有量差异原因是：本部门固定资产车辆与公务用车保有量一致无差异。</w:t>
      </w:r>
    </w:p>
    <w:p w14:paraId="4F553935">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1635A6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20.70万元，决算数20.70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20.70万元，决算数20.70万元，预决算差异率0.00%，主要原因是：严格按照预算执行，预决算无差异。公务接待费全年预算数0.00万元，决算数0.00万元，预决算差异率0.00%，主要原因是：本部门无公务接待费。</w:t>
      </w:r>
    </w:p>
    <w:p w14:paraId="158C603C">
      <w:pPr>
        <w:spacing w:line="640" w:lineRule="exact"/>
        <w:ind w:firstLine="640"/>
        <w:jc w:val="both"/>
        <w:outlineLvl w:val="2"/>
      </w:pPr>
      <w:r>
        <w:rPr>
          <w:rFonts w:ascii="黑体" w:hAnsi="黑体" w:eastAsia="黑体"/>
          <w:sz w:val="32"/>
        </w:rPr>
        <w:t>十、其他重要事项的情况说明</w:t>
      </w:r>
    </w:p>
    <w:p w14:paraId="3E2354DD">
      <w:pPr>
        <w:spacing w:line="640" w:lineRule="exact"/>
        <w:ind w:firstLine="640"/>
        <w:jc w:val="both"/>
        <w:outlineLvl w:val="3"/>
      </w:pPr>
      <w:r>
        <w:rPr>
          <w:rFonts w:ascii="楷体_GB2312" w:hAnsi="楷体_GB2312" w:eastAsia="楷体_GB2312"/>
          <w:b/>
          <w:sz w:val="32"/>
        </w:rPr>
        <w:t>（一）机关运行经费及公用经费支出情况</w:t>
      </w:r>
    </w:p>
    <w:p w14:paraId="23D8500F">
      <w:pPr>
        <w:spacing w:line="580" w:lineRule="exact"/>
        <w:ind w:firstLine="640"/>
        <w:jc w:val="both"/>
      </w:pPr>
      <w:r>
        <w:rPr>
          <w:rFonts w:ascii="仿宋_GB2312" w:hAnsi="仿宋_GB2312" w:eastAsia="仿宋_GB2312"/>
          <w:b w:val="0"/>
          <w:sz w:val="32"/>
        </w:rPr>
        <w:t>2024年度塔什库尔干塔吉克自治县人民法院（行政单位和参照公务员法管理事业单位）机关运行经费支出66.10万元，比上年增加4.85万元，增长7.92%，主要原因是：本年更新、维护补充办公用品，公用经费较上年增加。</w:t>
      </w:r>
    </w:p>
    <w:p w14:paraId="787915C7">
      <w:pPr>
        <w:spacing w:line="640" w:lineRule="exact"/>
        <w:ind w:firstLine="640"/>
        <w:jc w:val="both"/>
        <w:outlineLvl w:val="3"/>
      </w:pPr>
      <w:r>
        <w:rPr>
          <w:rFonts w:ascii="楷体_GB2312" w:hAnsi="楷体_GB2312" w:eastAsia="楷体_GB2312"/>
          <w:b/>
          <w:sz w:val="32"/>
        </w:rPr>
        <w:t>（二）政府采购情况</w:t>
      </w:r>
    </w:p>
    <w:p w14:paraId="54DAC9EC">
      <w:pPr>
        <w:spacing w:line="580" w:lineRule="exact"/>
        <w:ind w:firstLine="640"/>
        <w:jc w:val="both"/>
      </w:pPr>
      <w:r>
        <w:rPr>
          <w:rFonts w:ascii="仿宋_GB2312" w:hAnsi="仿宋_GB2312" w:eastAsia="仿宋_GB2312"/>
          <w:b w:val="0"/>
          <w:sz w:val="32"/>
        </w:rPr>
        <w:t>2024年度政府采购支出总额48.61万元，其中：政府采购货物支出27.91万元、政府采购工程支出0.00万元、政府采购服务支出20.70万元。</w:t>
      </w:r>
    </w:p>
    <w:p w14:paraId="1864B48A">
      <w:pPr>
        <w:spacing w:line="580" w:lineRule="exact"/>
        <w:ind w:firstLine="640"/>
        <w:jc w:val="both"/>
      </w:pPr>
      <w:r>
        <w:rPr>
          <w:rFonts w:ascii="仿宋_GB2312" w:hAnsi="仿宋_GB2312" w:eastAsia="仿宋_GB2312"/>
          <w:b w:val="0"/>
          <w:sz w:val="32"/>
        </w:rPr>
        <w:t>授予中小企业合同金额48.61万元，占政府采购支出总额的100.00%，其中：授予小微企业合同金额46.68万元，占政府采购支出总额的96.03%。</w:t>
      </w:r>
    </w:p>
    <w:p w14:paraId="3A0BCE23">
      <w:pPr>
        <w:spacing w:line="640" w:lineRule="exact"/>
        <w:ind w:firstLine="640"/>
        <w:jc w:val="both"/>
        <w:outlineLvl w:val="3"/>
      </w:pPr>
      <w:r>
        <w:rPr>
          <w:rFonts w:ascii="楷体_GB2312" w:hAnsi="楷体_GB2312" w:eastAsia="楷体_GB2312"/>
          <w:b/>
          <w:sz w:val="32"/>
        </w:rPr>
        <w:t>（三）国有资产占用情况说明</w:t>
      </w:r>
    </w:p>
    <w:p w14:paraId="6FFD9418">
      <w:pPr>
        <w:spacing w:line="580" w:lineRule="exact"/>
        <w:ind w:firstLine="640"/>
        <w:jc w:val="both"/>
      </w:pPr>
      <w:r>
        <w:rPr>
          <w:rFonts w:ascii="仿宋_GB2312" w:hAnsi="仿宋_GB2312" w:eastAsia="仿宋_GB2312"/>
          <w:b w:val="0"/>
          <w:sz w:val="32"/>
        </w:rPr>
        <w:t>截至2024年12月31日，房屋1,161.00平方米，价值188.42万元。车辆8辆，价值130.35万元，其中：副部（省）级及以上领导用车0辆、主要负责人用车0辆、机要通信用车0辆、应急保障用车0辆、执法执勤用车6辆、特种专业技术用车0辆、离退休干部服务用车0辆、其他用车2辆，其他用车主要是：一般公务用车。单价100万元（含）以上设备（不含车辆）1台（套）。</w:t>
      </w:r>
    </w:p>
    <w:p w14:paraId="4876DD90">
      <w:pPr>
        <w:spacing w:line="640" w:lineRule="exact"/>
        <w:ind w:firstLine="640"/>
        <w:jc w:val="both"/>
        <w:outlineLvl w:val="2"/>
      </w:pPr>
      <w:r>
        <w:rPr>
          <w:rFonts w:ascii="黑体" w:hAnsi="黑体" w:eastAsia="黑体"/>
          <w:sz w:val="32"/>
        </w:rPr>
        <w:t>十一、预算绩效的情况说明</w:t>
      </w:r>
    </w:p>
    <w:p w14:paraId="088B8298">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根据预算绩效管理要求，本部门2024年度预算绩效管理形成整体支出绩效自评表1个，全年预算总额1,309.67万元，实际执行总额1,233.57万元；预算绩效评价项目</w:t>
      </w:r>
      <w:r>
        <w:rPr>
          <w:rFonts w:hint="eastAsia" w:ascii="仿宋_GB2312" w:hAnsi="仿宋_GB2312" w:eastAsia="仿宋_GB2312"/>
          <w:b w:val="0"/>
          <w:sz w:val="32"/>
          <w:lang w:val="en-US" w:eastAsia="zh-CN"/>
        </w:rPr>
        <w:t>12</w:t>
      </w:r>
      <w:r>
        <w:rPr>
          <w:rFonts w:ascii="仿宋_GB2312" w:hAnsi="仿宋_GB2312" w:eastAsia="仿宋_GB2312"/>
          <w:b w:val="0"/>
          <w:sz w:val="32"/>
        </w:rPr>
        <w:t>个，全年预算数</w:t>
      </w:r>
      <w:r>
        <w:rPr>
          <w:rFonts w:hint="eastAsia" w:ascii="仿宋_GB2312" w:hAnsi="仿宋_GB2312" w:eastAsia="仿宋_GB2312"/>
          <w:b w:val="0"/>
          <w:sz w:val="32"/>
        </w:rPr>
        <w:t>398.76</w:t>
      </w:r>
      <w:r>
        <w:rPr>
          <w:rFonts w:ascii="仿宋_GB2312" w:hAnsi="仿宋_GB2312" w:eastAsia="仿宋_GB2312"/>
          <w:b w:val="0"/>
          <w:sz w:val="32"/>
        </w:rPr>
        <w:t>万元，全年执行数</w:t>
      </w:r>
      <w:r>
        <w:rPr>
          <w:rFonts w:hint="eastAsia" w:ascii="仿宋_GB2312" w:hAnsi="仿宋_GB2312" w:eastAsia="仿宋_GB2312"/>
          <w:b w:val="0"/>
          <w:sz w:val="32"/>
        </w:rPr>
        <w:t>323</w:t>
      </w:r>
      <w:r>
        <w:rPr>
          <w:rFonts w:ascii="仿宋_GB2312" w:hAnsi="仿宋_GB2312" w:eastAsia="仿宋_GB2312"/>
          <w:b w:val="0"/>
          <w:sz w:val="32"/>
        </w:rPr>
        <w:t>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部门整体支出绩效自评表，项目支出绩效自评表。</w:t>
      </w:r>
    </w:p>
    <w:p w14:paraId="5830A1D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C1679E6">
        <w:tblPrEx>
          <w:tblCellMar>
            <w:top w:w="0" w:type="dxa"/>
            <w:left w:w="108" w:type="dxa"/>
            <w:bottom w:w="0" w:type="dxa"/>
            <w:right w:w="108" w:type="dxa"/>
          </w:tblCellMar>
        </w:tblPrEx>
        <w:tc>
          <w:tcPr>
            <w:tcW w:w="8847" w:type="dxa"/>
            <w:gridSpan w:val="9"/>
            <w:vAlign w:val="center"/>
          </w:tcPr>
          <w:p w14:paraId="1370EDD8">
            <w:pPr>
              <w:jc w:val="center"/>
            </w:pPr>
            <w:r>
              <w:rPr>
                <w:rFonts w:ascii="宋体" w:hAnsi="宋体" w:eastAsia="宋体"/>
                <w:sz w:val="24"/>
              </w:rPr>
              <w:t>部门整体支出绩效自评表</w:t>
            </w:r>
          </w:p>
        </w:tc>
      </w:tr>
      <w:tr w14:paraId="22DD1A54">
        <w:tblPrEx>
          <w:tblCellMar>
            <w:top w:w="0" w:type="dxa"/>
            <w:left w:w="108" w:type="dxa"/>
            <w:bottom w:w="0" w:type="dxa"/>
            <w:right w:w="108" w:type="dxa"/>
          </w:tblCellMar>
        </w:tblPrEx>
        <w:tc>
          <w:tcPr>
            <w:tcW w:w="8847" w:type="dxa"/>
            <w:gridSpan w:val="9"/>
            <w:vAlign w:val="center"/>
          </w:tcPr>
          <w:p w14:paraId="14CF4503">
            <w:pPr>
              <w:jc w:val="center"/>
            </w:pPr>
            <w:r>
              <w:rPr>
                <w:rFonts w:ascii="宋体" w:hAnsi="宋体" w:eastAsia="宋体"/>
                <w:sz w:val="24"/>
              </w:rPr>
              <w:t>（2024年度）</w:t>
            </w:r>
          </w:p>
        </w:tc>
      </w:tr>
      <w:tr w14:paraId="5DD2F5C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2BC27">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7590182">
            <w:pPr>
              <w:jc w:val="center"/>
            </w:pPr>
            <w:r>
              <w:rPr>
                <w:rFonts w:ascii="宋体" w:hAnsi="宋体" w:eastAsia="宋体"/>
                <w:sz w:val="16"/>
              </w:rPr>
              <w:t>塔什库尔干塔吉克自治县人民法院</w:t>
            </w:r>
          </w:p>
        </w:tc>
      </w:tr>
      <w:tr w14:paraId="2BE48E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F185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53CB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BB1F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32ED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DB06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C3BF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7324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06F07">
            <w:pPr>
              <w:jc w:val="center"/>
            </w:pPr>
            <w:r>
              <w:rPr>
                <w:rFonts w:ascii="宋体" w:hAnsi="宋体" w:eastAsia="宋体"/>
                <w:sz w:val="16"/>
              </w:rPr>
              <w:t>得分</w:t>
            </w:r>
          </w:p>
        </w:tc>
      </w:tr>
      <w:tr w14:paraId="412626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EB3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A4D1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6E3B9">
            <w:pPr>
              <w:jc w:val="center"/>
            </w:pPr>
            <w:r>
              <w:rPr>
                <w:rFonts w:ascii="宋体" w:hAnsi="宋体" w:eastAsia="宋体"/>
                <w:sz w:val="16"/>
              </w:rPr>
              <w:t>1,230.48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F2A52">
            <w:pPr>
              <w:jc w:val="center"/>
            </w:pPr>
            <w:r>
              <w:rPr>
                <w:rFonts w:ascii="宋体" w:hAnsi="宋体" w:eastAsia="宋体"/>
                <w:sz w:val="16"/>
              </w:rPr>
              <w:t>1,309.67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7CE60">
            <w:pPr>
              <w:jc w:val="center"/>
            </w:pPr>
            <w:r>
              <w:rPr>
                <w:rFonts w:ascii="宋体" w:hAnsi="宋体" w:eastAsia="宋体"/>
                <w:sz w:val="16"/>
              </w:rPr>
              <w:t>1,233.57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630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0F613">
            <w:pPr>
              <w:jc w:val="center"/>
            </w:pPr>
            <w:r>
              <w:rPr>
                <w:rFonts w:ascii="宋体" w:hAnsi="宋体" w:eastAsia="宋体"/>
                <w:sz w:val="16"/>
              </w:rPr>
              <w:t>94.19%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A9C6D">
            <w:pPr>
              <w:jc w:val="center"/>
            </w:pPr>
            <w:r>
              <w:rPr>
                <w:rFonts w:ascii="宋体" w:hAnsi="宋体" w:eastAsia="宋体"/>
                <w:sz w:val="16"/>
              </w:rPr>
              <w:t>9.42</w:t>
            </w:r>
          </w:p>
        </w:tc>
      </w:tr>
      <w:tr w14:paraId="1FE38D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E44E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829D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485E7">
            <w:pPr>
              <w:jc w:val="center"/>
            </w:pPr>
            <w:r>
              <w:rPr>
                <w:rFonts w:ascii="宋体" w:hAnsi="宋体" w:eastAsia="宋体"/>
                <w:sz w:val="16"/>
              </w:rPr>
              <w:t>295.84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6259C">
            <w:pPr>
              <w:jc w:val="center"/>
            </w:pPr>
            <w:r>
              <w:rPr>
                <w:rFonts w:ascii="宋体" w:hAnsi="宋体" w:eastAsia="宋体"/>
                <w:sz w:val="16"/>
              </w:rPr>
              <w:t>359.51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5C7D2">
            <w:pPr>
              <w:jc w:val="center"/>
            </w:pPr>
            <w:r>
              <w:rPr>
                <w:rFonts w:ascii="宋体" w:hAnsi="宋体" w:eastAsia="宋体"/>
                <w:sz w:val="16"/>
              </w:rPr>
              <w:t>283.86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38C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FB0E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A3779">
            <w:pPr>
              <w:jc w:val="center"/>
            </w:pPr>
            <w:r>
              <w:rPr>
                <w:rFonts w:ascii="宋体" w:hAnsi="宋体" w:eastAsia="宋体"/>
                <w:sz w:val="16"/>
              </w:rPr>
              <w:t>—</w:t>
            </w:r>
          </w:p>
        </w:tc>
      </w:tr>
      <w:tr w14:paraId="265E50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932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AC22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0F3B7">
            <w:pPr>
              <w:jc w:val="center"/>
            </w:pPr>
            <w:r>
              <w:rPr>
                <w:rFonts w:ascii="宋体" w:hAnsi="宋体" w:eastAsia="宋体"/>
                <w:sz w:val="16"/>
              </w:rPr>
              <w:t>934.64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002FC">
            <w:pPr>
              <w:jc w:val="center"/>
            </w:pPr>
            <w:r>
              <w:rPr>
                <w:rFonts w:ascii="宋体" w:hAnsi="宋体" w:eastAsia="宋体"/>
                <w:sz w:val="16"/>
              </w:rPr>
              <w:t>910.16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AA392">
            <w:pPr>
              <w:jc w:val="center"/>
            </w:pPr>
            <w:r>
              <w:rPr>
                <w:rFonts w:ascii="宋体" w:hAnsi="宋体" w:eastAsia="宋体"/>
                <w:sz w:val="16"/>
              </w:rPr>
              <w:t>910.16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5FF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DE7E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E6096">
            <w:pPr>
              <w:jc w:val="center"/>
            </w:pPr>
            <w:r>
              <w:rPr>
                <w:rFonts w:ascii="宋体" w:hAnsi="宋体" w:eastAsia="宋体"/>
                <w:sz w:val="16"/>
              </w:rPr>
              <w:t>—</w:t>
            </w:r>
          </w:p>
        </w:tc>
      </w:tr>
      <w:tr w14:paraId="61C5E2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9DCC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CD48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FCD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C0D67">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F5F61">
            <w:pPr>
              <w:jc w:val="center"/>
            </w:pPr>
            <w:r>
              <w:rPr>
                <w:rFonts w:ascii="宋体" w:hAnsi="宋体" w:eastAsia="宋体"/>
                <w:sz w:val="16"/>
              </w:rPr>
              <w:t>39.55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C34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4A5B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50D21">
            <w:pPr>
              <w:jc w:val="center"/>
            </w:pPr>
            <w:r>
              <w:rPr>
                <w:rFonts w:ascii="宋体" w:hAnsi="宋体" w:eastAsia="宋体"/>
                <w:sz w:val="16"/>
              </w:rPr>
              <w:t>—</w:t>
            </w:r>
          </w:p>
        </w:tc>
      </w:tr>
      <w:tr w14:paraId="2CA0AB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8C97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DADA4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924FDC">
            <w:pPr>
              <w:jc w:val="center"/>
            </w:pPr>
            <w:r>
              <w:rPr>
                <w:rFonts w:ascii="宋体" w:hAnsi="宋体" w:eastAsia="宋体"/>
                <w:sz w:val="16"/>
              </w:rPr>
              <w:t>实际完成情况</w:t>
            </w:r>
          </w:p>
        </w:tc>
      </w:tr>
      <w:tr w14:paraId="354557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12B8C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3B3DF9">
            <w:pPr>
              <w:jc w:val="both"/>
            </w:pPr>
            <w:r>
              <w:rPr>
                <w:rFonts w:ascii="宋体" w:hAnsi="宋体" w:eastAsia="宋体"/>
                <w:sz w:val="16"/>
              </w:rPr>
              <w:t>2024年我院将推进审判体系和审判能力现代化，计划办理案件800件，预计依法结案780件，依法受理网上立案案件数800件，依法结案率达到95%以上，切实提升审判质效，紧紧围绕“努力让人民群众在每一个司法案件中感受到公平正义”的目标，为保障人民群众的合法权益，持续推进司法为民审判工作，打造忠诚干净担当的过硬法院干部队伍。</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EDCFD2">
            <w:pPr>
              <w:jc w:val="both"/>
            </w:pPr>
            <w:r>
              <w:rPr>
                <w:rFonts w:ascii="宋体" w:hAnsi="宋体" w:eastAsia="宋体"/>
                <w:sz w:val="16"/>
              </w:rPr>
              <w:t>2024年我院办理案件886件，依法审理案件结案数和依法受理案件结案数849件，依法受理网上立案案件数594件，诉讼案件法庭审限内结案率99.61%，切实提升审判质效，紧紧围绕“努力让人民群众在每一个司法案件中感受到公平正义”的目标，为保障人民群众的合法权益，持续推进司法为民审判工作，打造忠诚干净担当的过硬法院干部队伍。人民法院作为党的政治机关，对党和人民绝对忠诚是法院干警的首要品质。按照主题教育“学思想、强党性、重实践、建新功”总要求，进一步在凝心铸魂筑牢根本、锤炼品格强化忠诚、实干担当促进发展、践行宗旨为民造福、廉洁奉公树立新风上持续用力,切实推动学习贯彻习近平新时代中国特色社会主义思想主题教育入脑入心。深入学习贯彻中央政法工作条例，认真落实重大事项请示报告制度。以服务大局强化忠诚意识，坚持上级要求就是我们的任务，注重在艰苦一线锤炼干警。</w:t>
            </w:r>
          </w:p>
        </w:tc>
      </w:tr>
      <w:tr w14:paraId="22CF080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19F1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08EF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51D0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E66A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36CF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0BD0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5020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B75B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704DD">
            <w:pPr>
              <w:jc w:val="center"/>
            </w:pPr>
            <w:r>
              <w:rPr>
                <w:rFonts w:ascii="宋体" w:hAnsi="宋体" w:eastAsia="宋体"/>
                <w:sz w:val="16"/>
              </w:rPr>
              <w:t>得分</w:t>
            </w:r>
          </w:p>
        </w:tc>
      </w:tr>
      <w:tr w14:paraId="28215D8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BB67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3FFA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66B1F">
            <w:pPr>
              <w:jc w:val="center"/>
            </w:pPr>
            <w:r>
              <w:rPr>
                <w:rFonts w:ascii="宋体" w:hAnsi="宋体" w:eastAsia="宋体"/>
                <w:sz w:val="16"/>
              </w:rPr>
              <w:t>依法审理案件数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7AC44">
            <w:pPr>
              <w:jc w:val="center"/>
            </w:pPr>
            <w:r>
              <w:rPr>
                <w:rFonts w:ascii="宋体" w:hAnsi="宋体" w:eastAsia="宋体"/>
                <w:sz w:val="16"/>
              </w:rPr>
              <w:t>&gt;=873件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5F687">
            <w:pPr>
              <w:jc w:val="center"/>
            </w:pPr>
            <w:r>
              <w:rPr>
                <w:rFonts w:ascii="宋体" w:hAnsi="宋体" w:eastAsia="宋体"/>
                <w:sz w:val="16"/>
              </w:rPr>
              <w:t>《塔县人民法院2023年工作报告》《塔县人民法院2024年工作计划》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B88D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E2DC6">
            <w:pPr>
              <w:jc w:val="center"/>
            </w:pPr>
            <w:r>
              <w:rPr>
                <w:rFonts w:ascii="宋体" w:hAnsi="宋体" w:eastAsia="宋体"/>
                <w:sz w:val="16"/>
              </w:rPr>
              <w:t>886件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256F6">
            <w:pPr>
              <w:jc w:val="center"/>
            </w:pPr>
            <w:r>
              <w:rPr>
                <w:rFonts w:ascii="宋体" w:hAnsi="宋体" w:eastAsia="宋体"/>
                <w:sz w:val="16"/>
              </w:rPr>
              <w:t>101.49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D990D">
            <w:pPr>
              <w:jc w:val="center"/>
            </w:pPr>
            <w:r>
              <w:rPr>
                <w:rFonts w:ascii="宋体" w:hAnsi="宋体" w:eastAsia="宋体"/>
                <w:sz w:val="16"/>
              </w:rPr>
              <w:t>20</w:t>
            </w:r>
          </w:p>
        </w:tc>
      </w:tr>
      <w:tr w14:paraId="53B04A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6E46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2759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C29C3">
            <w:pPr>
              <w:jc w:val="center"/>
            </w:pPr>
            <w:r>
              <w:rPr>
                <w:rFonts w:ascii="宋体" w:hAnsi="宋体" w:eastAsia="宋体"/>
                <w:sz w:val="16"/>
              </w:rPr>
              <w:t>依法审理案件结案数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CF436">
            <w:pPr>
              <w:jc w:val="center"/>
            </w:pPr>
            <w:r>
              <w:rPr>
                <w:rFonts w:ascii="宋体" w:hAnsi="宋体" w:eastAsia="宋体"/>
                <w:sz w:val="16"/>
              </w:rPr>
              <w:t>&gt;=851件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AC335">
            <w:pPr>
              <w:jc w:val="center"/>
            </w:pPr>
            <w:r>
              <w:rPr>
                <w:rFonts w:ascii="宋体" w:hAnsi="宋体" w:eastAsia="宋体"/>
                <w:sz w:val="16"/>
              </w:rPr>
              <w:t>《塔县人民法院2023年工作报告》《塔县人民法院2024年工作计划》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C90B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2437C">
            <w:pPr>
              <w:jc w:val="center"/>
            </w:pPr>
            <w:r>
              <w:rPr>
                <w:rFonts w:ascii="宋体" w:hAnsi="宋体" w:eastAsia="宋体"/>
                <w:sz w:val="16"/>
              </w:rPr>
              <w:t>849件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61C62">
            <w:pPr>
              <w:jc w:val="center"/>
            </w:pPr>
            <w:r>
              <w:rPr>
                <w:rFonts w:ascii="宋体" w:hAnsi="宋体" w:eastAsia="宋体"/>
                <w:sz w:val="16"/>
              </w:rPr>
              <w:t>99.76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6898F">
            <w:pPr>
              <w:jc w:val="center"/>
            </w:pPr>
            <w:r>
              <w:rPr>
                <w:rFonts w:ascii="宋体" w:hAnsi="宋体" w:eastAsia="宋体"/>
                <w:sz w:val="16"/>
              </w:rPr>
              <w:t>19.8</w:t>
            </w:r>
          </w:p>
        </w:tc>
      </w:tr>
      <w:tr w14:paraId="158135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D1B5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D8AC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A8D9B">
            <w:pPr>
              <w:jc w:val="center"/>
            </w:pPr>
            <w:r>
              <w:rPr>
                <w:rFonts w:ascii="宋体" w:hAnsi="宋体" w:eastAsia="宋体"/>
                <w:sz w:val="16"/>
              </w:rPr>
              <w:t>依法受理网上立案案件数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2F6A0">
            <w:pPr>
              <w:jc w:val="center"/>
            </w:pPr>
            <w:r>
              <w:rPr>
                <w:rFonts w:ascii="宋体" w:hAnsi="宋体" w:eastAsia="宋体"/>
                <w:sz w:val="16"/>
              </w:rPr>
              <w:t>&gt;=447件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03D05">
            <w:pPr>
              <w:jc w:val="center"/>
            </w:pPr>
            <w:r>
              <w:rPr>
                <w:rFonts w:ascii="宋体" w:hAnsi="宋体" w:eastAsia="宋体"/>
                <w:sz w:val="16"/>
              </w:rPr>
              <w:t>《塔县人民法院2023年工作报告》《塔县人民法院2024年工作计划》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EF2F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77362">
            <w:pPr>
              <w:jc w:val="center"/>
            </w:pPr>
            <w:r>
              <w:rPr>
                <w:rFonts w:ascii="宋体" w:hAnsi="宋体" w:eastAsia="宋体"/>
                <w:sz w:val="16"/>
              </w:rPr>
              <w:t>594件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73FCC">
            <w:pPr>
              <w:jc w:val="center"/>
            </w:pPr>
            <w:r>
              <w:rPr>
                <w:rFonts w:ascii="宋体" w:hAnsi="宋体" w:eastAsia="宋体"/>
                <w:sz w:val="16"/>
              </w:rPr>
              <w:t>106.04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8CC23">
            <w:pPr>
              <w:jc w:val="center"/>
            </w:pPr>
            <w:r>
              <w:rPr>
                <w:rFonts w:ascii="宋体" w:hAnsi="宋体" w:eastAsia="宋体"/>
                <w:sz w:val="16"/>
              </w:rPr>
              <w:t>20</w:t>
            </w:r>
          </w:p>
        </w:tc>
      </w:tr>
      <w:tr w14:paraId="265BAD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70436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917C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91BD6">
            <w:pPr>
              <w:jc w:val="center"/>
            </w:pPr>
            <w:r>
              <w:rPr>
                <w:rFonts w:ascii="宋体" w:hAnsi="宋体" w:eastAsia="宋体"/>
                <w:sz w:val="16"/>
              </w:rPr>
              <w:t>依法受理案件结案数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64425">
            <w:pPr>
              <w:jc w:val="center"/>
            </w:pPr>
            <w:r>
              <w:rPr>
                <w:rFonts w:ascii="宋体" w:hAnsi="宋体" w:eastAsia="宋体"/>
                <w:sz w:val="16"/>
              </w:rPr>
              <w:t>&gt;=851件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48D6F">
            <w:pPr>
              <w:jc w:val="center"/>
            </w:pPr>
            <w:r>
              <w:rPr>
                <w:rFonts w:ascii="宋体" w:hAnsi="宋体" w:eastAsia="宋体"/>
                <w:sz w:val="16"/>
              </w:rPr>
              <w:t>《塔县人民法院2023年工作报告》《塔县人民法院2024年工作计划》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AA22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D3BEC">
            <w:pPr>
              <w:jc w:val="center"/>
            </w:pPr>
            <w:r>
              <w:rPr>
                <w:rFonts w:ascii="宋体" w:hAnsi="宋体" w:eastAsia="宋体"/>
                <w:sz w:val="16"/>
              </w:rPr>
              <w:t>849件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DF2A3">
            <w:pPr>
              <w:jc w:val="center"/>
            </w:pPr>
            <w:r>
              <w:rPr>
                <w:rFonts w:ascii="宋体" w:hAnsi="宋体" w:eastAsia="宋体"/>
                <w:sz w:val="16"/>
              </w:rPr>
              <w:t>99.76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B1B3F">
            <w:pPr>
              <w:jc w:val="center"/>
            </w:pPr>
            <w:r>
              <w:rPr>
                <w:rFonts w:ascii="宋体" w:hAnsi="宋体" w:eastAsia="宋体"/>
                <w:sz w:val="16"/>
              </w:rPr>
              <w:t>14.96</w:t>
            </w:r>
          </w:p>
        </w:tc>
      </w:tr>
      <w:tr w14:paraId="37C42A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DABD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CFFC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78E59">
            <w:pPr>
              <w:jc w:val="center"/>
            </w:pPr>
            <w:r>
              <w:rPr>
                <w:rFonts w:ascii="宋体" w:hAnsi="宋体" w:eastAsia="宋体"/>
                <w:sz w:val="16"/>
              </w:rPr>
              <w:t>诉讼案件法庭审限内结案率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376D6">
            <w:pPr>
              <w:jc w:val="center"/>
            </w:pPr>
            <w:r>
              <w:rPr>
                <w:rFonts w:ascii="宋体" w:hAnsi="宋体" w:eastAsia="宋体"/>
                <w:sz w:val="16"/>
              </w:rPr>
              <w:t>&gt;=97.21%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D39F0">
            <w:pPr>
              <w:jc w:val="center"/>
            </w:pPr>
            <w:r>
              <w:rPr>
                <w:rFonts w:ascii="宋体" w:hAnsi="宋体" w:eastAsia="宋体"/>
                <w:sz w:val="16"/>
              </w:rPr>
              <w:t>《塔县人民法院2023年工作报告》《塔县人民法院2024年工作计划》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DC00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55B28">
            <w:pPr>
              <w:jc w:val="center"/>
            </w:pPr>
            <w:r>
              <w:rPr>
                <w:rFonts w:ascii="宋体" w:hAnsi="宋体" w:eastAsia="宋体"/>
                <w:sz w:val="16"/>
              </w:rPr>
              <w:t>99.61%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4393B">
            <w:pPr>
              <w:jc w:val="center"/>
            </w:pPr>
            <w:r>
              <w:rPr>
                <w:rFonts w:ascii="宋体" w:hAnsi="宋体" w:eastAsia="宋体"/>
                <w:sz w:val="16"/>
              </w:rPr>
              <w:t>102.47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A75DB">
            <w:pPr>
              <w:jc w:val="center"/>
            </w:pPr>
            <w:r>
              <w:rPr>
                <w:rFonts w:ascii="宋体" w:hAnsi="宋体" w:eastAsia="宋体"/>
                <w:sz w:val="16"/>
              </w:rPr>
              <w:t>15</w:t>
            </w:r>
          </w:p>
        </w:tc>
      </w:tr>
    </w:tbl>
    <w:p w14:paraId="2FD5789B">
      <w:r>
        <w:br w:type="page"/>
      </w:r>
    </w:p>
    <w:tbl>
      <w:tblPr>
        <w:tblStyle w:val="9"/>
        <w:tblW w:w="0" w:type="auto"/>
        <w:tblInd w:w="0" w:type="dxa"/>
        <w:tblLayout w:type="autofit"/>
        <w:tblCellMar>
          <w:top w:w="0" w:type="dxa"/>
          <w:left w:w="108" w:type="dxa"/>
          <w:bottom w:w="0" w:type="dxa"/>
          <w:right w:w="108" w:type="dxa"/>
        </w:tblCellMar>
      </w:tblPr>
      <w:tblGrid>
        <w:gridCol w:w="621"/>
        <w:gridCol w:w="601"/>
        <w:gridCol w:w="601"/>
        <w:gridCol w:w="601"/>
        <w:gridCol w:w="936"/>
        <w:gridCol w:w="601"/>
        <w:gridCol w:w="601"/>
        <w:gridCol w:w="611"/>
        <w:gridCol w:w="601"/>
        <w:gridCol w:w="601"/>
        <w:gridCol w:w="856"/>
        <w:gridCol w:w="633"/>
        <w:gridCol w:w="565"/>
        <w:gridCol w:w="631"/>
      </w:tblGrid>
      <w:tr w14:paraId="6BF60185">
        <w:tblPrEx>
          <w:tblCellMar>
            <w:top w:w="0" w:type="dxa"/>
            <w:left w:w="108" w:type="dxa"/>
            <w:bottom w:w="0" w:type="dxa"/>
            <w:right w:w="108" w:type="dxa"/>
          </w:tblCellMar>
        </w:tblPrEx>
        <w:tc>
          <w:tcPr>
            <w:tcW w:w="8848" w:type="dxa"/>
            <w:gridSpan w:val="14"/>
            <w:vAlign w:val="center"/>
          </w:tcPr>
          <w:p w14:paraId="2A45416B">
            <w:pPr>
              <w:jc w:val="center"/>
            </w:pPr>
            <w:r>
              <w:rPr>
                <w:rFonts w:ascii="宋体" w:hAnsi="宋体" w:eastAsia="宋体"/>
                <w:sz w:val="24"/>
              </w:rPr>
              <w:t>项目支出绩效自评表</w:t>
            </w:r>
          </w:p>
        </w:tc>
      </w:tr>
      <w:tr w14:paraId="010AA1F5">
        <w:tblPrEx>
          <w:tblCellMar>
            <w:top w:w="0" w:type="dxa"/>
            <w:left w:w="108" w:type="dxa"/>
            <w:bottom w:w="0" w:type="dxa"/>
            <w:right w:w="108" w:type="dxa"/>
          </w:tblCellMar>
        </w:tblPrEx>
        <w:tc>
          <w:tcPr>
            <w:tcW w:w="8848" w:type="dxa"/>
            <w:gridSpan w:val="14"/>
            <w:vAlign w:val="center"/>
          </w:tcPr>
          <w:p w14:paraId="593C115A">
            <w:pPr>
              <w:jc w:val="center"/>
            </w:pPr>
            <w:r>
              <w:rPr>
                <w:rFonts w:ascii="宋体" w:hAnsi="宋体" w:eastAsia="宋体"/>
                <w:sz w:val="24"/>
              </w:rPr>
              <w:t>(2024年度)</w:t>
            </w:r>
          </w:p>
        </w:tc>
      </w:tr>
      <w:tr w14:paraId="6795D5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9E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D8FAD0">
            <w:pPr>
              <w:jc w:val="center"/>
            </w:pPr>
            <w:r>
              <w:rPr>
                <w:rFonts w:ascii="宋体" w:hAnsi="宋体" w:eastAsia="宋体"/>
                <w:sz w:val="16"/>
              </w:rPr>
              <w:t>综合业务保障项目</w:t>
            </w:r>
          </w:p>
        </w:tc>
      </w:tr>
      <w:tr w14:paraId="4E6A11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B8F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10E38">
            <w:pPr>
              <w:jc w:val="center"/>
            </w:pPr>
            <w:r>
              <w:rPr>
                <w:rFonts w:ascii="宋体" w:hAnsi="宋体" w:eastAsia="宋体"/>
                <w:sz w:val="16"/>
              </w:rPr>
              <w:t>喀什地区中级人民法院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87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2B72C7">
            <w:pPr>
              <w:jc w:val="center"/>
            </w:pPr>
            <w:r>
              <w:rPr>
                <w:rFonts w:ascii="宋体" w:hAnsi="宋体" w:eastAsia="宋体"/>
                <w:sz w:val="16"/>
              </w:rPr>
              <w:t>塔什库尔干塔吉克自治县人民法院</w:t>
            </w:r>
          </w:p>
        </w:tc>
      </w:tr>
      <w:tr w14:paraId="7CE0FA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956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F9A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BED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1AD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BF1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B3C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EA1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F6D0">
            <w:pPr>
              <w:jc w:val="center"/>
            </w:pPr>
            <w:r>
              <w:rPr>
                <w:rFonts w:ascii="宋体" w:hAnsi="宋体" w:eastAsia="宋体"/>
                <w:sz w:val="16"/>
              </w:rPr>
              <w:t>得分</w:t>
            </w:r>
          </w:p>
        </w:tc>
      </w:tr>
      <w:tr w14:paraId="12FDDB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869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96A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1B6DD">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77FE5">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5FCA9">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625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FF1B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6D52">
            <w:pPr>
              <w:jc w:val="center"/>
            </w:pPr>
            <w:r>
              <w:rPr>
                <w:rFonts w:ascii="宋体" w:hAnsi="宋体" w:eastAsia="宋体"/>
                <w:sz w:val="16"/>
              </w:rPr>
              <w:t>10.00分</w:t>
            </w:r>
          </w:p>
        </w:tc>
      </w:tr>
      <w:tr w14:paraId="63478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60C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537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265A6">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9DAE0">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ED397">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B3F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993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53CF">
            <w:pPr>
              <w:jc w:val="center"/>
            </w:pPr>
            <w:r>
              <w:rPr>
                <w:rFonts w:ascii="宋体" w:hAnsi="宋体" w:eastAsia="宋体"/>
                <w:sz w:val="16"/>
              </w:rPr>
              <w:t>—</w:t>
            </w:r>
          </w:p>
        </w:tc>
      </w:tr>
      <w:tr w14:paraId="23949B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AE0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B64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589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07C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3A2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969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AE2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2F24">
            <w:pPr>
              <w:jc w:val="center"/>
            </w:pPr>
            <w:r>
              <w:rPr>
                <w:rFonts w:ascii="宋体" w:hAnsi="宋体" w:eastAsia="宋体"/>
                <w:sz w:val="16"/>
              </w:rPr>
              <w:t>—</w:t>
            </w:r>
          </w:p>
        </w:tc>
      </w:tr>
      <w:tr w14:paraId="637563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FD56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A7B07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EAC524">
            <w:pPr>
              <w:jc w:val="center"/>
            </w:pPr>
            <w:r>
              <w:rPr>
                <w:rFonts w:ascii="宋体" w:hAnsi="宋体" w:eastAsia="宋体"/>
                <w:sz w:val="16"/>
              </w:rPr>
              <w:t>实际完成情况</w:t>
            </w:r>
          </w:p>
        </w:tc>
      </w:tr>
      <w:tr w14:paraId="316DA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0B2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BC641A">
            <w:pPr>
              <w:jc w:val="both"/>
            </w:pPr>
            <w:r>
              <w:rPr>
                <w:rFonts w:ascii="宋体" w:hAnsi="宋体" w:eastAsia="宋体"/>
                <w:sz w:val="16"/>
              </w:rPr>
              <w:t>本项目用于打造全院绿化带的维修维护，单位楼内电路维修维护以及单位食堂液化气等食堂用品采买，从而进一步提升干警的生活质量以及保障干警人身安全。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4CE99E">
            <w:pPr>
              <w:jc w:val="both"/>
            </w:pPr>
            <w:r>
              <w:rPr>
                <w:rFonts w:ascii="宋体" w:hAnsi="宋体" w:eastAsia="宋体"/>
                <w:sz w:val="16"/>
              </w:rPr>
              <w:t>本项目4.96万元，</w:t>
            </w:r>
            <w:r>
              <w:rPr>
                <w:rFonts w:hint="eastAsia" w:ascii="宋体" w:hAnsi="宋体"/>
                <w:sz w:val="16"/>
                <w:lang w:eastAsia="zh-CN"/>
              </w:rPr>
              <w:t>截至2024</w:t>
            </w:r>
            <w:r>
              <w:rPr>
                <w:rFonts w:ascii="宋体" w:hAnsi="宋体" w:eastAsia="宋体"/>
                <w:sz w:val="16"/>
              </w:rPr>
              <w:t>年12月25日，项目实施完毕用于打造全院绿化带的维修维护，单位楼内电路维修维护以及单位食堂液化气等食堂用品采买，从而进一步提升了干警的生活质量以及保障干警人身安全。</w:t>
            </w:r>
          </w:p>
        </w:tc>
      </w:tr>
      <w:tr w14:paraId="6F7F74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E023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4C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B9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8F1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64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2B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F6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FC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CF4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EED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32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81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C5EEF">
            <w:pPr>
              <w:jc w:val="center"/>
            </w:pPr>
            <w:r>
              <w:rPr>
                <w:rFonts w:ascii="宋体" w:hAnsi="宋体" w:eastAsia="宋体"/>
                <w:sz w:val="16"/>
              </w:rPr>
              <w:t>偏差原因分析及改进措施</w:t>
            </w:r>
          </w:p>
        </w:tc>
      </w:tr>
      <w:tr w14:paraId="1E8756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A36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573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00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E3F2">
            <w:pPr>
              <w:jc w:val="center"/>
            </w:pPr>
            <w:r>
              <w:rPr>
                <w:rFonts w:ascii="宋体" w:hAnsi="宋体" w:eastAsia="宋体"/>
                <w:sz w:val="16"/>
              </w:rPr>
              <w:t>保障运转人数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4687">
            <w:pPr>
              <w:jc w:val="center"/>
            </w:pPr>
            <w:r>
              <w:rPr>
                <w:rFonts w:ascii="宋体" w:hAnsi="宋体" w:eastAsia="宋体"/>
                <w:sz w:val="16"/>
              </w:rPr>
              <w:t>&gt;=39人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7E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B8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89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61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B62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01F9">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16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4ED14">
            <w:pPr>
              <w:jc w:val="center"/>
            </w:pPr>
          </w:p>
        </w:tc>
      </w:tr>
      <w:tr w14:paraId="303C7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1E5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021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880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D7C3">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41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B6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BB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A8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04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B8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80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59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30A32">
            <w:pPr>
              <w:jc w:val="center"/>
            </w:pPr>
          </w:p>
        </w:tc>
      </w:tr>
      <w:tr w14:paraId="05EC4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D41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A23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CBA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49F1">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CBB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1B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24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B6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6F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3B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9C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76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EECB0">
            <w:pPr>
              <w:jc w:val="center"/>
            </w:pPr>
          </w:p>
        </w:tc>
      </w:tr>
      <w:tr w14:paraId="08E17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89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0D7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A6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C53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2F7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D6A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2A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95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05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59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3E3D">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CD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F3FB8">
            <w:pPr>
              <w:jc w:val="center"/>
            </w:pPr>
          </w:p>
        </w:tc>
      </w:tr>
      <w:tr w14:paraId="48280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E4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AE7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D1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D65F">
            <w:pPr>
              <w:jc w:val="center"/>
            </w:pPr>
            <w:r>
              <w:rPr>
                <w:rFonts w:ascii="宋体" w:hAnsi="宋体" w:eastAsia="宋体"/>
                <w:sz w:val="16"/>
              </w:rPr>
              <w:t>保障运转人均成本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2C21A">
            <w:pPr>
              <w:jc w:val="center"/>
            </w:pPr>
            <w:r>
              <w:rPr>
                <w:rFonts w:ascii="宋体" w:hAnsi="宋体" w:eastAsia="宋体"/>
                <w:sz w:val="16"/>
              </w:rPr>
              <w:t>&lt;=1271.79元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B6A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36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CF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30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2B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B140F">
            <w:pPr>
              <w:jc w:val="center"/>
            </w:pPr>
            <w:r>
              <w:rPr>
                <w:rFonts w:ascii="宋体" w:hAnsi="宋体" w:eastAsia="宋体"/>
                <w:sz w:val="16"/>
              </w:rPr>
              <w:t>=1271.79元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D90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F8AC7">
            <w:pPr>
              <w:jc w:val="center"/>
            </w:pPr>
          </w:p>
        </w:tc>
      </w:tr>
      <w:tr w14:paraId="72EC3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FC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DD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B77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F150">
            <w:pPr>
              <w:jc w:val="center"/>
            </w:pPr>
            <w:r>
              <w:rPr>
                <w:rFonts w:ascii="宋体" w:hAnsi="宋体" w:eastAsia="宋体"/>
                <w:sz w:val="16"/>
              </w:rPr>
              <w:t>提升干警人身安全保障率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2FF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A2A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DA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F6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27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93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F5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8E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3CC79">
            <w:pPr>
              <w:jc w:val="center"/>
            </w:pPr>
          </w:p>
        </w:tc>
      </w:tr>
      <w:tr w14:paraId="2290C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56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D8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9B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5DDC">
            <w:pPr>
              <w:jc w:val="center"/>
            </w:pPr>
            <w:r>
              <w:rPr>
                <w:rFonts w:ascii="宋体" w:hAnsi="宋体" w:eastAsia="宋体"/>
                <w:sz w:val="16"/>
              </w:rPr>
              <w:t>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16D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CE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4E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5F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0E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98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AD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91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23859">
            <w:pPr>
              <w:jc w:val="center"/>
            </w:pPr>
            <w:r>
              <w:rPr>
                <w:rFonts w:ascii="宋体" w:hAnsi="宋体" w:eastAsia="宋体"/>
                <w:sz w:val="16"/>
              </w:rPr>
              <w:t>项目</w:t>
            </w:r>
            <w:r>
              <w:rPr>
                <w:rFonts w:hint="eastAsia" w:ascii="宋体" w:hAnsi="宋体"/>
                <w:sz w:val="16"/>
                <w:lang w:eastAsia="zh-CN"/>
              </w:rPr>
              <w:t>的</w:t>
            </w:r>
            <w:r>
              <w:rPr>
                <w:rFonts w:ascii="宋体" w:hAnsi="宋体" w:eastAsia="宋体"/>
                <w:sz w:val="16"/>
              </w:rPr>
              <w:t>有效开展，提升了干警的服务意识，从而使满意度提高</w:t>
            </w:r>
          </w:p>
        </w:tc>
      </w:tr>
      <w:tr w14:paraId="766ED3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80F3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893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0101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B8A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31B88C"/>
        </w:tc>
      </w:tr>
    </w:tbl>
    <w:p w14:paraId="1E1F9843">
      <w:r>
        <w:br w:type="page"/>
      </w:r>
    </w:p>
    <w:p w14:paraId="7C612420">
      <w:pPr>
        <w:spacing w:line="640" w:lineRule="exact"/>
        <w:ind w:firstLine="640"/>
        <w:jc w:val="both"/>
        <w:outlineLvl w:val="2"/>
      </w:pPr>
      <w:r>
        <w:rPr>
          <w:rFonts w:ascii="黑体" w:hAnsi="黑体" w:eastAsia="黑体"/>
          <w:sz w:val="32"/>
        </w:rPr>
        <w:t>十二、其他需说明的事项</w:t>
      </w:r>
    </w:p>
    <w:p w14:paraId="4DD82023">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项目11个，全年预算数393.80万元，全年执行数318.04万元。</w:t>
      </w:r>
      <w:bookmarkStart w:id="0" w:name="_GoBack"/>
      <w:bookmarkEnd w:id="0"/>
    </w:p>
    <w:p w14:paraId="32DABCA6">
      <w:r>
        <w:br w:type="page"/>
      </w:r>
    </w:p>
    <w:p w14:paraId="3E96D73B">
      <w:pPr>
        <w:spacing w:line="240" w:lineRule="auto"/>
        <w:jc w:val="center"/>
        <w:outlineLvl w:val="1"/>
      </w:pPr>
      <w:r>
        <w:rPr>
          <w:rFonts w:ascii="黑体" w:hAnsi="黑体" w:eastAsia="黑体"/>
          <w:sz w:val="32"/>
        </w:rPr>
        <w:t>第三部分 专业名词解释</w:t>
      </w:r>
    </w:p>
    <w:p w14:paraId="0C1F468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128FB5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080F85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70908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FABA4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3A120C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0A38A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798F83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F6095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CB332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3CA138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E47201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2E7347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037339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71D9445">
      <w:r>
        <w:br w:type="page"/>
      </w:r>
    </w:p>
    <w:p w14:paraId="76EB3485">
      <w:pPr>
        <w:spacing w:line="240" w:lineRule="auto"/>
        <w:jc w:val="center"/>
        <w:outlineLvl w:val="1"/>
      </w:pPr>
      <w:r>
        <w:rPr>
          <w:rFonts w:ascii="黑体" w:hAnsi="黑体" w:eastAsia="黑体"/>
          <w:sz w:val="32"/>
        </w:rPr>
        <w:t>第四部分 部门决算报表（见附表）</w:t>
      </w:r>
    </w:p>
    <w:p w14:paraId="676E66AE">
      <w:pPr>
        <w:spacing w:line="240" w:lineRule="auto"/>
        <w:ind w:firstLine="640"/>
        <w:jc w:val="both"/>
      </w:pPr>
      <w:r>
        <w:rPr>
          <w:rFonts w:ascii="仿宋_GB2312" w:hAnsi="仿宋_GB2312" w:eastAsia="仿宋_GB2312"/>
          <w:b w:val="0"/>
          <w:sz w:val="32"/>
        </w:rPr>
        <w:t>一、《收入支出决算总表》</w:t>
      </w:r>
    </w:p>
    <w:p w14:paraId="30522FBC">
      <w:pPr>
        <w:spacing w:line="240" w:lineRule="auto"/>
        <w:ind w:firstLine="640"/>
        <w:jc w:val="both"/>
      </w:pPr>
      <w:r>
        <w:rPr>
          <w:rFonts w:ascii="仿宋_GB2312" w:hAnsi="仿宋_GB2312" w:eastAsia="仿宋_GB2312"/>
          <w:b w:val="0"/>
          <w:sz w:val="32"/>
        </w:rPr>
        <w:t>二、《收入决算表》</w:t>
      </w:r>
    </w:p>
    <w:p w14:paraId="357F50FD">
      <w:pPr>
        <w:spacing w:line="240" w:lineRule="auto"/>
        <w:ind w:firstLine="640"/>
        <w:jc w:val="both"/>
      </w:pPr>
      <w:r>
        <w:rPr>
          <w:rFonts w:ascii="仿宋_GB2312" w:hAnsi="仿宋_GB2312" w:eastAsia="仿宋_GB2312"/>
          <w:b w:val="0"/>
          <w:sz w:val="32"/>
        </w:rPr>
        <w:t>三、《支出决算表》</w:t>
      </w:r>
    </w:p>
    <w:p w14:paraId="7D494457">
      <w:pPr>
        <w:spacing w:line="240" w:lineRule="auto"/>
        <w:ind w:firstLine="640"/>
        <w:jc w:val="both"/>
      </w:pPr>
      <w:r>
        <w:rPr>
          <w:rFonts w:ascii="仿宋_GB2312" w:hAnsi="仿宋_GB2312" w:eastAsia="仿宋_GB2312"/>
          <w:b w:val="0"/>
          <w:sz w:val="32"/>
        </w:rPr>
        <w:t>四、《财政拨款收入支出决算总表》</w:t>
      </w:r>
    </w:p>
    <w:p w14:paraId="6C44B45A">
      <w:pPr>
        <w:spacing w:line="240" w:lineRule="auto"/>
        <w:ind w:firstLine="640"/>
        <w:jc w:val="both"/>
      </w:pPr>
      <w:r>
        <w:rPr>
          <w:rFonts w:ascii="仿宋_GB2312" w:hAnsi="仿宋_GB2312" w:eastAsia="仿宋_GB2312"/>
          <w:b w:val="0"/>
          <w:sz w:val="32"/>
        </w:rPr>
        <w:t>五、《一般公共预算财政拨款支出决算表》</w:t>
      </w:r>
    </w:p>
    <w:p w14:paraId="2154E7EE">
      <w:pPr>
        <w:spacing w:line="240" w:lineRule="auto"/>
        <w:ind w:firstLine="640"/>
        <w:jc w:val="both"/>
      </w:pPr>
      <w:r>
        <w:rPr>
          <w:rFonts w:ascii="仿宋_GB2312" w:hAnsi="仿宋_GB2312" w:eastAsia="仿宋_GB2312"/>
          <w:b w:val="0"/>
          <w:sz w:val="32"/>
        </w:rPr>
        <w:t>六、《一般公共预算财政拨款基本支出决算表》</w:t>
      </w:r>
    </w:p>
    <w:p w14:paraId="3ACABE6B">
      <w:pPr>
        <w:spacing w:line="240" w:lineRule="auto"/>
        <w:ind w:firstLine="640"/>
        <w:jc w:val="both"/>
      </w:pPr>
      <w:r>
        <w:rPr>
          <w:rFonts w:ascii="仿宋_GB2312" w:hAnsi="仿宋_GB2312" w:eastAsia="仿宋_GB2312"/>
          <w:b w:val="0"/>
          <w:sz w:val="32"/>
        </w:rPr>
        <w:t>七、《政府性基金预算财政拨款收入支出决算表》</w:t>
      </w:r>
    </w:p>
    <w:p w14:paraId="7D0E65D4">
      <w:pPr>
        <w:spacing w:line="240" w:lineRule="auto"/>
        <w:ind w:firstLine="640"/>
        <w:jc w:val="both"/>
      </w:pPr>
      <w:r>
        <w:rPr>
          <w:rFonts w:ascii="仿宋_GB2312" w:hAnsi="仿宋_GB2312" w:eastAsia="仿宋_GB2312"/>
          <w:b w:val="0"/>
          <w:sz w:val="32"/>
        </w:rPr>
        <w:t>八、《国有资本经营预算财政拨款收入支出决算表》</w:t>
      </w:r>
    </w:p>
    <w:p w14:paraId="1AF0C4EF">
      <w:pPr>
        <w:spacing w:line="240" w:lineRule="auto"/>
        <w:ind w:firstLine="640"/>
        <w:jc w:val="both"/>
      </w:pPr>
      <w:r>
        <w:rPr>
          <w:rFonts w:ascii="仿宋_GB2312" w:hAnsi="仿宋_GB2312" w:eastAsia="仿宋_GB2312"/>
          <w:b w:val="0"/>
          <w:sz w:val="32"/>
        </w:rPr>
        <w:t>九、《财政拨款“三公”经费支出决算表》</w:t>
      </w:r>
    </w:p>
    <w:p w14:paraId="3499A0FF">
      <w:pPr>
        <w:spacing w:line="240" w:lineRule="auto"/>
        <w:ind w:firstLine="640"/>
        <w:jc w:val="both"/>
      </w:pPr>
    </w:p>
    <w:p w14:paraId="1C148CA3">
      <w:pPr>
        <w:spacing w:line="240" w:lineRule="auto"/>
        <w:ind w:firstLine="640"/>
        <w:jc w:val="both"/>
      </w:pPr>
    </w:p>
    <w:p w14:paraId="4B16F449">
      <w:pPr>
        <w:spacing w:line="240" w:lineRule="auto"/>
        <w:ind w:firstLine="640"/>
        <w:jc w:val="both"/>
      </w:pPr>
    </w:p>
    <w:p w14:paraId="49305341">
      <w:pPr>
        <w:spacing w:line="240" w:lineRule="auto"/>
        <w:ind w:firstLine="640"/>
        <w:jc w:val="both"/>
      </w:pPr>
    </w:p>
    <w:p w14:paraId="294193D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9969C8-9B96-46CD-B7D3-EE8AE125BC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629B8AC-12AB-434D-94EB-5576A51615DD}"/>
  </w:font>
  <w:font w:name="方正小标宋_GBK">
    <w:panose1 w:val="02000000000000000000"/>
    <w:charset w:val="86"/>
    <w:family w:val="script"/>
    <w:pitch w:val="default"/>
    <w:sig w:usb0="A00002BF" w:usb1="38CF7CFA" w:usb2="00082016" w:usb3="00000000" w:csb0="00040001" w:csb1="00000000"/>
    <w:embedRegular r:id="rId3" w:fontKey="{9D25DD81-03DF-4CE9-91F9-D847628964F3}"/>
  </w:font>
  <w:font w:name="楷体_GB2312">
    <w:panose1 w:val="02010609030101010101"/>
    <w:charset w:val="86"/>
    <w:family w:val="auto"/>
    <w:pitch w:val="default"/>
    <w:sig w:usb0="00000001" w:usb1="080E0000" w:usb2="00000000" w:usb3="00000000" w:csb0="00040000" w:csb1="00000000"/>
    <w:embedRegular r:id="rId4" w:fontKey="{822C04FB-E21E-493F-A60C-AE8379251CD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80632EC"/>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C320F5"/>
    <w:rsid w:val="4F3F074E"/>
    <w:rsid w:val="50DB5F45"/>
    <w:rsid w:val="52F92565"/>
    <w:rsid w:val="543D17CB"/>
    <w:rsid w:val="55DA564E"/>
    <w:rsid w:val="56E07045"/>
    <w:rsid w:val="58264D78"/>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CA2354"/>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6111</Words>
  <Characters>7051</Characters>
  <Lines>0</Lines>
  <Paragraphs>0</Paragraphs>
  <TotalTime>7</TotalTime>
  <ScaleCrop>false</ScaleCrop>
  <LinksUpToDate>false</LinksUpToDate>
  <CharactersWithSpaces>7059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2025-09-28T11:55:56Z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