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E3BBA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岳普湖县人民检察院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50AF04">
      <w:r>
        <w:br w:type="page"/>
      </w:r>
    </w:p>
    <w:p w14:paraId="604301D8">
      <w:pPr>
        <w:spacing w:line="640" w:lineRule="exact"/>
        <w:jc w:val="center"/>
        <w:outlineLvl w:val="1"/>
      </w:pPr>
      <w:r>
        <w:rPr>
          <w:rFonts w:ascii="黑体" w:hAnsi="黑体" w:eastAsia="黑体"/>
          <w:sz w:val="32"/>
        </w:rPr>
        <w:t>第一部分 部门概况</w:t>
      </w:r>
    </w:p>
    <w:p w14:paraId="752ACBE7">
      <w:pPr>
        <w:spacing w:line="640" w:lineRule="exact"/>
        <w:ind w:firstLine="640"/>
        <w:jc w:val="both"/>
        <w:outlineLvl w:val="2"/>
      </w:pPr>
      <w:r>
        <w:rPr>
          <w:rFonts w:ascii="黑体" w:hAnsi="黑体" w:eastAsia="黑体"/>
          <w:sz w:val="32"/>
        </w:rPr>
        <w:t>一、主要职能</w:t>
      </w:r>
    </w:p>
    <w:p w14:paraId="18EB625F">
      <w:pPr>
        <w:spacing w:line="580" w:lineRule="exact"/>
        <w:ind w:firstLine="640"/>
        <w:jc w:val="both"/>
      </w:pPr>
      <w:r>
        <w:rPr>
          <w:rFonts w:ascii="仿宋_GB2312" w:hAnsi="仿宋_GB2312" w:eastAsia="仿宋_GB2312"/>
          <w:sz w:val="32"/>
        </w:rPr>
        <w:t>1、领导全院检察工作，贯彻执行检察工作方针，安排部署各项检察工作任务。</w:t>
      </w:r>
    </w:p>
    <w:p w14:paraId="09684F6E">
      <w:pPr>
        <w:spacing w:line="580" w:lineRule="exact"/>
        <w:ind w:firstLine="640"/>
        <w:jc w:val="both"/>
      </w:pPr>
      <w:r>
        <w:rPr>
          <w:rFonts w:ascii="仿宋_GB2312" w:hAnsi="仿宋_GB2312" w:eastAsia="仿宋_GB2312"/>
          <w:sz w:val="32"/>
        </w:rPr>
        <w:t>2、对县人民代表大会及其常委会和喀什地区检察分院负责并报告工作，接受县人民代表大会及其常委会的监督。</w:t>
      </w:r>
    </w:p>
    <w:p w14:paraId="0C1B8F64">
      <w:pPr>
        <w:spacing w:line="580" w:lineRule="exact"/>
        <w:ind w:firstLine="640"/>
        <w:jc w:val="both"/>
      </w:pPr>
      <w:r>
        <w:rPr>
          <w:rFonts w:ascii="仿宋_GB2312" w:hAnsi="仿宋_GB2312" w:eastAsia="仿宋_GB2312"/>
          <w:sz w:val="32"/>
        </w:rPr>
        <w:t>3、依法向人民代表大会及其常委会提出方案。</w:t>
      </w:r>
    </w:p>
    <w:p w14:paraId="55E6F31D">
      <w:pPr>
        <w:spacing w:line="580" w:lineRule="exact"/>
        <w:ind w:firstLine="640"/>
        <w:jc w:val="both"/>
      </w:pPr>
      <w:r>
        <w:rPr>
          <w:rFonts w:ascii="仿宋_GB2312" w:hAnsi="仿宋_GB2312" w:eastAsia="仿宋_GB2312"/>
          <w:sz w:val="32"/>
        </w:rPr>
        <w:t>4、对于公安机关等侦查机关侦查的案件，依法审查批准逮捕、决定逮捕、提起公诉。</w:t>
      </w:r>
    </w:p>
    <w:p w14:paraId="323A5202">
      <w:pPr>
        <w:spacing w:line="580" w:lineRule="exact"/>
        <w:ind w:firstLine="640"/>
        <w:jc w:val="both"/>
      </w:pPr>
      <w:r>
        <w:rPr>
          <w:rFonts w:ascii="仿宋_GB2312" w:hAnsi="仿宋_GB2312" w:eastAsia="仿宋_GB2312"/>
          <w:sz w:val="32"/>
        </w:rPr>
        <w:t>5、依法对侦查机关的侦查活动是否合法实行监督。</w:t>
      </w:r>
    </w:p>
    <w:p w14:paraId="311F3426">
      <w:pPr>
        <w:spacing w:line="580" w:lineRule="exact"/>
        <w:ind w:firstLine="640"/>
        <w:jc w:val="both"/>
      </w:pPr>
      <w:r>
        <w:rPr>
          <w:rFonts w:ascii="仿宋_GB2312" w:hAnsi="仿宋_GB2312" w:eastAsia="仿宋_GB2312"/>
          <w:sz w:val="32"/>
        </w:rPr>
        <w:t>6、对于人民法院的刑事判决、裁定是否正确和审判活动是否合法进行监督。</w:t>
      </w:r>
    </w:p>
    <w:p w14:paraId="074722F5">
      <w:pPr>
        <w:spacing w:line="580" w:lineRule="exact"/>
        <w:ind w:firstLine="640"/>
        <w:jc w:val="both"/>
      </w:pPr>
      <w:r>
        <w:rPr>
          <w:rFonts w:ascii="仿宋_GB2312" w:hAnsi="仿宋_GB2312" w:eastAsia="仿宋_GB2312"/>
          <w:sz w:val="32"/>
        </w:rPr>
        <w:t>7、对于监狱、看守所等执行机关执行刑罚活动是否合法实行监督。</w:t>
      </w:r>
    </w:p>
    <w:p w14:paraId="08D24F77">
      <w:pPr>
        <w:spacing w:line="580" w:lineRule="exact"/>
        <w:ind w:firstLine="640"/>
        <w:jc w:val="both"/>
      </w:pPr>
      <w:r>
        <w:rPr>
          <w:rFonts w:ascii="仿宋_GB2312" w:hAnsi="仿宋_GB2312" w:eastAsia="仿宋_GB2312"/>
          <w:sz w:val="32"/>
        </w:rPr>
        <w:t>8、</w:t>
      </w:r>
      <w:r>
        <w:rPr>
          <w:rFonts w:hint="eastAsia" w:ascii="仿宋_GB2312" w:hAnsi="仿宋_GB2312" w:eastAsia="仿宋_GB2312"/>
          <w:sz w:val="32"/>
          <w:lang w:eastAsia="zh-CN"/>
        </w:rPr>
        <w:t>对</w:t>
      </w:r>
      <w:r>
        <w:rPr>
          <w:rFonts w:ascii="仿宋_GB2312" w:hAnsi="仿宋_GB2312" w:eastAsia="仿宋_GB2312"/>
          <w:sz w:val="32"/>
        </w:rPr>
        <w:t>人民法院的民事审判活动实行法律监督。对人民法院已经发生效力的判决、裁定，发现违反法律、法规、规定的依法提请抗诉。</w:t>
      </w:r>
    </w:p>
    <w:p w14:paraId="354BE24C">
      <w:pPr>
        <w:spacing w:line="580" w:lineRule="exact"/>
        <w:ind w:firstLine="640"/>
        <w:jc w:val="both"/>
      </w:pPr>
      <w:r>
        <w:rPr>
          <w:rFonts w:ascii="仿宋_GB2312" w:hAnsi="仿宋_GB2312" w:eastAsia="仿宋_GB2312"/>
          <w:sz w:val="32"/>
        </w:rPr>
        <w:t>9、对于人民法院的行政诉讼活动，实行法律监督。</w:t>
      </w:r>
    </w:p>
    <w:p w14:paraId="41B22A08">
      <w:pPr>
        <w:spacing w:line="580" w:lineRule="exact"/>
        <w:ind w:firstLine="640"/>
        <w:jc w:val="both"/>
      </w:pPr>
      <w:r>
        <w:rPr>
          <w:rFonts w:ascii="仿宋_GB2312" w:hAnsi="仿宋_GB2312" w:eastAsia="仿宋_GB2312"/>
          <w:sz w:val="32"/>
        </w:rPr>
        <w:t>10、受理单位和个人的报案、控告、申诉、举报及犯罪嫌疑人自首。</w:t>
      </w:r>
    </w:p>
    <w:p w14:paraId="6564F86D">
      <w:pPr>
        <w:spacing w:line="580" w:lineRule="exact"/>
        <w:ind w:firstLine="640"/>
        <w:jc w:val="both"/>
      </w:pPr>
      <w:r>
        <w:rPr>
          <w:rFonts w:ascii="仿宋_GB2312" w:hAnsi="仿宋_GB2312" w:eastAsia="仿宋_GB2312"/>
          <w:sz w:val="32"/>
        </w:rPr>
        <w:t>11、对检察工作中，具体应用法律问题进行研究。向立法机关和上级检察机关提出立法和司法解释建议。</w:t>
      </w:r>
    </w:p>
    <w:p w14:paraId="2A8ECE05">
      <w:pPr>
        <w:spacing w:line="580" w:lineRule="exact"/>
        <w:ind w:firstLine="640"/>
        <w:jc w:val="both"/>
      </w:pPr>
      <w:r>
        <w:rPr>
          <w:rFonts w:ascii="仿宋_GB2312" w:hAnsi="仿宋_GB2312" w:eastAsia="仿宋_GB2312"/>
          <w:sz w:val="32"/>
        </w:rPr>
        <w:t>12、负责全院队伍建设、思想政治工作和党建工作。协同组织部门、人事部门管理和考核干部。</w:t>
      </w:r>
    </w:p>
    <w:p w14:paraId="1E4D91BD">
      <w:pPr>
        <w:spacing w:line="580" w:lineRule="exact"/>
        <w:ind w:firstLine="640"/>
        <w:jc w:val="both"/>
      </w:pPr>
      <w:r>
        <w:rPr>
          <w:rFonts w:ascii="仿宋_GB2312" w:hAnsi="仿宋_GB2312" w:eastAsia="仿宋_GB2312"/>
          <w:sz w:val="32"/>
        </w:rPr>
        <w:t>13、组织指导全院检察干部教育培训工作。</w:t>
      </w:r>
    </w:p>
    <w:p w14:paraId="0341892B">
      <w:pPr>
        <w:spacing w:line="580" w:lineRule="exact"/>
        <w:ind w:firstLine="640"/>
        <w:jc w:val="both"/>
      </w:pPr>
      <w:r>
        <w:rPr>
          <w:rFonts w:ascii="仿宋_GB2312" w:hAnsi="仿宋_GB2312" w:eastAsia="仿宋_GB2312"/>
          <w:sz w:val="32"/>
        </w:rPr>
        <w:t>14、负责其他应当由检察院承办的事项。</w:t>
      </w:r>
    </w:p>
    <w:p w14:paraId="3B54540B">
      <w:pPr>
        <w:spacing w:line="640" w:lineRule="exact"/>
        <w:ind w:firstLine="640"/>
        <w:jc w:val="both"/>
        <w:outlineLvl w:val="2"/>
      </w:pPr>
      <w:r>
        <w:rPr>
          <w:rFonts w:ascii="黑体" w:hAnsi="黑体" w:eastAsia="黑体"/>
          <w:sz w:val="32"/>
        </w:rPr>
        <w:t>二、机构设置及人员情况</w:t>
      </w:r>
    </w:p>
    <w:p w14:paraId="3C126760">
      <w:pPr>
        <w:spacing w:line="580" w:lineRule="exact"/>
        <w:ind w:firstLine="640"/>
        <w:jc w:val="both"/>
      </w:pPr>
      <w:r>
        <w:rPr>
          <w:rFonts w:ascii="仿宋_GB2312" w:hAnsi="仿宋_GB2312" w:eastAsia="仿宋_GB2312"/>
          <w:sz w:val="32"/>
        </w:rPr>
        <w:t>岳普湖县人民检察院2024年度，实有人数44人，其中：在职人员29人，增加2人；离休人员0人，增加0人；退休人员15人,减少1人。</w:t>
      </w:r>
    </w:p>
    <w:p w14:paraId="7897F587">
      <w:pPr>
        <w:spacing w:line="580" w:lineRule="exact"/>
        <w:ind w:firstLine="640"/>
        <w:jc w:val="both"/>
      </w:pPr>
      <w:r>
        <w:rPr>
          <w:rFonts w:ascii="仿宋_GB2312" w:hAnsi="仿宋_GB2312" w:eastAsia="仿宋_GB2312"/>
          <w:sz w:val="32"/>
        </w:rPr>
        <w:t>岳普湖县人民检察院无下属预算单位，下设5个科室，分别是：第一检察部、第二检察部、第三检察部、政治部、办公室。</w:t>
      </w:r>
    </w:p>
    <w:p w14:paraId="368DA704">
      <w:r>
        <w:br w:type="page"/>
      </w:r>
    </w:p>
    <w:p w14:paraId="695B526D">
      <w:pPr>
        <w:spacing w:line="240" w:lineRule="auto"/>
        <w:jc w:val="center"/>
        <w:outlineLvl w:val="1"/>
      </w:pPr>
      <w:r>
        <w:rPr>
          <w:rFonts w:ascii="黑体" w:hAnsi="黑体" w:eastAsia="黑体"/>
          <w:sz w:val="32"/>
        </w:rPr>
        <w:t>第二部分 部门决算情况说明</w:t>
      </w:r>
    </w:p>
    <w:p w14:paraId="210B314D">
      <w:pPr>
        <w:spacing w:line="640" w:lineRule="exact"/>
        <w:ind w:firstLine="640"/>
        <w:jc w:val="both"/>
        <w:outlineLvl w:val="2"/>
      </w:pPr>
      <w:r>
        <w:rPr>
          <w:rFonts w:ascii="黑体" w:hAnsi="黑体" w:eastAsia="黑体"/>
          <w:sz w:val="32"/>
        </w:rPr>
        <w:t>一、收入支出决算总体情况说明</w:t>
      </w:r>
    </w:p>
    <w:p w14:paraId="2C292128">
      <w:pPr>
        <w:spacing w:line="580" w:lineRule="exact"/>
        <w:ind w:firstLine="640"/>
        <w:jc w:val="both"/>
      </w:pPr>
      <w:r>
        <w:rPr>
          <w:rFonts w:ascii="仿宋_GB2312" w:hAnsi="仿宋_GB2312" w:eastAsia="仿宋_GB2312"/>
          <w:b/>
          <w:sz w:val="32"/>
        </w:rPr>
        <w:t>2024年度收入总计936.72万元，</w:t>
      </w:r>
      <w:r>
        <w:rPr>
          <w:rFonts w:ascii="仿宋_GB2312" w:hAnsi="仿宋_GB2312" w:eastAsia="仿宋_GB2312"/>
          <w:b w:val="0"/>
          <w:sz w:val="32"/>
        </w:rPr>
        <w:t>其中：本年收入合计936.72万元，使用非财政拨款结余（含专用结余）0.00万元，年初结转和结余0.00万元。</w:t>
      </w:r>
    </w:p>
    <w:p w14:paraId="3DE44CB1">
      <w:pPr>
        <w:spacing w:line="580" w:lineRule="exact"/>
        <w:ind w:firstLine="640"/>
        <w:jc w:val="both"/>
      </w:pPr>
      <w:r>
        <w:rPr>
          <w:rFonts w:ascii="仿宋_GB2312" w:hAnsi="仿宋_GB2312" w:eastAsia="仿宋_GB2312"/>
          <w:b/>
          <w:sz w:val="32"/>
        </w:rPr>
        <w:t>2024年度支出总计936.72万元，</w:t>
      </w:r>
      <w:r>
        <w:rPr>
          <w:rFonts w:ascii="仿宋_GB2312" w:hAnsi="仿宋_GB2312" w:eastAsia="仿宋_GB2312"/>
          <w:b w:val="0"/>
          <w:sz w:val="32"/>
        </w:rPr>
        <w:t>其中：本年支出合计936.72万元，结余分配0.00万元，年末结转和结余0.00万元。</w:t>
      </w:r>
    </w:p>
    <w:p w14:paraId="3695D335">
      <w:pPr>
        <w:spacing w:line="580" w:lineRule="exact"/>
        <w:ind w:firstLine="640"/>
        <w:jc w:val="both"/>
      </w:pPr>
      <w:r>
        <w:rPr>
          <w:rFonts w:ascii="仿宋_GB2312" w:hAnsi="仿宋_GB2312" w:eastAsia="仿宋_GB2312"/>
          <w:b w:val="0"/>
          <w:sz w:val="32"/>
        </w:rPr>
        <w:t>收入支出总体与上年相比，减少10.62万元，下降1.12%，主要原因是：本年专项项目经费支出减少。</w:t>
      </w:r>
    </w:p>
    <w:p w14:paraId="66003F1D">
      <w:pPr>
        <w:spacing w:line="640" w:lineRule="exact"/>
        <w:ind w:firstLine="640"/>
        <w:jc w:val="both"/>
        <w:outlineLvl w:val="2"/>
      </w:pPr>
      <w:r>
        <w:rPr>
          <w:rFonts w:ascii="黑体" w:hAnsi="黑体" w:eastAsia="黑体"/>
          <w:sz w:val="32"/>
        </w:rPr>
        <w:t>二、收入决算情况说明</w:t>
      </w:r>
    </w:p>
    <w:p w14:paraId="61DDD747">
      <w:pPr>
        <w:spacing w:line="580" w:lineRule="exact"/>
        <w:ind w:firstLine="640"/>
        <w:jc w:val="both"/>
      </w:pPr>
      <w:r>
        <w:rPr>
          <w:rFonts w:ascii="仿宋_GB2312" w:hAnsi="仿宋_GB2312" w:eastAsia="仿宋_GB2312"/>
          <w:b/>
          <w:sz w:val="32"/>
        </w:rPr>
        <w:t>本年收入936.72万元，</w:t>
      </w:r>
      <w:r>
        <w:rPr>
          <w:rFonts w:ascii="仿宋_GB2312" w:hAnsi="仿宋_GB2312" w:eastAsia="仿宋_GB2312"/>
          <w:b w:val="0"/>
          <w:sz w:val="32"/>
        </w:rPr>
        <w:t>其中：财政拨款收入936.72万元，占100.00%；上级补助收入0.00万元，占0.00%；事业收入0.00万元，占0.00%；经营收入0.00万元，占0.00%；附属单位上缴收入0.00万元，占0.00%；其他收入0.00万元，占0.00%。</w:t>
      </w:r>
    </w:p>
    <w:p w14:paraId="4306BB51">
      <w:pPr>
        <w:spacing w:line="640" w:lineRule="exact"/>
        <w:ind w:firstLine="640"/>
        <w:jc w:val="both"/>
        <w:outlineLvl w:val="2"/>
      </w:pPr>
      <w:r>
        <w:rPr>
          <w:rFonts w:ascii="黑体" w:hAnsi="黑体" w:eastAsia="黑体"/>
          <w:sz w:val="32"/>
        </w:rPr>
        <w:t>三、支出决算情况说明</w:t>
      </w:r>
    </w:p>
    <w:p w14:paraId="23D31677">
      <w:pPr>
        <w:spacing w:line="580" w:lineRule="exact"/>
        <w:ind w:firstLine="640"/>
        <w:jc w:val="both"/>
      </w:pPr>
      <w:r>
        <w:rPr>
          <w:rFonts w:ascii="仿宋_GB2312" w:hAnsi="仿宋_GB2312" w:eastAsia="仿宋_GB2312"/>
          <w:b/>
          <w:sz w:val="32"/>
        </w:rPr>
        <w:t>本年支出936.72万元，</w:t>
      </w:r>
      <w:r>
        <w:rPr>
          <w:rFonts w:ascii="仿宋_GB2312" w:hAnsi="仿宋_GB2312" w:eastAsia="仿宋_GB2312"/>
          <w:b w:val="0"/>
          <w:sz w:val="32"/>
        </w:rPr>
        <w:t>其中：基本支出766.43万元，占81.82%；项目支出170.29万元，占18.18%；上缴上级支出0.00万元，占0.00%；经营支出0.00万元，占0.00%；对附属单位补助支出0.00万元，占0.00%。</w:t>
      </w:r>
    </w:p>
    <w:p w14:paraId="3C8D11C6">
      <w:pPr>
        <w:spacing w:line="640" w:lineRule="exact"/>
        <w:ind w:firstLine="640"/>
        <w:jc w:val="both"/>
        <w:outlineLvl w:val="2"/>
      </w:pPr>
      <w:r>
        <w:rPr>
          <w:rFonts w:ascii="黑体" w:hAnsi="黑体" w:eastAsia="黑体"/>
          <w:sz w:val="32"/>
        </w:rPr>
        <w:t>四、财政拨款收入支出决算总体情况说明</w:t>
      </w:r>
    </w:p>
    <w:p w14:paraId="68030E16">
      <w:pPr>
        <w:spacing w:line="580" w:lineRule="exact"/>
        <w:ind w:firstLine="640"/>
        <w:jc w:val="both"/>
      </w:pPr>
      <w:r>
        <w:rPr>
          <w:rFonts w:ascii="仿宋_GB2312" w:hAnsi="仿宋_GB2312" w:eastAsia="仿宋_GB2312"/>
          <w:b/>
          <w:sz w:val="32"/>
        </w:rPr>
        <w:t>2024年度财政拨款收入总计936.72万元，</w:t>
      </w:r>
      <w:r>
        <w:rPr>
          <w:rFonts w:ascii="仿宋_GB2312" w:hAnsi="仿宋_GB2312" w:eastAsia="仿宋_GB2312"/>
          <w:b w:val="0"/>
          <w:sz w:val="32"/>
        </w:rPr>
        <w:t>其中：年初财政拨款结转和结余0.00万元，本年财政拨款收入936.72万元。</w:t>
      </w:r>
      <w:r>
        <w:rPr>
          <w:rFonts w:ascii="仿宋_GB2312" w:hAnsi="仿宋_GB2312" w:eastAsia="仿宋_GB2312"/>
          <w:b/>
          <w:sz w:val="32"/>
        </w:rPr>
        <w:t>财政拨款支出总计936.72万元，</w:t>
      </w:r>
      <w:r>
        <w:rPr>
          <w:rFonts w:ascii="仿宋_GB2312" w:hAnsi="仿宋_GB2312" w:eastAsia="仿宋_GB2312"/>
          <w:b w:val="0"/>
          <w:sz w:val="32"/>
        </w:rPr>
        <w:t>其中：年末财政拨款结转和结余0.00万元，本年财政拨款支出936.72万元。</w:t>
      </w:r>
    </w:p>
    <w:p w14:paraId="69FFA3A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增加1.83万元，增长0.20%，主要原因是：本年在职人员工资调增，社保、公积金基数调增，人员经费增加。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年初预算数853.23万元，决算数936.72万元，预决算差异率9.79%，主要原因是：本年在职人员工资调增，社保、公积金基数调增，年中追加人员经费。</w:t>
      </w:r>
    </w:p>
    <w:p w14:paraId="0ABB20E0">
      <w:pPr>
        <w:spacing w:line="640" w:lineRule="exact"/>
        <w:ind w:firstLine="640"/>
        <w:jc w:val="both"/>
        <w:outlineLvl w:val="2"/>
      </w:pPr>
      <w:r>
        <w:rPr>
          <w:rFonts w:ascii="黑体" w:hAnsi="黑体" w:eastAsia="黑体"/>
          <w:sz w:val="32"/>
        </w:rPr>
        <w:t>五、一般公共预算财政拨款支出决算情况说明</w:t>
      </w:r>
    </w:p>
    <w:p w14:paraId="5CE12AD2">
      <w:pPr>
        <w:spacing w:line="640" w:lineRule="exact"/>
        <w:ind w:firstLine="640"/>
        <w:jc w:val="both"/>
        <w:outlineLvl w:val="3"/>
      </w:pPr>
      <w:r>
        <w:rPr>
          <w:rFonts w:ascii="楷体_GB2312" w:hAnsi="楷体_GB2312" w:eastAsia="楷体_GB2312"/>
          <w:b/>
          <w:sz w:val="32"/>
        </w:rPr>
        <w:t>（一）一般公共预算财政拨款支出决算总体情况</w:t>
      </w:r>
    </w:p>
    <w:p w14:paraId="18873CFA">
      <w:pPr>
        <w:spacing w:line="580" w:lineRule="exact"/>
        <w:ind w:firstLine="640"/>
        <w:jc w:val="both"/>
      </w:pPr>
      <w:r>
        <w:rPr>
          <w:rFonts w:ascii="仿宋_GB2312" w:hAnsi="仿宋_GB2312" w:eastAsia="仿宋_GB2312"/>
          <w:b/>
          <w:sz w:val="32"/>
        </w:rPr>
        <w:t>2024年度一般公共预算财政拨款支出936.72万元，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增加1.83万元，增长0.20%，主要原因是：本年在职人员工资调增，社保、公积金基数调增，人员经费增加。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年初预算数853.23万元，决算数936.72万元，预决算差异率9.79%，主要原因是：本年在职人员工资调增，社保、公积金基数调增，年中追加人员经费。</w:t>
      </w:r>
    </w:p>
    <w:p w14:paraId="2D72EBA4">
      <w:pPr>
        <w:spacing w:line="640" w:lineRule="exact"/>
        <w:ind w:firstLine="640"/>
        <w:jc w:val="both"/>
        <w:outlineLvl w:val="3"/>
      </w:pPr>
      <w:r>
        <w:rPr>
          <w:rFonts w:ascii="楷体_GB2312" w:hAnsi="楷体_GB2312" w:eastAsia="楷体_GB2312"/>
          <w:b/>
          <w:sz w:val="32"/>
        </w:rPr>
        <w:t>（二）一般公共预算财政拨款支出决算结构情况</w:t>
      </w:r>
    </w:p>
    <w:p w14:paraId="7DF6B07A">
      <w:pPr>
        <w:spacing w:line="580" w:lineRule="exact"/>
        <w:ind w:firstLine="640"/>
        <w:jc w:val="both"/>
      </w:pPr>
      <w:r>
        <w:rPr>
          <w:rFonts w:ascii="仿宋_GB2312" w:hAnsi="仿宋_GB2312" w:eastAsia="仿宋_GB2312"/>
          <w:b w:val="0"/>
          <w:sz w:val="32"/>
        </w:rPr>
        <w:t>1.公共安全支出(类)757.08万元,占80.82%。</w:t>
      </w:r>
    </w:p>
    <w:p w14:paraId="43F49C10">
      <w:pPr>
        <w:spacing w:line="580" w:lineRule="exact"/>
        <w:ind w:firstLine="640"/>
        <w:jc w:val="both"/>
      </w:pPr>
      <w:r>
        <w:rPr>
          <w:rFonts w:ascii="仿宋_GB2312" w:hAnsi="仿宋_GB2312" w:eastAsia="仿宋_GB2312"/>
          <w:b w:val="0"/>
          <w:sz w:val="32"/>
        </w:rPr>
        <w:t>2.社会保障和就业支出(类)101.01万元,占10.78%。</w:t>
      </w:r>
    </w:p>
    <w:p w14:paraId="4C0A5828">
      <w:pPr>
        <w:spacing w:line="580" w:lineRule="exact"/>
        <w:ind w:firstLine="640"/>
        <w:jc w:val="both"/>
      </w:pPr>
      <w:r>
        <w:rPr>
          <w:rFonts w:ascii="仿宋_GB2312" w:hAnsi="仿宋_GB2312" w:eastAsia="仿宋_GB2312"/>
          <w:b w:val="0"/>
          <w:sz w:val="32"/>
        </w:rPr>
        <w:t>3.卫生健康支出(类)31.50万元,占3.36%。</w:t>
      </w:r>
    </w:p>
    <w:p w14:paraId="6740E5E8">
      <w:pPr>
        <w:spacing w:line="580" w:lineRule="exact"/>
        <w:ind w:firstLine="640"/>
        <w:jc w:val="both"/>
      </w:pPr>
      <w:r>
        <w:rPr>
          <w:rFonts w:ascii="仿宋_GB2312" w:hAnsi="仿宋_GB2312" w:eastAsia="仿宋_GB2312"/>
          <w:b w:val="0"/>
          <w:sz w:val="32"/>
        </w:rPr>
        <w:t>4.住房保障支出(类)47.13万元,占5.03%。</w:t>
      </w:r>
    </w:p>
    <w:p w14:paraId="7DB5C1EA">
      <w:pPr>
        <w:spacing w:line="640" w:lineRule="exact"/>
        <w:ind w:firstLine="640"/>
        <w:jc w:val="both"/>
        <w:outlineLvl w:val="3"/>
      </w:pPr>
      <w:r>
        <w:rPr>
          <w:rFonts w:ascii="楷体_GB2312" w:hAnsi="楷体_GB2312" w:eastAsia="楷体_GB2312"/>
          <w:b/>
          <w:sz w:val="32"/>
        </w:rPr>
        <w:t>（三）一般公共预算财政拨款支出决算具体情况</w:t>
      </w:r>
    </w:p>
    <w:p w14:paraId="73D56E31">
      <w:pPr>
        <w:spacing w:line="580" w:lineRule="exact"/>
        <w:ind w:firstLine="640"/>
        <w:jc w:val="both"/>
      </w:pPr>
      <w:r>
        <w:rPr>
          <w:rFonts w:ascii="仿宋_GB2312" w:hAnsi="仿宋_GB2312" w:eastAsia="仿宋_GB2312"/>
          <w:b w:val="0"/>
          <w:sz w:val="32"/>
        </w:rPr>
        <w:t>1.公共安全支出(类)检察(款)行政运行(项):支出决算数为586.79万元，比上年决算增加23.22万元，增长4.12%,主要原因是：本年新增在职人员，人员经费增加，导致经费较上年有所增加。</w:t>
      </w:r>
    </w:p>
    <w:p w14:paraId="576553D2">
      <w:pPr>
        <w:spacing w:line="580" w:lineRule="exact"/>
        <w:ind w:firstLine="640"/>
        <w:jc w:val="both"/>
      </w:pPr>
      <w:r>
        <w:rPr>
          <w:rFonts w:ascii="仿宋_GB2312" w:hAnsi="仿宋_GB2312" w:eastAsia="仿宋_GB2312"/>
          <w:b w:val="0"/>
          <w:sz w:val="32"/>
        </w:rPr>
        <w:t>2.公共安全支出(类)检察(款)一般行政管理事务(项):支出决算数为44.18万元，比上年决算减少14.61万元，下降24.85%,主要原因是：本年减少基本公用特定目标类项目经费。</w:t>
      </w:r>
    </w:p>
    <w:p w14:paraId="4AB9E4EF">
      <w:pPr>
        <w:spacing w:line="580" w:lineRule="exact"/>
        <w:ind w:firstLine="640"/>
        <w:jc w:val="both"/>
      </w:pPr>
      <w:r>
        <w:rPr>
          <w:rFonts w:ascii="仿宋_GB2312" w:hAnsi="仿宋_GB2312" w:eastAsia="仿宋_GB2312"/>
          <w:b w:val="0"/>
          <w:sz w:val="32"/>
        </w:rPr>
        <w:t>3.公共安全支出(类)检察(款)其他检察支出(项):支出决算数为126.11万元，比上年决算减少19.81万元，下降13.58%,主要原因是：本年专项项目经费减少。</w:t>
      </w:r>
    </w:p>
    <w:p w14:paraId="63A4ACE5">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4.社会保障和就业支出(类)行政事业单位养老支出(款)行政单位离退休(项):支出决算数为23.16万元，比上年决算增加4.81万元，增长26.21%,主要原因是：本年增加退休人员基础绩效奖，退休费支出增加。</w:t>
      </w:r>
    </w:p>
    <w:p w14:paraId="0DFC296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58.05万元，比上年决算增加8.55万元，增长17.27%,主要原因是：本年在职人员增加，养老保险缴费较上年增加。</w:t>
      </w:r>
    </w:p>
    <w:p w14:paraId="553B229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2.78万元，下降100.00%,主要原因是：本年新增退休人员较上年减少，职业年金缴费较上年减少。</w:t>
      </w:r>
    </w:p>
    <w:p w14:paraId="59737C94">
      <w:pPr>
        <w:spacing w:line="580" w:lineRule="exact"/>
        <w:ind w:firstLine="640"/>
        <w:jc w:val="both"/>
      </w:pPr>
      <w:r>
        <w:rPr>
          <w:rFonts w:ascii="仿宋_GB2312" w:hAnsi="仿宋_GB2312" w:eastAsia="仿宋_GB2312"/>
          <w:b w:val="0"/>
          <w:sz w:val="32"/>
        </w:rPr>
        <w:t>7.社会保障和就业支出(类)抚恤(款)死亡抚恤(项):支出决算数为19.80万元，比上年决算减少1.03万元，下降4.94%,主要原因是：本年新增死亡人员较上年减少，死亡抚恤支出较上年减少。</w:t>
      </w:r>
    </w:p>
    <w:p w14:paraId="247456FF">
      <w:pPr>
        <w:spacing w:line="580" w:lineRule="exact"/>
        <w:ind w:firstLine="640"/>
        <w:jc w:val="both"/>
      </w:pPr>
      <w:r>
        <w:rPr>
          <w:rFonts w:ascii="仿宋_GB2312" w:hAnsi="仿宋_GB2312" w:eastAsia="仿宋_GB2312"/>
          <w:b w:val="0"/>
          <w:sz w:val="32"/>
        </w:rPr>
        <w:t>8.卫生健康支出(类)行政事业单位医疗(款)行政单位医疗(项):支出决算数为24.67万元，比上年决算减少3.38万元，下降12.05%,主要原因是：因退休人员医疗保险制度改革，退休人员基本医疗不再由单位缴纳，导致经费较上年减少。</w:t>
      </w:r>
    </w:p>
    <w:p w14:paraId="4564E3D6">
      <w:pPr>
        <w:spacing w:line="580" w:lineRule="exact"/>
        <w:ind w:firstLine="640"/>
        <w:jc w:val="both"/>
      </w:pPr>
      <w:r>
        <w:rPr>
          <w:rFonts w:ascii="仿宋_GB2312" w:hAnsi="仿宋_GB2312" w:eastAsia="仿宋_GB2312"/>
          <w:b w:val="0"/>
          <w:sz w:val="32"/>
        </w:rPr>
        <w:t>9.卫生健康支出(类)行政事业单位医疗(款)公务员医疗补助(项):支出决算数为6.83万元，比上年决算增加1.08万元，增长18.78%,主要原因是：本年在职人员增加，公务员医疗补助较上年增加。</w:t>
      </w:r>
    </w:p>
    <w:p w14:paraId="5CD8B2B4">
      <w:pPr>
        <w:spacing w:line="580" w:lineRule="exact"/>
        <w:ind w:firstLine="640"/>
        <w:jc w:val="both"/>
      </w:pPr>
      <w:r>
        <w:rPr>
          <w:rFonts w:ascii="仿宋_GB2312" w:hAnsi="仿宋_GB2312" w:eastAsia="仿宋_GB2312"/>
          <w:b w:val="0"/>
          <w:sz w:val="32"/>
        </w:rPr>
        <w:t>10.住房保障支出(类)住房改革支出(款)住房公积金(项):支出决算数为47.13万元，比上年决算增加5.79万元，增长14.01%,主要原因是：本年在职人员增加，住房公积金支出较上年增加。</w:t>
      </w:r>
    </w:p>
    <w:p w14:paraId="5002623B">
      <w:pPr>
        <w:spacing w:line="640" w:lineRule="exact"/>
        <w:ind w:firstLine="640"/>
        <w:jc w:val="both"/>
        <w:outlineLvl w:val="2"/>
      </w:pPr>
      <w:r>
        <w:rPr>
          <w:rFonts w:ascii="黑体" w:hAnsi="黑体" w:eastAsia="黑体"/>
          <w:sz w:val="32"/>
        </w:rPr>
        <w:t>六、一般公共预算财政拨款基本支出决算情况说明</w:t>
      </w:r>
    </w:p>
    <w:p w14:paraId="6D8093D4">
      <w:pPr>
        <w:spacing w:line="580" w:lineRule="exact"/>
        <w:ind w:firstLine="640"/>
        <w:jc w:val="both"/>
      </w:pPr>
      <w:r>
        <w:rPr>
          <w:rFonts w:ascii="仿宋_GB2312" w:hAnsi="仿宋_GB2312" w:eastAsia="仿宋_GB2312"/>
          <w:b w:val="0"/>
          <w:sz w:val="32"/>
        </w:rPr>
        <w:t>2024年度一般公共预算财政拨款基本支出766.43万元，其中：</w:t>
      </w:r>
      <w:r>
        <w:rPr>
          <w:rFonts w:ascii="仿宋_GB2312" w:hAnsi="仿宋_GB2312" w:eastAsia="仿宋_GB2312"/>
          <w:b/>
          <w:sz w:val="32"/>
        </w:rPr>
        <w:t>人员经费704.45万元，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w:t>
      </w:r>
    </w:p>
    <w:p w14:paraId="1A62D01F">
      <w:pPr>
        <w:spacing w:line="580" w:lineRule="exact"/>
        <w:ind w:firstLine="640"/>
        <w:jc w:val="both"/>
      </w:pPr>
      <w:r>
        <w:rPr>
          <w:rFonts w:ascii="仿宋_GB2312" w:hAnsi="仿宋_GB2312" w:eastAsia="仿宋_GB2312"/>
          <w:b/>
          <w:sz w:val="32"/>
        </w:rPr>
        <w:t>公用经费61.98万元，</w:t>
      </w:r>
      <w:r>
        <w:rPr>
          <w:rFonts w:ascii="仿宋_GB2312" w:hAnsi="仿宋_GB2312" w:eastAsia="仿宋_GB2312"/>
          <w:b w:val="0"/>
          <w:sz w:val="32"/>
        </w:rPr>
        <w:t>包括：办公费、水费、电费、邮电费、取暖费、差旅费、专用材料费、工会经费、公务用车运行维护费、其他商品和服务支出。</w:t>
      </w:r>
    </w:p>
    <w:p w14:paraId="67BC63C0">
      <w:pPr>
        <w:spacing w:line="640" w:lineRule="exact"/>
        <w:ind w:firstLine="640"/>
        <w:jc w:val="both"/>
        <w:outlineLvl w:val="2"/>
      </w:pPr>
      <w:r>
        <w:rPr>
          <w:rFonts w:ascii="黑体" w:hAnsi="黑体" w:eastAsia="黑体"/>
          <w:sz w:val="32"/>
        </w:rPr>
        <w:t>七、政府性基金预算财政拨款收入支出决算情况说明</w:t>
      </w:r>
    </w:p>
    <w:p w14:paraId="4E4C5AF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FD2CB69">
      <w:pPr>
        <w:spacing w:line="640" w:lineRule="exact"/>
        <w:ind w:firstLine="640"/>
        <w:jc w:val="both"/>
        <w:outlineLvl w:val="2"/>
      </w:pPr>
      <w:r>
        <w:rPr>
          <w:rFonts w:ascii="黑体" w:hAnsi="黑体" w:eastAsia="黑体"/>
          <w:sz w:val="32"/>
        </w:rPr>
        <w:t>八、国有资本经营预算财政拨款收入支出决算情况说明</w:t>
      </w:r>
    </w:p>
    <w:p w14:paraId="25C5AAD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ACF548">
      <w:pPr>
        <w:spacing w:line="640" w:lineRule="exact"/>
        <w:ind w:firstLine="640"/>
        <w:jc w:val="both"/>
        <w:outlineLvl w:val="2"/>
      </w:pPr>
      <w:r>
        <w:rPr>
          <w:rFonts w:ascii="黑体" w:hAnsi="黑体" w:eastAsia="黑体"/>
          <w:sz w:val="32"/>
        </w:rPr>
        <w:t>九、财政拨款“三公”经费支出决算情况说明</w:t>
      </w:r>
    </w:p>
    <w:p w14:paraId="761A3767">
      <w:pPr>
        <w:spacing w:line="580" w:lineRule="exact"/>
        <w:ind w:firstLine="640"/>
        <w:jc w:val="both"/>
      </w:pPr>
      <w:r>
        <w:rPr>
          <w:rFonts w:ascii="仿宋_GB2312" w:hAnsi="仿宋_GB2312" w:eastAsia="仿宋_GB2312"/>
          <w:b/>
          <w:sz w:val="32"/>
        </w:rPr>
        <w:t>2024年度财政拨款“三公”经费支出18.35万元，</w:t>
      </w:r>
      <w:r>
        <w:rPr>
          <w:rFonts w:ascii="仿宋_GB2312" w:hAnsi="仿宋_GB2312" w:eastAsia="仿宋_GB2312"/>
          <w:b w:val="0"/>
          <w:sz w:val="32"/>
        </w:rPr>
        <w:t>比上年减少0.01万元，下降0.05%，主要原因是：严格落实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18.35万元，占100.00%，比上年减少0.01万元，下降0.05%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14:paraId="60E6B782">
      <w:pPr>
        <w:spacing w:line="580" w:lineRule="exact"/>
        <w:ind w:firstLine="640"/>
        <w:jc w:val="both"/>
      </w:pPr>
      <w:r>
        <w:rPr>
          <w:rFonts w:ascii="仿宋_GB2312" w:hAnsi="仿宋_GB2312" w:eastAsia="仿宋_GB2312"/>
          <w:b/>
          <w:sz w:val="32"/>
        </w:rPr>
        <w:t>具体情况如下：</w:t>
      </w:r>
    </w:p>
    <w:p w14:paraId="781B827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7E9C8D3">
      <w:pPr>
        <w:spacing w:line="580" w:lineRule="exact"/>
        <w:ind w:firstLine="640"/>
        <w:jc w:val="both"/>
      </w:pPr>
      <w:r>
        <w:rPr>
          <w:rFonts w:ascii="仿宋_GB2312" w:hAnsi="仿宋_GB2312" w:eastAsia="仿宋_GB2312"/>
          <w:b w:val="0"/>
          <w:sz w:val="32"/>
        </w:rPr>
        <w:t>公务用车购置及运行维护费18.35万元，其中：公务用车购置费0.00万元，公务用车运行维护费18.35万元。公务用车运行维护费开支内容包括车辆维修、车辆加油，车辆保险等。公务用车购置数0辆，公务用车保有量8辆。国有资产占用情况中固定资产车辆8辆，与公务用车保有量差异原因是：本部门固定资产车辆与公务用车保有量一致无差异。</w:t>
      </w:r>
    </w:p>
    <w:p w14:paraId="1EA11B6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D6A6D2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18.35万元，决算数18.35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18.35万元，决算数18.35万元，预决算差异率0.00%，主要原因是：严格按照预算执行，预决算无差异。公务接待费全年预算数0.00万元，决算数0.00万元，预决算差异率0.00%，主要原因是：本部门无公务接待费。</w:t>
      </w:r>
    </w:p>
    <w:p w14:paraId="4E418ABB">
      <w:pPr>
        <w:spacing w:line="640" w:lineRule="exact"/>
        <w:ind w:firstLine="640"/>
        <w:jc w:val="both"/>
        <w:outlineLvl w:val="2"/>
      </w:pPr>
      <w:r>
        <w:rPr>
          <w:rFonts w:ascii="黑体" w:hAnsi="黑体" w:eastAsia="黑体"/>
          <w:sz w:val="32"/>
        </w:rPr>
        <w:t>十、其他重要事项的情况说明</w:t>
      </w:r>
    </w:p>
    <w:p w14:paraId="70E375DE">
      <w:pPr>
        <w:spacing w:line="640" w:lineRule="exact"/>
        <w:ind w:firstLine="640"/>
        <w:jc w:val="both"/>
        <w:outlineLvl w:val="3"/>
      </w:pPr>
      <w:r>
        <w:rPr>
          <w:rFonts w:ascii="楷体_GB2312" w:hAnsi="楷体_GB2312" w:eastAsia="楷体_GB2312"/>
          <w:b/>
          <w:sz w:val="32"/>
        </w:rPr>
        <w:t>（一）机关运行经费及公用经费支出情况</w:t>
      </w:r>
    </w:p>
    <w:p w14:paraId="29396F47">
      <w:pPr>
        <w:spacing w:line="580" w:lineRule="exact"/>
        <w:ind w:firstLine="640"/>
        <w:jc w:val="both"/>
      </w:pPr>
      <w:r>
        <w:rPr>
          <w:rFonts w:ascii="仿宋_GB2312" w:hAnsi="仿宋_GB2312" w:eastAsia="仿宋_GB2312"/>
          <w:b w:val="0"/>
          <w:sz w:val="32"/>
        </w:rPr>
        <w:t>2024年度岳普湖县人民检察院（行政单位和参照公务员法管理事业单位）机关运行经费支出61.98万元，比上年增加2.33万元，增长3.91%，主要原因是：本年在职人员增加，办公费用增加。</w:t>
      </w:r>
    </w:p>
    <w:p w14:paraId="63C906A4">
      <w:pPr>
        <w:spacing w:line="640" w:lineRule="exact"/>
        <w:ind w:firstLine="640"/>
        <w:jc w:val="both"/>
        <w:outlineLvl w:val="3"/>
      </w:pPr>
      <w:r>
        <w:rPr>
          <w:rFonts w:ascii="楷体_GB2312" w:hAnsi="楷体_GB2312" w:eastAsia="楷体_GB2312"/>
          <w:b/>
          <w:sz w:val="32"/>
        </w:rPr>
        <w:t>（二）政府采购情况</w:t>
      </w:r>
    </w:p>
    <w:p w14:paraId="70C34D2C">
      <w:pPr>
        <w:spacing w:line="580" w:lineRule="exact"/>
        <w:ind w:firstLine="640"/>
        <w:jc w:val="both"/>
      </w:pPr>
      <w:r>
        <w:rPr>
          <w:rFonts w:ascii="仿宋_GB2312" w:hAnsi="仿宋_GB2312" w:eastAsia="仿宋_GB2312"/>
          <w:b w:val="0"/>
          <w:sz w:val="32"/>
        </w:rPr>
        <w:t>2024年度政府采购支出总额40.62万元，其中：政府采购货物支出17.65万元、政府采购工程支出1.40万元、政府采购服务支出21.57万元。</w:t>
      </w:r>
    </w:p>
    <w:p w14:paraId="6B219960">
      <w:pPr>
        <w:spacing w:line="580" w:lineRule="exact"/>
        <w:ind w:firstLine="640"/>
        <w:jc w:val="both"/>
      </w:pPr>
      <w:r>
        <w:rPr>
          <w:rFonts w:ascii="仿宋_GB2312" w:hAnsi="仿宋_GB2312" w:eastAsia="仿宋_GB2312"/>
          <w:b w:val="0"/>
          <w:sz w:val="32"/>
        </w:rPr>
        <w:t>授予中小企业合同金额40.62万元，占政府采购支出总额的100.00%，其中：授予小微企业合同金额40.62万元，占政府采购支出总额的100.00%。</w:t>
      </w:r>
    </w:p>
    <w:p w14:paraId="40110830">
      <w:pPr>
        <w:spacing w:line="640" w:lineRule="exact"/>
        <w:ind w:firstLine="640"/>
        <w:jc w:val="both"/>
        <w:outlineLvl w:val="3"/>
      </w:pPr>
      <w:r>
        <w:rPr>
          <w:rFonts w:ascii="楷体_GB2312" w:hAnsi="楷体_GB2312" w:eastAsia="楷体_GB2312"/>
          <w:b/>
          <w:sz w:val="32"/>
        </w:rPr>
        <w:t>（三）国有资产占用情况说明</w:t>
      </w:r>
    </w:p>
    <w:p w14:paraId="52CFA015">
      <w:pPr>
        <w:spacing w:line="580" w:lineRule="exact"/>
        <w:ind w:firstLine="640"/>
        <w:jc w:val="both"/>
      </w:pPr>
      <w:r>
        <w:rPr>
          <w:rFonts w:ascii="仿宋_GB2312" w:hAnsi="仿宋_GB2312" w:eastAsia="仿宋_GB2312"/>
          <w:b w:val="0"/>
          <w:sz w:val="32"/>
        </w:rPr>
        <w:t>截至2024年12月31日，房屋4,740.81平方米，价值845.04万元。车辆8辆，价值125.57万元，其中：副部（省）级及以上领导用车0辆、主要负责人用车0辆、机要通信用车0辆、应急保障用车0辆、执法执勤用车5辆、特种专业技术用车3辆、离退休干部服务用车0辆、其他用车0辆，其他用车主要是：本部门无其他用车。单价100万元（含）以上设备（不含车辆）0台（套）。</w:t>
      </w:r>
    </w:p>
    <w:p w14:paraId="2C70213B">
      <w:pPr>
        <w:spacing w:line="640" w:lineRule="exact"/>
        <w:ind w:firstLine="640"/>
        <w:jc w:val="both"/>
        <w:outlineLvl w:val="2"/>
      </w:pPr>
      <w:r>
        <w:rPr>
          <w:rFonts w:ascii="黑体" w:hAnsi="黑体" w:eastAsia="黑体"/>
          <w:sz w:val="32"/>
        </w:rPr>
        <w:t>十一、预算绩效的情况说明</w:t>
      </w:r>
    </w:p>
    <w:p w14:paraId="6A77A2B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根据预算绩效管理要求，本部门2024年度预算绩效管理形成整体支出绩效自评表1个，全年预算总额941.69万元，实际执行总额936.72万元；预算绩效评价项目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200.08</w:t>
      </w:r>
      <w:r>
        <w:rPr>
          <w:rFonts w:ascii="仿宋_GB2312" w:hAnsi="仿宋_GB2312" w:eastAsia="仿宋_GB2312"/>
          <w:b w:val="0"/>
          <w:sz w:val="32"/>
        </w:rPr>
        <w:t>万元，全年执行数</w:t>
      </w:r>
      <w:r>
        <w:rPr>
          <w:rFonts w:hint="eastAsia" w:ascii="仿宋_GB2312" w:hAnsi="仿宋_GB2312" w:eastAsia="仿宋_GB2312"/>
          <w:b w:val="0"/>
          <w:sz w:val="32"/>
        </w:rPr>
        <w:t>200.08</w:t>
      </w:r>
      <w:r>
        <w:rPr>
          <w:rFonts w:ascii="仿宋_GB2312" w:hAnsi="仿宋_GB2312" w:eastAsia="仿宋_GB2312"/>
          <w:b w:val="0"/>
          <w:sz w:val="32"/>
        </w:rPr>
        <w:t>万元。预算绩效管理取得的成效：一是不断完善预算绩效目标管理，对绩效目标相关性、完整性、可行性进行把关、审核，提升绩效目标的编报质量。二是建立预算资金绩效运行监督机制，对资金的使用和管理情况全程进行跟踪，确保绩效目标的实现。发现的问题及原因：一是项目各项指标和指标值设置不够优化、完善，主要是在结合</w:t>
      </w:r>
      <w:r>
        <w:rPr>
          <w:rFonts w:hint="eastAsia" w:ascii="仿宋_GB2312" w:hAnsi="仿宋_GB2312" w:eastAsia="仿宋_GB2312"/>
          <w:b w:val="0"/>
          <w:sz w:val="32"/>
          <w:lang w:eastAsia="zh-CN"/>
        </w:rPr>
        <w:t>本部门</w:t>
      </w:r>
      <w:r>
        <w:rPr>
          <w:rFonts w:ascii="仿宋_GB2312" w:hAnsi="仿宋_GB2312" w:eastAsia="仿宋_GB2312"/>
          <w:b w:val="0"/>
          <w:sz w:val="32"/>
        </w:rPr>
        <w:t>审判业务方面没有细化、量化精准，使指标设置存在差异。二是单位对全面实施绩效管理认识不够，绩效水平不高，绩效监督管理不完善。下一步改进措施：一是进一步加强预算资金项目目标设置的科学化、合理化，提升绩效管理能力和工作水平，为预算绩效管理相关工作的顺利开展提供保障。二是加强业务人员绩效管理相关业务知识的学习，加强单位绩效监督管理，促进预算资金分配更加合理化，发挥资金最大效益。具体附部门整体支出绩效自评表，项目支出绩效自评表。</w:t>
      </w:r>
    </w:p>
    <w:p w14:paraId="3A7ABE6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178D00">
        <w:tblPrEx>
          <w:tblCellMar>
            <w:top w:w="0" w:type="dxa"/>
            <w:left w:w="108" w:type="dxa"/>
            <w:bottom w:w="0" w:type="dxa"/>
            <w:right w:w="108" w:type="dxa"/>
          </w:tblCellMar>
        </w:tblPrEx>
        <w:tc>
          <w:tcPr>
            <w:tcW w:w="8847" w:type="dxa"/>
            <w:gridSpan w:val="9"/>
            <w:vAlign w:val="center"/>
          </w:tcPr>
          <w:p w14:paraId="6FF3C5BA">
            <w:pPr>
              <w:jc w:val="center"/>
            </w:pPr>
            <w:r>
              <w:rPr>
                <w:rFonts w:ascii="宋体" w:hAnsi="宋体" w:eastAsia="宋体"/>
                <w:sz w:val="24"/>
              </w:rPr>
              <w:t>部门整体支出绩效自评表</w:t>
            </w:r>
          </w:p>
        </w:tc>
      </w:tr>
      <w:tr w14:paraId="4FE8FC3F">
        <w:tblPrEx>
          <w:tblCellMar>
            <w:top w:w="0" w:type="dxa"/>
            <w:left w:w="108" w:type="dxa"/>
            <w:bottom w:w="0" w:type="dxa"/>
            <w:right w:w="108" w:type="dxa"/>
          </w:tblCellMar>
        </w:tblPrEx>
        <w:tc>
          <w:tcPr>
            <w:tcW w:w="8847" w:type="dxa"/>
            <w:gridSpan w:val="9"/>
            <w:vAlign w:val="center"/>
          </w:tcPr>
          <w:p w14:paraId="3D2C566C">
            <w:pPr>
              <w:jc w:val="center"/>
            </w:pPr>
            <w:r>
              <w:rPr>
                <w:rFonts w:ascii="宋体" w:hAnsi="宋体" w:eastAsia="宋体"/>
                <w:sz w:val="24"/>
              </w:rPr>
              <w:t>（2024年度）</w:t>
            </w:r>
          </w:p>
        </w:tc>
      </w:tr>
      <w:tr w14:paraId="269BDF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A58C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76E724">
            <w:pPr>
              <w:jc w:val="center"/>
            </w:pPr>
            <w:r>
              <w:rPr>
                <w:rFonts w:ascii="宋体" w:hAnsi="宋体" w:eastAsia="宋体"/>
                <w:sz w:val="16"/>
              </w:rPr>
              <w:t>岳普湖县人民检察院</w:t>
            </w:r>
          </w:p>
        </w:tc>
      </w:tr>
      <w:tr w14:paraId="2FA8FA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5866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1FF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8CA5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1EC8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FD7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E19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7198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3838">
            <w:pPr>
              <w:jc w:val="center"/>
            </w:pPr>
            <w:r>
              <w:rPr>
                <w:rFonts w:ascii="宋体" w:hAnsi="宋体" w:eastAsia="宋体"/>
                <w:sz w:val="16"/>
              </w:rPr>
              <w:t>得分</w:t>
            </w:r>
          </w:p>
        </w:tc>
      </w:tr>
      <w:tr w14:paraId="39C217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F51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9D37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79796">
            <w:pPr>
              <w:jc w:val="center"/>
            </w:pPr>
            <w:r>
              <w:rPr>
                <w:rFonts w:ascii="宋体" w:hAnsi="宋体" w:eastAsia="宋体"/>
                <w:sz w:val="16"/>
              </w:rPr>
              <w:t>853.23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6B856">
            <w:pPr>
              <w:jc w:val="center"/>
            </w:pPr>
            <w:r>
              <w:rPr>
                <w:rFonts w:ascii="宋体" w:hAnsi="宋体" w:eastAsia="宋体"/>
                <w:sz w:val="16"/>
              </w:rPr>
              <w:t>941.69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CB60D">
            <w:pPr>
              <w:jc w:val="center"/>
            </w:pPr>
            <w:r>
              <w:rPr>
                <w:rFonts w:ascii="宋体" w:hAnsi="宋体" w:eastAsia="宋体"/>
                <w:sz w:val="16"/>
              </w:rPr>
              <w:t>936.72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6A1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A2802">
            <w:pPr>
              <w:jc w:val="center"/>
            </w:pPr>
            <w:r>
              <w:rPr>
                <w:rFonts w:ascii="宋体" w:hAnsi="宋体" w:eastAsia="宋体"/>
                <w:sz w:val="16"/>
              </w:rPr>
              <w:t>99.47%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EEFBE">
            <w:pPr>
              <w:jc w:val="center"/>
            </w:pPr>
            <w:r>
              <w:rPr>
                <w:rFonts w:ascii="宋体" w:hAnsi="宋体" w:eastAsia="宋体"/>
                <w:sz w:val="16"/>
              </w:rPr>
              <w:t>9.95</w:t>
            </w:r>
          </w:p>
        </w:tc>
      </w:tr>
      <w:tr w14:paraId="24D3D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506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D21F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AF529">
            <w:pPr>
              <w:jc w:val="center"/>
            </w:pPr>
            <w:r>
              <w:rPr>
                <w:rFonts w:ascii="宋体" w:hAnsi="宋体" w:eastAsia="宋体"/>
                <w:sz w:val="16"/>
              </w:rPr>
              <w:t>169.96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7D862">
            <w:pPr>
              <w:jc w:val="center"/>
            </w:pPr>
            <w:r>
              <w:rPr>
                <w:rFonts w:ascii="宋体" w:hAnsi="宋体" w:eastAsia="宋体"/>
                <w:sz w:val="16"/>
              </w:rPr>
              <w:t>175.26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E5E70">
            <w:pPr>
              <w:jc w:val="center"/>
            </w:pPr>
            <w:r>
              <w:rPr>
                <w:rFonts w:ascii="宋体" w:hAnsi="宋体" w:eastAsia="宋体"/>
                <w:sz w:val="16"/>
              </w:rPr>
              <w:t>170.29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568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D2E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8725">
            <w:pPr>
              <w:jc w:val="center"/>
            </w:pPr>
            <w:r>
              <w:rPr>
                <w:rFonts w:ascii="宋体" w:hAnsi="宋体" w:eastAsia="宋体"/>
                <w:sz w:val="16"/>
              </w:rPr>
              <w:t>—</w:t>
            </w:r>
          </w:p>
        </w:tc>
      </w:tr>
      <w:tr w14:paraId="0B5EE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E42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A882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47B99">
            <w:pPr>
              <w:jc w:val="center"/>
            </w:pPr>
            <w:r>
              <w:rPr>
                <w:rFonts w:ascii="宋体" w:hAnsi="宋体" w:eastAsia="宋体"/>
                <w:sz w:val="16"/>
              </w:rPr>
              <w:t>683.27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76DCD">
            <w:pPr>
              <w:jc w:val="center"/>
            </w:pPr>
            <w:r>
              <w:rPr>
                <w:rFonts w:ascii="宋体" w:hAnsi="宋体" w:eastAsia="宋体"/>
                <w:sz w:val="16"/>
              </w:rPr>
              <w:t>766.43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1B28">
            <w:pPr>
              <w:jc w:val="center"/>
            </w:pPr>
            <w:r>
              <w:rPr>
                <w:rFonts w:ascii="宋体" w:hAnsi="宋体" w:eastAsia="宋体"/>
                <w:sz w:val="16"/>
              </w:rPr>
              <w:t>766.43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1D2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1377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64CC">
            <w:pPr>
              <w:jc w:val="center"/>
            </w:pPr>
            <w:r>
              <w:rPr>
                <w:rFonts w:ascii="宋体" w:hAnsi="宋体" w:eastAsia="宋体"/>
                <w:sz w:val="16"/>
              </w:rPr>
              <w:t>—</w:t>
            </w:r>
          </w:p>
        </w:tc>
      </w:tr>
      <w:tr w14:paraId="3296F2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87D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B36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65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A5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A9B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E8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586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F1934">
            <w:pPr>
              <w:jc w:val="center"/>
            </w:pPr>
            <w:r>
              <w:rPr>
                <w:rFonts w:ascii="宋体" w:hAnsi="宋体" w:eastAsia="宋体"/>
                <w:sz w:val="16"/>
              </w:rPr>
              <w:t>—</w:t>
            </w:r>
          </w:p>
        </w:tc>
      </w:tr>
      <w:tr w14:paraId="15CA09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B450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4A7DC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F8D985">
            <w:pPr>
              <w:jc w:val="center"/>
            </w:pPr>
            <w:r>
              <w:rPr>
                <w:rFonts w:ascii="宋体" w:hAnsi="宋体" w:eastAsia="宋体"/>
                <w:sz w:val="16"/>
              </w:rPr>
              <w:t>实际完成情况</w:t>
            </w:r>
          </w:p>
        </w:tc>
      </w:tr>
      <w:tr w14:paraId="265C6E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F64A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3C5679">
            <w:pPr>
              <w:jc w:val="both"/>
            </w:pPr>
            <w:r>
              <w:rPr>
                <w:rFonts w:ascii="宋体" w:hAnsi="宋体" w:eastAsia="宋体"/>
                <w:sz w:val="16"/>
              </w:rPr>
              <w:t>2024年我院持续加强民事行政检察监督；大力推进公益诉讼检察监督，全院全年预计受理案件数为320件以上，检察建议采纳率达到100%，办理公益诉讼监督案件数20件以上，未成年人宣传覆盖率达100%，认罪认罚率达100%，不断提升依法履职能力，推动“四大检察的”协调发展，打造忠诚干净担当的过硬检察队伍，维护社会治安维护社会公平正义，切实加强检察建议采纳质量；提升依法履职能力，打造忠诚干净担当的过硬检察队伍，保障检察业务工作正常运行，维护</w:t>
            </w:r>
            <w:r>
              <w:rPr>
                <w:rFonts w:hint="eastAsia" w:ascii="宋体" w:hAnsi="宋体"/>
                <w:sz w:val="16"/>
                <w:lang w:eastAsia="zh-CN"/>
              </w:rPr>
              <w:t>社会</w:t>
            </w:r>
            <w:r>
              <w:rPr>
                <w:rFonts w:ascii="宋体" w:hAnsi="宋体" w:eastAsia="宋体"/>
                <w:sz w:val="16"/>
              </w:rPr>
              <w:t>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FCBE9C">
            <w:pPr>
              <w:jc w:val="both"/>
            </w:pPr>
            <w:r>
              <w:rPr>
                <w:rFonts w:ascii="宋体" w:hAnsi="宋体" w:eastAsia="宋体"/>
                <w:sz w:val="16"/>
              </w:rPr>
              <w:t>岳普湖县人民检察院全年依法办理的案件数量为487件，检察建议采纳率达到100%，办理公益诉讼监督案件数为31件，未成年人宣传覆盖率达100%</w:t>
            </w:r>
            <w:r>
              <w:rPr>
                <w:rFonts w:hint="eastAsia" w:ascii="宋体" w:hAnsi="宋体"/>
                <w:sz w:val="16"/>
                <w:lang w:eastAsia="zh-CN"/>
              </w:rPr>
              <w:t>，</w:t>
            </w:r>
            <w:r>
              <w:rPr>
                <w:rFonts w:ascii="宋体" w:hAnsi="宋体" w:eastAsia="宋体"/>
                <w:sz w:val="16"/>
              </w:rPr>
              <w:t>认罪认罚率</w:t>
            </w:r>
            <w:r>
              <w:rPr>
                <w:rFonts w:hint="eastAsia" w:ascii="宋体" w:hAnsi="宋体"/>
                <w:sz w:val="16"/>
                <w:lang w:eastAsia="zh-CN"/>
              </w:rPr>
              <w:t>达</w:t>
            </w:r>
            <w:r>
              <w:rPr>
                <w:rFonts w:ascii="宋体" w:hAnsi="宋体" w:eastAsia="宋体"/>
                <w:sz w:val="16"/>
              </w:rPr>
              <w:t>90.43%。在县委和检察分院的正确领导下，在人大及其常委会的有力监督下，坚持以习近平新时代中国特色社会主义思想和党的二十大精神为指导，以“务本、求实、提质、增效”为工作目标，发挥检察机关职能作用，进一步弘扬法治精神，遵循法律程序；履行经济发展保驾护航的职责，助力经济发展；深化监督共赢理念，有效提升监督质效；在积极解决群众急难愁盼中践行检察使命，促进社会安定和谐。</w:t>
            </w:r>
          </w:p>
        </w:tc>
      </w:tr>
      <w:tr w14:paraId="269ECE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F57D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0A6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71D4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86CF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9AF5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4AE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3DCC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1739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9576F">
            <w:pPr>
              <w:jc w:val="center"/>
            </w:pPr>
            <w:r>
              <w:rPr>
                <w:rFonts w:ascii="宋体" w:hAnsi="宋体" w:eastAsia="宋体"/>
                <w:sz w:val="16"/>
              </w:rPr>
              <w:t>得分</w:t>
            </w:r>
          </w:p>
        </w:tc>
      </w:tr>
      <w:tr w14:paraId="439E32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E8E3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D69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E5F5D">
            <w:pPr>
              <w:jc w:val="center"/>
            </w:pPr>
            <w:r>
              <w:rPr>
                <w:rFonts w:ascii="宋体" w:hAnsi="宋体" w:eastAsia="宋体"/>
                <w:sz w:val="16"/>
              </w:rPr>
              <w:t>全院全年受理案件数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61C87">
            <w:pPr>
              <w:jc w:val="center"/>
            </w:pPr>
            <w:r>
              <w:rPr>
                <w:rFonts w:ascii="宋体" w:hAnsi="宋体" w:eastAsia="宋体"/>
                <w:sz w:val="16"/>
              </w:rPr>
              <w:t>&gt;=320件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47E3B">
            <w:pPr>
              <w:jc w:val="center"/>
            </w:pPr>
            <w:r>
              <w:rPr>
                <w:rFonts w:ascii="宋体" w:hAnsi="宋体" w:eastAsia="宋体"/>
                <w:sz w:val="16"/>
              </w:rPr>
              <w:t>《岳普湖县人民检察院2023年工作报告》《岳普湖县人民检察院2024年工作计划》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C47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8E4CC">
            <w:pPr>
              <w:jc w:val="center"/>
            </w:pPr>
            <w:r>
              <w:rPr>
                <w:rFonts w:ascii="宋体" w:hAnsi="宋体" w:eastAsia="宋体"/>
                <w:sz w:val="16"/>
              </w:rPr>
              <w:t>487件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73D1B">
            <w:pPr>
              <w:jc w:val="center"/>
            </w:pPr>
            <w:r>
              <w:rPr>
                <w:rFonts w:ascii="宋体" w:hAnsi="宋体" w:eastAsia="宋体"/>
                <w:sz w:val="16"/>
              </w:rPr>
              <w:t>152.18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A8788">
            <w:pPr>
              <w:jc w:val="center"/>
            </w:pPr>
            <w:r>
              <w:rPr>
                <w:rFonts w:ascii="宋体" w:hAnsi="宋体" w:eastAsia="宋体"/>
                <w:sz w:val="16"/>
              </w:rPr>
              <w:t>20</w:t>
            </w:r>
          </w:p>
        </w:tc>
      </w:tr>
      <w:tr w14:paraId="24EBA5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033B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A33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7C28A">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20C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043E">
            <w:pPr>
              <w:jc w:val="center"/>
            </w:pPr>
            <w:r>
              <w:rPr>
                <w:rFonts w:ascii="宋体" w:hAnsi="宋体" w:eastAsia="宋体"/>
                <w:sz w:val="16"/>
              </w:rPr>
              <w:t>《岳普湖县人民检察院2023年工作报告》《岳普湖县人民检察院2024年工作计划》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B4A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8C6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C54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C8820">
            <w:pPr>
              <w:jc w:val="center"/>
            </w:pPr>
            <w:r>
              <w:rPr>
                <w:rFonts w:ascii="宋体" w:hAnsi="宋体" w:eastAsia="宋体"/>
                <w:sz w:val="16"/>
              </w:rPr>
              <w:t>15</w:t>
            </w:r>
          </w:p>
        </w:tc>
      </w:tr>
      <w:tr w14:paraId="0ABCDB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456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A70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19E4A">
            <w:pPr>
              <w:jc w:val="center"/>
            </w:pPr>
            <w:r>
              <w:rPr>
                <w:rFonts w:ascii="宋体" w:hAnsi="宋体" w:eastAsia="宋体"/>
                <w:sz w:val="16"/>
              </w:rPr>
              <w:t>办理民事行政监督案件数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A31E">
            <w:pPr>
              <w:jc w:val="center"/>
            </w:pPr>
            <w:r>
              <w:rPr>
                <w:rFonts w:ascii="宋体" w:hAnsi="宋体" w:eastAsia="宋体"/>
                <w:sz w:val="16"/>
              </w:rPr>
              <w:t>&gt;=20件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19657">
            <w:pPr>
              <w:jc w:val="center"/>
            </w:pPr>
            <w:r>
              <w:rPr>
                <w:rFonts w:ascii="宋体" w:hAnsi="宋体" w:eastAsia="宋体"/>
                <w:sz w:val="16"/>
              </w:rPr>
              <w:t>《岳普湖县人民检察院2023年工作报告》《岳普湖县人民检察院2024年工作计划》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DAD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D8D89">
            <w:pPr>
              <w:jc w:val="center"/>
            </w:pPr>
            <w:r>
              <w:rPr>
                <w:rFonts w:ascii="宋体" w:hAnsi="宋体" w:eastAsia="宋体"/>
                <w:sz w:val="16"/>
              </w:rPr>
              <w:t>31件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24EF1">
            <w:pPr>
              <w:jc w:val="center"/>
            </w:pPr>
            <w:r>
              <w:rPr>
                <w:rFonts w:ascii="宋体" w:hAnsi="宋体" w:eastAsia="宋体"/>
                <w:sz w:val="16"/>
              </w:rPr>
              <w:t>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DFBDB">
            <w:pPr>
              <w:jc w:val="center"/>
            </w:pPr>
            <w:r>
              <w:rPr>
                <w:rFonts w:ascii="宋体" w:hAnsi="宋体" w:eastAsia="宋体"/>
                <w:sz w:val="16"/>
              </w:rPr>
              <w:t>20</w:t>
            </w:r>
          </w:p>
        </w:tc>
      </w:tr>
      <w:tr w14:paraId="72BD5F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3DC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9528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D2592">
            <w:pPr>
              <w:jc w:val="center"/>
            </w:pPr>
            <w:r>
              <w:rPr>
                <w:rFonts w:ascii="宋体" w:hAnsi="宋体" w:eastAsia="宋体"/>
                <w:sz w:val="16"/>
              </w:rPr>
              <w:t>未成年人宣传覆盖率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AD9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FDBE6">
            <w:pPr>
              <w:jc w:val="center"/>
            </w:pPr>
            <w:r>
              <w:rPr>
                <w:rFonts w:ascii="宋体" w:hAnsi="宋体" w:eastAsia="宋体"/>
                <w:sz w:val="16"/>
              </w:rPr>
              <w:t>《岳普湖县人民检察院2023年工作报告》《岳普湖县人民检察院2024年工作计划》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D878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7AD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34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72AE">
            <w:pPr>
              <w:jc w:val="center"/>
            </w:pPr>
            <w:r>
              <w:rPr>
                <w:rFonts w:ascii="宋体" w:hAnsi="宋体" w:eastAsia="宋体"/>
                <w:sz w:val="16"/>
              </w:rPr>
              <w:t>15</w:t>
            </w:r>
          </w:p>
        </w:tc>
      </w:tr>
      <w:tr w14:paraId="4220BF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DE1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96F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D2885">
            <w:pPr>
              <w:jc w:val="center"/>
            </w:pPr>
            <w:r>
              <w:rPr>
                <w:rFonts w:ascii="宋体" w:hAnsi="宋体" w:eastAsia="宋体"/>
                <w:sz w:val="16"/>
              </w:rPr>
              <w:t>认罪认罚率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DC172">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DD6CA">
            <w:pPr>
              <w:jc w:val="center"/>
            </w:pPr>
            <w:r>
              <w:rPr>
                <w:rFonts w:ascii="宋体" w:hAnsi="宋体" w:eastAsia="宋体"/>
                <w:sz w:val="16"/>
              </w:rPr>
              <w:t>《岳普湖县人民检察院2023年工作报告》《岳普湖县人民检察院2024年工作计划》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91B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45D1B">
            <w:pPr>
              <w:jc w:val="center"/>
            </w:pPr>
            <w:r>
              <w:rPr>
                <w:rFonts w:ascii="宋体" w:hAnsi="宋体" w:eastAsia="宋体"/>
                <w:sz w:val="16"/>
              </w:rPr>
              <w:t>90.43%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1BFC5">
            <w:pPr>
              <w:jc w:val="center"/>
            </w:pPr>
            <w:r>
              <w:rPr>
                <w:rFonts w:ascii="宋体" w:hAnsi="宋体" w:eastAsia="宋体"/>
                <w:sz w:val="16"/>
              </w:rPr>
              <w:t>90.43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D9838">
            <w:pPr>
              <w:jc w:val="center"/>
            </w:pPr>
            <w:r>
              <w:rPr>
                <w:rFonts w:ascii="宋体" w:hAnsi="宋体" w:eastAsia="宋体"/>
                <w:sz w:val="16"/>
              </w:rPr>
              <w:t>18.08</w:t>
            </w:r>
          </w:p>
        </w:tc>
      </w:tr>
    </w:tbl>
    <w:p w14:paraId="031C8B12">
      <w:r>
        <w:br w:type="page"/>
      </w:r>
    </w:p>
    <w:tbl>
      <w:tblPr>
        <w:tblStyle w:val="9"/>
        <w:tblW w:w="0" w:type="auto"/>
        <w:tblInd w:w="0" w:type="dxa"/>
        <w:tblLayout w:type="autofit"/>
        <w:tblCellMar>
          <w:top w:w="0" w:type="dxa"/>
          <w:left w:w="108" w:type="dxa"/>
          <w:bottom w:w="0" w:type="dxa"/>
          <w:right w:w="108" w:type="dxa"/>
        </w:tblCellMar>
      </w:tblPr>
      <w:tblGrid>
        <w:gridCol w:w="621"/>
        <w:gridCol w:w="607"/>
        <w:gridCol w:w="607"/>
        <w:gridCol w:w="696"/>
        <w:gridCol w:w="856"/>
        <w:gridCol w:w="607"/>
        <w:gridCol w:w="622"/>
        <w:gridCol w:w="615"/>
        <w:gridCol w:w="607"/>
        <w:gridCol w:w="607"/>
        <w:gridCol w:w="776"/>
        <w:gridCol w:w="632"/>
        <w:gridCol w:w="576"/>
        <w:gridCol w:w="631"/>
      </w:tblGrid>
      <w:tr w14:paraId="26928641">
        <w:tblPrEx>
          <w:tblCellMar>
            <w:top w:w="0" w:type="dxa"/>
            <w:left w:w="108" w:type="dxa"/>
            <w:bottom w:w="0" w:type="dxa"/>
            <w:right w:w="108" w:type="dxa"/>
          </w:tblCellMar>
        </w:tblPrEx>
        <w:tc>
          <w:tcPr>
            <w:tcW w:w="8848" w:type="dxa"/>
            <w:gridSpan w:val="14"/>
            <w:vAlign w:val="center"/>
          </w:tcPr>
          <w:p w14:paraId="7D43A93E">
            <w:pPr>
              <w:jc w:val="center"/>
            </w:pPr>
            <w:r>
              <w:rPr>
                <w:rFonts w:ascii="宋体" w:hAnsi="宋体" w:eastAsia="宋体"/>
                <w:sz w:val="24"/>
              </w:rPr>
              <w:t>项目支出绩效自评表</w:t>
            </w:r>
          </w:p>
        </w:tc>
      </w:tr>
      <w:tr w14:paraId="37B4EEB5">
        <w:tblPrEx>
          <w:tblCellMar>
            <w:top w:w="0" w:type="dxa"/>
            <w:left w:w="108" w:type="dxa"/>
            <w:bottom w:w="0" w:type="dxa"/>
            <w:right w:w="108" w:type="dxa"/>
          </w:tblCellMar>
        </w:tblPrEx>
        <w:tc>
          <w:tcPr>
            <w:tcW w:w="8848" w:type="dxa"/>
            <w:gridSpan w:val="14"/>
            <w:vAlign w:val="center"/>
          </w:tcPr>
          <w:p w14:paraId="404FB366">
            <w:pPr>
              <w:jc w:val="center"/>
            </w:pPr>
            <w:r>
              <w:rPr>
                <w:rFonts w:ascii="宋体" w:hAnsi="宋体" w:eastAsia="宋体"/>
                <w:sz w:val="24"/>
              </w:rPr>
              <w:t>(2024年度)</w:t>
            </w:r>
          </w:p>
        </w:tc>
      </w:tr>
      <w:tr w14:paraId="314CC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21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861804">
            <w:pPr>
              <w:jc w:val="center"/>
            </w:pPr>
            <w:r>
              <w:rPr>
                <w:rFonts w:ascii="宋体" w:hAnsi="宋体" w:eastAsia="宋体"/>
                <w:sz w:val="16"/>
              </w:rPr>
              <w:t>综合业务保障项目</w:t>
            </w:r>
          </w:p>
        </w:tc>
      </w:tr>
      <w:tr w14:paraId="0F7345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9F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DF1CB">
            <w:pPr>
              <w:jc w:val="center"/>
            </w:pPr>
            <w:r>
              <w:rPr>
                <w:rFonts w:ascii="宋体" w:hAnsi="宋体" w:eastAsia="宋体"/>
                <w:sz w:val="16"/>
              </w:rPr>
              <w:t>岳普湖县人民检察院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42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4DB0AB">
            <w:pPr>
              <w:jc w:val="center"/>
            </w:pPr>
            <w:r>
              <w:rPr>
                <w:rFonts w:ascii="宋体" w:hAnsi="宋体" w:eastAsia="宋体"/>
                <w:sz w:val="16"/>
              </w:rPr>
              <w:t>岳普湖县人民检察院</w:t>
            </w:r>
          </w:p>
        </w:tc>
      </w:tr>
      <w:tr w14:paraId="70C696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B3E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EE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F4B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A3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02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C79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E0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9948">
            <w:pPr>
              <w:jc w:val="center"/>
            </w:pPr>
            <w:r>
              <w:rPr>
                <w:rFonts w:ascii="宋体" w:hAnsi="宋体" w:eastAsia="宋体"/>
                <w:sz w:val="16"/>
              </w:rPr>
              <w:t>得分</w:t>
            </w:r>
          </w:p>
        </w:tc>
      </w:tr>
      <w:tr w14:paraId="68268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1DC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1FC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68568">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1EBCB">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4A1E">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99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DD8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C33B">
            <w:pPr>
              <w:jc w:val="center"/>
            </w:pPr>
            <w:r>
              <w:rPr>
                <w:rFonts w:ascii="宋体" w:hAnsi="宋体" w:eastAsia="宋体"/>
                <w:sz w:val="16"/>
              </w:rPr>
              <w:t>10.00分</w:t>
            </w:r>
          </w:p>
        </w:tc>
      </w:tr>
      <w:tr w14:paraId="1948E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21A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62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80BC">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EF74">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F5EA5">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9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52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4D89">
            <w:pPr>
              <w:jc w:val="center"/>
            </w:pPr>
            <w:r>
              <w:rPr>
                <w:rFonts w:ascii="宋体" w:hAnsi="宋体" w:eastAsia="宋体"/>
                <w:sz w:val="16"/>
              </w:rPr>
              <w:t>—</w:t>
            </w:r>
          </w:p>
        </w:tc>
      </w:tr>
      <w:tr w14:paraId="401A7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E1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659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DCB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D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02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540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A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C58C">
            <w:pPr>
              <w:jc w:val="center"/>
            </w:pPr>
            <w:r>
              <w:rPr>
                <w:rFonts w:ascii="宋体" w:hAnsi="宋体" w:eastAsia="宋体"/>
                <w:sz w:val="16"/>
              </w:rPr>
              <w:t>—</w:t>
            </w:r>
          </w:p>
        </w:tc>
      </w:tr>
      <w:tr w14:paraId="49EDDF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F36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C1C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95E54">
            <w:pPr>
              <w:jc w:val="center"/>
            </w:pPr>
            <w:r>
              <w:rPr>
                <w:rFonts w:ascii="宋体" w:hAnsi="宋体" w:eastAsia="宋体"/>
                <w:sz w:val="16"/>
              </w:rPr>
              <w:t>实际完成情况</w:t>
            </w:r>
          </w:p>
        </w:tc>
      </w:tr>
      <w:tr w14:paraId="2BE8E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13C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7C46D">
            <w:pPr>
              <w:jc w:val="both"/>
            </w:pPr>
            <w:r>
              <w:rPr>
                <w:rFonts w:ascii="宋体" w:hAnsi="宋体" w:eastAsia="宋体"/>
                <w:sz w:val="16"/>
              </w:rPr>
              <w:t>该项目依据年初预算批复下达本级项目资金1.28万元,其中维修（护）费项目1.28万元，用于单位日常办公设备的维修和其他维修等；保障基层检察院办公设备等正常运行，提高工作效率，全面推进各项检察工作业务，充分发挥基层检察职能作用，有效促进司法为民，努力让人民群众在每一件司法案件中感受到公平正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2668B">
            <w:pPr>
              <w:jc w:val="both"/>
            </w:pPr>
            <w:r>
              <w:rPr>
                <w:rFonts w:ascii="宋体" w:hAnsi="宋体" w:eastAsia="宋体"/>
                <w:sz w:val="16"/>
              </w:rPr>
              <w:t>该项目用于维修我院维修日常设备，旨在保障基层检察院业务正常运转，提升办案业务质量，有效促进司法为民。单位办公楼、业务楼维修维护好,单位办公人员环境得到改善</w:t>
            </w:r>
          </w:p>
        </w:tc>
      </w:tr>
      <w:tr w14:paraId="13C611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656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55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99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68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EE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44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96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78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24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E1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16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30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D87D8">
            <w:pPr>
              <w:jc w:val="center"/>
            </w:pPr>
            <w:r>
              <w:rPr>
                <w:rFonts w:ascii="宋体" w:hAnsi="宋体" w:eastAsia="宋体"/>
                <w:sz w:val="16"/>
              </w:rPr>
              <w:t>偏差原因分析及改进措施</w:t>
            </w:r>
          </w:p>
        </w:tc>
      </w:tr>
      <w:tr w14:paraId="6E448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9E8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A76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21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2B1C">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4822">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46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D0A3">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F3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2F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7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D9C6">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65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F10C8">
            <w:pPr>
              <w:jc w:val="center"/>
            </w:pPr>
          </w:p>
        </w:tc>
      </w:tr>
      <w:tr w14:paraId="3AD24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13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BF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89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09AC">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B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9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B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A7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7A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8F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A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FB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0F93">
            <w:pPr>
              <w:jc w:val="center"/>
            </w:pPr>
          </w:p>
        </w:tc>
      </w:tr>
      <w:tr w14:paraId="696F1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C8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68E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ABB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EBB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B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8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1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5F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39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27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B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0B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6FB7">
            <w:pPr>
              <w:jc w:val="center"/>
            </w:pPr>
          </w:p>
        </w:tc>
      </w:tr>
      <w:tr w14:paraId="3DFB1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BB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EF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CA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4EE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53F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E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63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85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A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E2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65B8">
            <w:pPr>
              <w:jc w:val="center"/>
            </w:pPr>
            <w:r>
              <w:rPr>
                <w:rFonts w:ascii="宋体" w:hAnsi="宋体" w:eastAsia="宋体"/>
                <w:sz w:val="16"/>
              </w:rPr>
              <w:t>=2024年6月5日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7B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64F2">
            <w:pPr>
              <w:jc w:val="center"/>
            </w:pPr>
          </w:p>
        </w:tc>
      </w:tr>
      <w:tr w14:paraId="20B50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0E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9B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EC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DCC8">
            <w:pPr>
              <w:jc w:val="center"/>
            </w:pPr>
            <w:r>
              <w:rPr>
                <w:rFonts w:ascii="宋体" w:hAnsi="宋体" w:eastAsia="宋体"/>
                <w:sz w:val="16"/>
              </w:rPr>
              <w:t>人均维修成本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D589">
            <w:pPr>
              <w:jc w:val="center"/>
            </w:pPr>
            <w:r>
              <w:rPr>
                <w:rFonts w:ascii="宋体" w:hAnsi="宋体" w:eastAsia="宋体"/>
                <w:sz w:val="16"/>
              </w:rPr>
              <w:t>&lt;=379.34元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5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5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7F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D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99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E9FB">
            <w:pPr>
              <w:jc w:val="center"/>
            </w:pPr>
            <w:r>
              <w:rPr>
                <w:rFonts w:ascii="宋体" w:hAnsi="宋体" w:eastAsia="宋体"/>
                <w:sz w:val="16"/>
              </w:rPr>
              <w:t>=379.34元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90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FD3F1">
            <w:pPr>
              <w:jc w:val="center"/>
            </w:pPr>
          </w:p>
        </w:tc>
      </w:tr>
      <w:tr w14:paraId="69447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B0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EB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95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0A4D">
            <w:pPr>
              <w:jc w:val="center"/>
            </w:pPr>
            <w:r>
              <w:rPr>
                <w:rFonts w:ascii="宋体" w:hAnsi="宋体" w:eastAsia="宋体"/>
                <w:sz w:val="16"/>
              </w:rPr>
              <w:t>保障检察业务能力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085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5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A8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D5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56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68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C99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87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6FC8">
            <w:pPr>
              <w:jc w:val="center"/>
            </w:pPr>
          </w:p>
        </w:tc>
      </w:tr>
      <w:tr w14:paraId="36D5D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CC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20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46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B85F">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82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2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7C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D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9A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46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E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AF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23483">
            <w:pPr>
              <w:jc w:val="center"/>
            </w:pPr>
            <w:r>
              <w:rPr>
                <w:rFonts w:ascii="宋体" w:hAnsi="宋体" w:eastAsia="宋体"/>
                <w:sz w:val="16"/>
              </w:rPr>
              <w:t>我院因及时保障了办公设备日常维修维护，该指标实际值达到了100%，超出了预期目标值。</w:t>
            </w:r>
          </w:p>
        </w:tc>
      </w:tr>
      <w:tr w14:paraId="32C539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D24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C6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873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23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AE7DBF"/>
        </w:tc>
      </w:tr>
    </w:tbl>
    <w:p w14:paraId="3AABD015">
      <w:r>
        <w:br w:type="page"/>
      </w:r>
    </w:p>
    <w:p w14:paraId="2E09A194">
      <w:pPr>
        <w:spacing w:line="640" w:lineRule="exact"/>
        <w:ind w:firstLine="640"/>
        <w:jc w:val="both"/>
        <w:outlineLvl w:val="2"/>
      </w:pPr>
      <w:r>
        <w:rPr>
          <w:rFonts w:ascii="黑体" w:hAnsi="黑体" w:eastAsia="黑体"/>
          <w:sz w:val="32"/>
        </w:rPr>
        <w:t>十二、其他需说明的事项</w:t>
      </w:r>
    </w:p>
    <w:p w14:paraId="4B41FBB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项目5个，全年预算数198.8万元，全年执行数198.8万元。</w:t>
      </w:r>
      <w:bookmarkStart w:id="0" w:name="_GoBack"/>
      <w:bookmarkEnd w:id="0"/>
    </w:p>
    <w:p w14:paraId="5D90A2AD">
      <w:r>
        <w:br w:type="page"/>
      </w:r>
    </w:p>
    <w:p w14:paraId="7739DE81">
      <w:pPr>
        <w:spacing w:line="240" w:lineRule="auto"/>
        <w:jc w:val="center"/>
        <w:outlineLvl w:val="1"/>
      </w:pPr>
      <w:r>
        <w:rPr>
          <w:rFonts w:ascii="黑体" w:hAnsi="黑体" w:eastAsia="黑体"/>
          <w:sz w:val="32"/>
        </w:rPr>
        <w:t>第三部分 专业名词解释</w:t>
      </w:r>
    </w:p>
    <w:p w14:paraId="48C7EF4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878EC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F06E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35B4B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01BFB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7EEF2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0F2B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1FA9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07E2B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B5427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B9224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9767F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0ED1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BD9AC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5EDD2F">
      <w:r>
        <w:br w:type="page"/>
      </w:r>
    </w:p>
    <w:p w14:paraId="7366EB3C">
      <w:pPr>
        <w:spacing w:line="240" w:lineRule="auto"/>
        <w:jc w:val="center"/>
        <w:outlineLvl w:val="1"/>
      </w:pPr>
      <w:r>
        <w:rPr>
          <w:rFonts w:ascii="黑体" w:hAnsi="黑体" w:eastAsia="黑体"/>
          <w:sz w:val="32"/>
        </w:rPr>
        <w:t>第四部分 部门决算报表（见附表）</w:t>
      </w:r>
    </w:p>
    <w:p w14:paraId="3EFF1E4C">
      <w:pPr>
        <w:spacing w:line="240" w:lineRule="auto"/>
        <w:ind w:firstLine="640"/>
        <w:jc w:val="both"/>
      </w:pPr>
      <w:r>
        <w:rPr>
          <w:rFonts w:ascii="仿宋_GB2312" w:hAnsi="仿宋_GB2312" w:eastAsia="仿宋_GB2312"/>
          <w:b w:val="0"/>
          <w:sz w:val="32"/>
        </w:rPr>
        <w:t>一、《收入支出决算总表》</w:t>
      </w:r>
    </w:p>
    <w:p w14:paraId="0FF9F65B">
      <w:pPr>
        <w:spacing w:line="240" w:lineRule="auto"/>
        <w:ind w:firstLine="640"/>
        <w:jc w:val="both"/>
      </w:pPr>
      <w:r>
        <w:rPr>
          <w:rFonts w:ascii="仿宋_GB2312" w:hAnsi="仿宋_GB2312" w:eastAsia="仿宋_GB2312"/>
          <w:b w:val="0"/>
          <w:sz w:val="32"/>
        </w:rPr>
        <w:t>二、《收入决算表》</w:t>
      </w:r>
    </w:p>
    <w:p w14:paraId="0F377D4B">
      <w:pPr>
        <w:spacing w:line="240" w:lineRule="auto"/>
        <w:ind w:firstLine="640"/>
        <w:jc w:val="both"/>
      </w:pPr>
      <w:r>
        <w:rPr>
          <w:rFonts w:ascii="仿宋_GB2312" w:hAnsi="仿宋_GB2312" w:eastAsia="仿宋_GB2312"/>
          <w:b w:val="0"/>
          <w:sz w:val="32"/>
        </w:rPr>
        <w:t>三、《支出决算表》</w:t>
      </w:r>
    </w:p>
    <w:p w14:paraId="3C785EB7">
      <w:pPr>
        <w:spacing w:line="240" w:lineRule="auto"/>
        <w:ind w:firstLine="640"/>
        <w:jc w:val="both"/>
      </w:pPr>
      <w:r>
        <w:rPr>
          <w:rFonts w:ascii="仿宋_GB2312" w:hAnsi="仿宋_GB2312" w:eastAsia="仿宋_GB2312"/>
          <w:b w:val="0"/>
          <w:sz w:val="32"/>
        </w:rPr>
        <w:t>四、《财政拨款收入支出决算总表》</w:t>
      </w:r>
    </w:p>
    <w:p w14:paraId="27889F4D">
      <w:pPr>
        <w:spacing w:line="240" w:lineRule="auto"/>
        <w:ind w:firstLine="640"/>
        <w:jc w:val="both"/>
      </w:pPr>
      <w:r>
        <w:rPr>
          <w:rFonts w:ascii="仿宋_GB2312" w:hAnsi="仿宋_GB2312" w:eastAsia="仿宋_GB2312"/>
          <w:b w:val="0"/>
          <w:sz w:val="32"/>
        </w:rPr>
        <w:t>五、《一般公共预算财政拨款支出决算表》</w:t>
      </w:r>
    </w:p>
    <w:p w14:paraId="2110B839">
      <w:pPr>
        <w:spacing w:line="240" w:lineRule="auto"/>
        <w:ind w:firstLine="640"/>
        <w:jc w:val="both"/>
      </w:pPr>
      <w:r>
        <w:rPr>
          <w:rFonts w:ascii="仿宋_GB2312" w:hAnsi="仿宋_GB2312" w:eastAsia="仿宋_GB2312"/>
          <w:b w:val="0"/>
          <w:sz w:val="32"/>
        </w:rPr>
        <w:t>六、《一般公共预算财政拨款基本支出决算表》</w:t>
      </w:r>
    </w:p>
    <w:p w14:paraId="254D25F6">
      <w:pPr>
        <w:spacing w:line="240" w:lineRule="auto"/>
        <w:ind w:firstLine="640"/>
        <w:jc w:val="both"/>
      </w:pPr>
      <w:r>
        <w:rPr>
          <w:rFonts w:ascii="仿宋_GB2312" w:hAnsi="仿宋_GB2312" w:eastAsia="仿宋_GB2312"/>
          <w:b w:val="0"/>
          <w:sz w:val="32"/>
        </w:rPr>
        <w:t>七、《政府性基金预算财政拨款收入支出决算表》</w:t>
      </w:r>
    </w:p>
    <w:p w14:paraId="570F5372">
      <w:pPr>
        <w:spacing w:line="240" w:lineRule="auto"/>
        <w:ind w:firstLine="640"/>
        <w:jc w:val="both"/>
      </w:pPr>
      <w:r>
        <w:rPr>
          <w:rFonts w:ascii="仿宋_GB2312" w:hAnsi="仿宋_GB2312" w:eastAsia="仿宋_GB2312"/>
          <w:b w:val="0"/>
          <w:sz w:val="32"/>
        </w:rPr>
        <w:t>八、《国有资本经营预算财政拨款收入支出决算表》</w:t>
      </w:r>
    </w:p>
    <w:p w14:paraId="4F9026C6">
      <w:pPr>
        <w:spacing w:line="240" w:lineRule="auto"/>
        <w:ind w:firstLine="640"/>
        <w:jc w:val="both"/>
      </w:pPr>
      <w:r>
        <w:rPr>
          <w:rFonts w:ascii="仿宋_GB2312" w:hAnsi="仿宋_GB2312" w:eastAsia="仿宋_GB2312"/>
          <w:b w:val="0"/>
          <w:sz w:val="32"/>
        </w:rPr>
        <w:t>九、《财政拨款“三公”经费支出决算表》</w:t>
      </w:r>
    </w:p>
    <w:p w14:paraId="6C72CBD2">
      <w:pPr>
        <w:spacing w:line="240" w:lineRule="auto"/>
        <w:ind w:firstLine="640"/>
        <w:jc w:val="both"/>
      </w:pPr>
    </w:p>
    <w:p w14:paraId="4960973A">
      <w:pPr>
        <w:spacing w:line="240" w:lineRule="auto"/>
        <w:ind w:firstLine="640"/>
        <w:jc w:val="both"/>
      </w:pPr>
    </w:p>
    <w:p w14:paraId="1F483C61">
      <w:pPr>
        <w:spacing w:line="240" w:lineRule="auto"/>
        <w:ind w:firstLine="640"/>
        <w:jc w:val="both"/>
      </w:pPr>
    </w:p>
    <w:p w14:paraId="094416A0">
      <w:pPr>
        <w:spacing w:line="240" w:lineRule="auto"/>
        <w:ind w:firstLine="640"/>
        <w:jc w:val="both"/>
      </w:pPr>
    </w:p>
    <w:p w14:paraId="7B8A55B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6F6D24-5176-4A25-8924-B821A25459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6DC214A-67DA-4FB1-8064-65B453F58C8D}"/>
  </w:font>
  <w:font w:name="方正小标宋_GBK">
    <w:panose1 w:val="02000000000000000000"/>
    <w:charset w:val="86"/>
    <w:family w:val="script"/>
    <w:pitch w:val="default"/>
    <w:sig w:usb0="A00002BF" w:usb1="38CF7CFA" w:usb2="00082016" w:usb3="00000000" w:csb0="00040001" w:csb1="00000000"/>
    <w:embedRegular r:id="rId3" w:fontKey="{4046953E-7B4A-44D5-A6CA-E704438971FB}"/>
  </w:font>
  <w:font w:name="楷体_GB2312">
    <w:altName w:val="楷体"/>
    <w:panose1 w:val="00000000000000000000"/>
    <w:charset w:val="00"/>
    <w:family w:val="auto"/>
    <w:pitch w:val="default"/>
    <w:sig w:usb0="00000000" w:usb1="00000000" w:usb2="00000000" w:usb3="00000000" w:csb0="00000000" w:csb1="00000000"/>
    <w:embedRegular r:id="rId4" w:fontKey="{D031F770-1D9A-4ED0-84B1-7EFE0E32567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5766D7"/>
    <w:rsid w:val="09A729D8"/>
    <w:rsid w:val="0A3C58E8"/>
    <w:rsid w:val="0A7B4867"/>
    <w:rsid w:val="0B8C3ECC"/>
    <w:rsid w:val="0C3613A3"/>
    <w:rsid w:val="0C7227A7"/>
    <w:rsid w:val="0D031120"/>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1FB165B"/>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5759</Words>
  <Characters>6647</Characters>
  <Lines>0</Lines>
  <Paragraphs>0</Paragraphs>
  <TotalTime>4</TotalTime>
  <ScaleCrop>false</ScaleCrop>
  <LinksUpToDate>false</LinksUpToDate>
  <CharactersWithSpaces>6655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