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4DC2FB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岳普湖县人民法院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D949E0">
      <w:r>
        <w:br w:type="page"/>
      </w:r>
    </w:p>
    <w:p w14:paraId="1DE9248B">
      <w:pPr>
        <w:spacing w:line="640" w:lineRule="exact"/>
        <w:jc w:val="center"/>
        <w:outlineLvl w:val="1"/>
      </w:pPr>
      <w:r>
        <w:rPr>
          <w:rFonts w:ascii="黑体" w:hAnsi="黑体" w:eastAsia="黑体"/>
          <w:sz w:val="32"/>
        </w:rPr>
        <w:t>第一部分 部门概况</w:t>
      </w:r>
    </w:p>
    <w:p w14:paraId="51129FBA">
      <w:pPr>
        <w:spacing w:line="640" w:lineRule="exact"/>
        <w:ind w:firstLine="640"/>
        <w:jc w:val="both"/>
        <w:outlineLvl w:val="2"/>
      </w:pPr>
      <w:r>
        <w:rPr>
          <w:rFonts w:ascii="黑体" w:hAnsi="黑体" w:eastAsia="黑体"/>
          <w:sz w:val="32"/>
        </w:rPr>
        <w:t>一、主要职能</w:t>
      </w:r>
    </w:p>
    <w:p w14:paraId="151ABD9A">
      <w:pPr>
        <w:spacing w:line="580" w:lineRule="exact"/>
        <w:ind w:firstLine="640"/>
        <w:jc w:val="both"/>
      </w:pPr>
      <w:r>
        <w:rPr>
          <w:rFonts w:ascii="仿宋_GB2312" w:hAnsi="仿宋_GB2312" w:eastAsia="仿宋_GB2312"/>
          <w:sz w:val="32"/>
        </w:rPr>
        <w:t>（1）审判法律规定、上级人民法院指定由基层人民法院管辖的刑事、民事、行政等第一审案件。</w:t>
      </w:r>
    </w:p>
    <w:p w14:paraId="554FDE48">
      <w:pPr>
        <w:spacing w:line="580" w:lineRule="exact"/>
        <w:ind w:firstLine="640"/>
        <w:jc w:val="both"/>
      </w:pPr>
      <w:r>
        <w:rPr>
          <w:rFonts w:ascii="仿宋_GB2312" w:hAnsi="仿宋_GB2312" w:eastAsia="仿宋_GB2312"/>
          <w:sz w:val="32"/>
        </w:rPr>
        <w:t>（2）依法行使司法裁判权、司法执行权和司法决定权。</w:t>
      </w:r>
    </w:p>
    <w:p w14:paraId="5954D4A9">
      <w:pPr>
        <w:spacing w:line="580" w:lineRule="exact"/>
        <w:ind w:firstLine="640"/>
        <w:jc w:val="both"/>
      </w:pPr>
      <w:r>
        <w:rPr>
          <w:rFonts w:ascii="仿宋_GB2312" w:hAnsi="仿宋_GB2312" w:eastAsia="仿宋_GB2312"/>
          <w:sz w:val="32"/>
        </w:rPr>
        <w:t>（3）监督、指导人民法庭的审判工作。</w:t>
      </w:r>
    </w:p>
    <w:p w14:paraId="550A631D">
      <w:pPr>
        <w:spacing w:line="580" w:lineRule="exact"/>
        <w:ind w:firstLine="640"/>
        <w:jc w:val="both"/>
      </w:pPr>
      <w:r>
        <w:rPr>
          <w:rFonts w:ascii="仿宋_GB2312" w:hAnsi="仿宋_GB2312" w:eastAsia="仿宋_GB2312"/>
          <w:sz w:val="32"/>
        </w:rPr>
        <w:t>（4）结合审判工作宣传法制，教育公民遵守宪法和法律。</w:t>
      </w:r>
    </w:p>
    <w:p w14:paraId="52B620F9">
      <w:pPr>
        <w:spacing w:line="580" w:lineRule="exact"/>
        <w:ind w:firstLine="640"/>
        <w:jc w:val="both"/>
      </w:pPr>
      <w:r>
        <w:rPr>
          <w:rFonts w:ascii="仿宋_GB2312" w:hAnsi="仿宋_GB2312" w:eastAsia="仿宋_GB2312"/>
          <w:sz w:val="32"/>
        </w:rPr>
        <w:t>（5）承办其他应由我院负责的工作。</w:t>
      </w:r>
    </w:p>
    <w:p w14:paraId="70BDFAC1">
      <w:pPr>
        <w:spacing w:line="640" w:lineRule="exact"/>
        <w:ind w:firstLine="640"/>
        <w:jc w:val="both"/>
        <w:outlineLvl w:val="2"/>
      </w:pPr>
      <w:r>
        <w:rPr>
          <w:rFonts w:ascii="黑体" w:hAnsi="黑体" w:eastAsia="黑体"/>
          <w:sz w:val="32"/>
        </w:rPr>
        <w:t>二、机构设置及人员情况</w:t>
      </w:r>
    </w:p>
    <w:p w14:paraId="2F4683EC">
      <w:pPr>
        <w:spacing w:line="580" w:lineRule="exact"/>
        <w:ind w:firstLine="640"/>
        <w:jc w:val="both"/>
      </w:pPr>
      <w:r>
        <w:rPr>
          <w:rFonts w:ascii="仿宋_GB2312" w:hAnsi="仿宋_GB2312" w:eastAsia="仿宋_GB2312"/>
          <w:sz w:val="32"/>
        </w:rPr>
        <w:t>岳普湖县人民法院2024年度，实有人数66人，其中：在职人员46人，增加0人；离休人员0人，增加0人；退休人员20人,增加2人。</w:t>
      </w:r>
    </w:p>
    <w:p w14:paraId="494EFC12">
      <w:pPr>
        <w:spacing w:line="580" w:lineRule="exact"/>
        <w:ind w:firstLine="640"/>
        <w:jc w:val="both"/>
      </w:pPr>
      <w:r>
        <w:rPr>
          <w:rFonts w:ascii="仿宋_GB2312" w:hAnsi="仿宋_GB2312" w:eastAsia="仿宋_GB2312"/>
          <w:sz w:val="32"/>
        </w:rPr>
        <w:t>岳普湖县人民法院无下属预算单位，下设10个科室，分别是：立案庭、综合审判庭、执行局、综合办公室、政治部、艾西曼人民法庭、色也克人民法庭、下巴扎人民法庭、铁热木人民法庭、阿其克人民法庭。</w:t>
      </w:r>
    </w:p>
    <w:p w14:paraId="5D6CF4EA">
      <w:r>
        <w:br w:type="page"/>
      </w:r>
    </w:p>
    <w:p w14:paraId="49DA818A">
      <w:pPr>
        <w:spacing w:line="240" w:lineRule="auto"/>
        <w:jc w:val="center"/>
        <w:outlineLvl w:val="1"/>
      </w:pPr>
      <w:r>
        <w:rPr>
          <w:rFonts w:ascii="黑体" w:hAnsi="黑体" w:eastAsia="黑体"/>
          <w:sz w:val="32"/>
        </w:rPr>
        <w:t>第二部分 部门决算情况说明</w:t>
      </w:r>
    </w:p>
    <w:p w14:paraId="2C2D4F7B">
      <w:pPr>
        <w:spacing w:line="640" w:lineRule="exact"/>
        <w:ind w:firstLine="640"/>
        <w:jc w:val="both"/>
        <w:outlineLvl w:val="2"/>
      </w:pPr>
      <w:r>
        <w:rPr>
          <w:rFonts w:ascii="黑体" w:hAnsi="黑体" w:eastAsia="黑体"/>
          <w:sz w:val="32"/>
        </w:rPr>
        <w:t>一、收入支出决算总体情况说明</w:t>
      </w:r>
    </w:p>
    <w:p w14:paraId="0DB234B9">
      <w:pPr>
        <w:spacing w:line="580" w:lineRule="exact"/>
        <w:ind w:firstLine="640"/>
        <w:jc w:val="both"/>
      </w:pPr>
      <w:r>
        <w:rPr>
          <w:rFonts w:ascii="仿宋_GB2312" w:hAnsi="仿宋_GB2312" w:eastAsia="仿宋_GB2312"/>
          <w:b/>
          <w:sz w:val="32"/>
        </w:rPr>
        <w:t>2024年度收入总计1,595.96万元，</w:t>
      </w:r>
      <w:r>
        <w:rPr>
          <w:rFonts w:ascii="仿宋_GB2312" w:hAnsi="仿宋_GB2312" w:eastAsia="仿宋_GB2312"/>
          <w:b w:val="0"/>
          <w:sz w:val="32"/>
        </w:rPr>
        <w:t>其中：本年收入合计1,595.96万元，使用非财政拨款结余（含专用结余）0.00万元，年初结转和结余0.00万元。</w:t>
      </w:r>
    </w:p>
    <w:p w14:paraId="2195B449">
      <w:pPr>
        <w:spacing w:line="580" w:lineRule="exact"/>
        <w:ind w:firstLine="640"/>
        <w:jc w:val="both"/>
      </w:pPr>
      <w:r>
        <w:rPr>
          <w:rFonts w:ascii="仿宋_GB2312" w:hAnsi="仿宋_GB2312" w:eastAsia="仿宋_GB2312"/>
          <w:b/>
          <w:sz w:val="32"/>
        </w:rPr>
        <w:t>2024年度支出总计1,595.96万元，</w:t>
      </w:r>
      <w:r>
        <w:rPr>
          <w:rFonts w:ascii="仿宋_GB2312" w:hAnsi="仿宋_GB2312" w:eastAsia="仿宋_GB2312"/>
          <w:b w:val="0"/>
          <w:sz w:val="32"/>
        </w:rPr>
        <w:t>其中：本年支出合计1,595.96万元，结余分配0.00万元，年末结转和结余0.00万元。</w:t>
      </w:r>
    </w:p>
    <w:p w14:paraId="617EAA2C">
      <w:pPr>
        <w:spacing w:line="580" w:lineRule="exact"/>
        <w:ind w:firstLine="640"/>
        <w:jc w:val="both"/>
      </w:pPr>
      <w:r>
        <w:rPr>
          <w:rFonts w:ascii="仿宋_GB2312" w:hAnsi="仿宋_GB2312" w:eastAsia="仿宋_GB2312"/>
          <w:b w:val="0"/>
          <w:sz w:val="32"/>
        </w:rPr>
        <w:t>收入支出总体与上年相比，增加43.55万元，增长2.81%，主要原因是：本年在职人员工资调薪，工资、社保、公积金等相关人员经费增加。较上年增加2024年中央政法纪检监察转移支付资金（办案业务）、2024年中央政法纪检监察转移支付资金（业务装备）经费。</w:t>
      </w:r>
    </w:p>
    <w:p w14:paraId="2844D455">
      <w:pPr>
        <w:spacing w:line="640" w:lineRule="exact"/>
        <w:ind w:firstLine="640"/>
        <w:jc w:val="both"/>
        <w:outlineLvl w:val="2"/>
      </w:pPr>
      <w:r>
        <w:rPr>
          <w:rFonts w:ascii="黑体" w:hAnsi="黑体" w:eastAsia="黑体"/>
          <w:sz w:val="32"/>
        </w:rPr>
        <w:t>二、收入决算情况说明</w:t>
      </w:r>
    </w:p>
    <w:p w14:paraId="4481B985">
      <w:pPr>
        <w:spacing w:line="580" w:lineRule="exact"/>
        <w:ind w:firstLine="640"/>
        <w:jc w:val="both"/>
      </w:pPr>
      <w:r>
        <w:rPr>
          <w:rFonts w:ascii="仿宋_GB2312" w:hAnsi="仿宋_GB2312" w:eastAsia="仿宋_GB2312"/>
          <w:b/>
          <w:sz w:val="32"/>
        </w:rPr>
        <w:t>本年收入1,595.96万元，</w:t>
      </w:r>
      <w:r>
        <w:rPr>
          <w:rFonts w:ascii="仿宋_GB2312" w:hAnsi="仿宋_GB2312" w:eastAsia="仿宋_GB2312"/>
          <w:b w:val="0"/>
          <w:sz w:val="32"/>
        </w:rPr>
        <w:t>其中：财政拨款收入1,595.96万元，占100.00%；上级补助收入0.00万元，占0.00%；事业收入0.00万元，占0.00%；经营收入0.00万元，占0.00%；附属单位上缴收入0.00万元，占0.00%；其他收入0.00万元，占0.00%。</w:t>
      </w:r>
    </w:p>
    <w:p w14:paraId="5E147011">
      <w:pPr>
        <w:spacing w:line="640" w:lineRule="exact"/>
        <w:ind w:firstLine="640"/>
        <w:jc w:val="both"/>
        <w:outlineLvl w:val="2"/>
      </w:pPr>
      <w:r>
        <w:rPr>
          <w:rFonts w:ascii="黑体" w:hAnsi="黑体" w:eastAsia="黑体"/>
          <w:sz w:val="32"/>
        </w:rPr>
        <w:t>三、支出决算情况说明</w:t>
      </w:r>
    </w:p>
    <w:p w14:paraId="2DEB5970">
      <w:pPr>
        <w:spacing w:line="580" w:lineRule="exact"/>
        <w:ind w:firstLine="640"/>
        <w:jc w:val="both"/>
      </w:pPr>
      <w:r>
        <w:rPr>
          <w:rFonts w:ascii="仿宋_GB2312" w:hAnsi="仿宋_GB2312" w:eastAsia="仿宋_GB2312"/>
          <w:b/>
          <w:sz w:val="32"/>
        </w:rPr>
        <w:t>本年支出1,595.96万元，</w:t>
      </w:r>
      <w:r>
        <w:rPr>
          <w:rFonts w:ascii="仿宋_GB2312" w:hAnsi="仿宋_GB2312" w:eastAsia="仿宋_GB2312"/>
          <w:b w:val="0"/>
          <w:sz w:val="32"/>
        </w:rPr>
        <w:t>其中：基本支出1,199.53万元，占75.16%；项目支出396.44万元，占24.84%；上缴上级支出0.00万元，占0.00%；经营支出0.00万元，占0.00%；对附属单位补助支出0.00万元，占0.00%。</w:t>
      </w:r>
    </w:p>
    <w:p w14:paraId="4C8DAAA1">
      <w:pPr>
        <w:spacing w:line="640" w:lineRule="exact"/>
        <w:ind w:firstLine="640"/>
        <w:jc w:val="both"/>
        <w:outlineLvl w:val="2"/>
      </w:pPr>
      <w:r>
        <w:rPr>
          <w:rFonts w:ascii="黑体" w:hAnsi="黑体" w:eastAsia="黑体"/>
          <w:sz w:val="32"/>
        </w:rPr>
        <w:t>四、财政拨款收入支出决算总体情况说明</w:t>
      </w:r>
    </w:p>
    <w:p w14:paraId="535A477F">
      <w:pPr>
        <w:spacing w:line="580" w:lineRule="exact"/>
        <w:ind w:firstLine="640"/>
        <w:jc w:val="both"/>
      </w:pPr>
      <w:r>
        <w:rPr>
          <w:rFonts w:ascii="仿宋_GB2312" w:hAnsi="仿宋_GB2312" w:eastAsia="仿宋_GB2312"/>
          <w:b/>
          <w:sz w:val="32"/>
        </w:rPr>
        <w:t>2024年度财政拨款收入总计1,595.96万元，</w:t>
      </w:r>
      <w:r>
        <w:rPr>
          <w:rFonts w:ascii="仿宋_GB2312" w:hAnsi="仿宋_GB2312" w:eastAsia="仿宋_GB2312"/>
          <w:b w:val="0"/>
          <w:sz w:val="32"/>
        </w:rPr>
        <w:t>其中：年初财政拨款结转和结余0.00万元，本年财政拨款收入1,595.96万元。</w:t>
      </w:r>
      <w:r>
        <w:rPr>
          <w:rFonts w:ascii="仿宋_GB2312" w:hAnsi="仿宋_GB2312" w:eastAsia="仿宋_GB2312"/>
          <w:b/>
          <w:sz w:val="32"/>
        </w:rPr>
        <w:t>财政拨款支出总计1,595.96万元，</w:t>
      </w:r>
      <w:r>
        <w:rPr>
          <w:rFonts w:ascii="仿宋_GB2312" w:hAnsi="仿宋_GB2312" w:eastAsia="仿宋_GB2312"/>
          <w:b w:val="0"/>
          <w:sz w:val="32"/>
        </w:rPr>
        <w:t>其中：年末财政拨款结转和结余0.00万元，本年财政拨款支出1,595.96万元。</w:t>
      </w:r>
    </w:p>
    <w:p w14:paraId="7996DC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43.55万元，增长2.81%，主要原因是：本年在职人员工资调薪，工资、社保、公积金等相关人员经费增加。较上年增加2024年中央政法纪检监察转移支付资金（办案业务）、2024年中央政法纪检监察转移支付资金（业务装备）经费。</w:t>
      </w:r>
      <w:r>
        <w:rPr>
          <w:rFonts w:ascii="仿宋_GB2312" w:hAnsi="仿宋_GB2312" w:eastAsia="仿宋_GB2312"/>
          <w:b/>
          <w:sz w:val="32"/>
        </w:rPr>
        <w:t>与年初预算相比，</w:t>
      </w:r>
      <w:r>
        <w:rPr>
          <w:rFonts w:ascii="仿宋_GB2312" w:hAnsi="仿宋_GB2312" w:eastAsia="仿宋_GB2312"/>
          <w:b w:val="0"/>
          <w:sz w:val="32"/>
        </w:rPr>
        <w:t>年初预算数1,583.66万元，决算数1,595.96万元，预决算差异率0.78%，主要原因是：本年在职人员工资调薪、工资、社保、公积金等相关人员经费增加，年中追加人员经费。年中追加2024年中央政法纪检监察转移支付资金（办案业务）、2024年中央政法纪检监察转移支付资金（业务装备），导致预决算存在差异。</w:t>
      </w:r>
    </w:p>
    <w:p w14:paraId="3ECBC921">
      <w:pPr>
        <w:spacing w:line="640" w:lineRule="exact"/>
        <w:ind w:firstLine="640"/>
        <w:jc w:val="both"/>
        <w:outlineLvl w:val="2"/>
      </w:pPr>
      <w:r>
        <w:rPr>
          <w:rFonts w:ascii="黑体" w:hAnsi="黑体" w:eastAsia="黑体"/>
          <w:sz w:val="32"/>
        </w:rPr>
        <w:t>五、一般公共预算财政拨款支出决算情况说明</w:t>
      </w:r>
    </w:p>
    <w:p w14:paraId="0AFDF60F">
      <w:pPr>
        <w:spacing w:line="640" w:lineRule="exact"/>
        <w:ind w:firstLine="640"/>
        <w:jc w:val="both"/>
        <w:outlineLvl w:val="3"/>
      </w:pPr>
      <w:r>
        <w:rPr>
          <w:rFonts w:ascii="楷体_GB2312" w:hAnsi="楷体_GB2312" w:eastAsia="楷体_GB2312"/>
          <w:b/>
          <w:sz w:val="32"/>
        </w:rPr>
        <w:t>（一）一般公共预算财政拨款支出决算总体情况</w:t>
      </w:r>
    </w:p>
    <w:p w14:paraId="2A651406">
      <w:pPr>
        <w:spacing w:line="580" w:lineRule="exact"/>
        <w:ind w:firstLine="640"/>
        <w:jc w:val="both"/>
      </w:pPr>
      <w:r>
        <w:rPr>
          <w:rFonts w:ascii="仿宋_GB2312" w:hAnsi="仿宋_GB2312" w:eastAsia="仿宋_GB2312"/>
          <w:b/>
          <w:sz w:val="32"/>
        </w:rPr>
        <w:t>2024年度一般公共预算财政拨款支出1,595.96万元，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43.55万元，增长2.81%，主要原因是：本年在职人员工资调薪，工资、社保、公积金等相关人员经费增加。较上年增加2024年中央政法纪检监察转移支付资金（办案业务）、2024年中央政法纪检监察转移支付资金（业务装备）经费。</w:t>
      </w:r>
      <w:r>
        <w:rPr>
          <w:rFonts w:ascii="仿宋_GB2312" w:hAnsi="仿宋_GB2312" w:eastAsia="仿宋_GB2312"/>
          <w:b/>
          <w:sz w:val="32"/>
        </w:rPr>
        <w:t>与年初预算相比,</w:t>
      </w:r>
      <w:r>
        <w:rPr>
          <w:rFonts w:ascii="仿宋_GB2312" w:hAnsi="仿宋_GB2312" w:eastAsia="仿宋_GB2312"/>
          <w:b w:val="0"/>
          <w:sz w:val="32"/>
        </w:rPr>
        <w:t>年初预算数1,583.66万元，决算数1,595.96万元，预决算差异率0.78%，主要原因是：本年在职人员工资调薪、工资、社保、公积金等相关人员经费增加，年中追加人员经费。年中追加2024年中央政法纪检监察转移支付资金（办案业务）、2024年中央政法纪检监察转移支付资金（业务装备），导致预决算存在差异。</w:t>
      </w:r>
    </w:p>
    <w:p w14:paraId="659EFA9C">
      <w:pPr>
        <w:spacing w:line="640" w:lineRule="exact"/>
        <w:ind w:firstLine="640"/>
        <w:jc w:val="both"/>
        <w:outlineLvl w:val="3"/>
      </w:pPr>
      <w:r>
        <w:rPr>
          <w:rFonts w:ascii="楷体_GB2312" w:hAnsi="楷体_GB2312" w:eastAsia="楷体_GB2312"/>
          <w:b/>
          <w:sz w:val="32"/>
        </w:rPr>
        <w:t>（二）一般公共预算财政拨款支出决算结构情况</w:t>
      </w:r>
    </w:p>
    <w:p w14:paraId="33676945">
      <w:pPr>
        <w:spacing w:line="580" w:lineRule="exact"/>
        <w:ind w:firstLine="640"/>
        <w:jc w:val="both"/>
      </w:pPr>
      <w:r>
        <w:rPr>
          <w:rFonts w:ascii="仿宋_GB2312" w:hAnsi="仿宋_GB2312" w:eastAsia="仿宋_GB2312"/>
          <w:b w:val="0"/>
          <w:sz w:val="32"/>
        </w:rPr>
        <w:t>1.公共安全支出(类)1,352.34万元,占84.74%。</w:t>
      </w:r>
    </w:p>
    <w:p w14:paraId="15CFAC19">
      <w:pPr>
        <w:spacing w:line="580" w:lineRule="exact"/>
        <w:ind w:firstLine="640"/>
        <w:jc w:val="both"/>
      </w:pPr>
      <w:r>
        <w:rPr>
          <w:rFonts w:ascii="仿宋_GB2312" w:hAnsi="仿宋_GB2312" w:eastAsia="仿宋_GB2312"/>
          <w:b w:val="0"/>
          <w:sz w:val="32"/>
        </w:rPr>
        <w:t>2.社会保障和就业支出(类)121.17万元,占7.59%。</w:t>
      </w:r>
    </w:p>
    <w:p w14:paraId="23358ACA">
      <w:pPr>
        <w:spacing w:line="580" w:lineRule="exact"/>
        <w:ind w:firstLine="640"/>
        <w:jc w:val="both"/>
      </w:pPr>
      <w:r>
        <w:rPr>
          <w:rFonts w:ascii="仿宋_GB2312" w:hAnsi="仿宋_GB2312" w:eastAsia="仿宋_GB2312"/>
          <w:b w:val="0"/>
          <w:sz w:val="32"/>
        </w:rPr>
        <w:t>3.卫生健康支出(类)48.25万元,占3.02%。</w:t>
      </w:r>
    </w:p>
    <w:p w14:paraId="22A80A78">
      <w:pPr>
        <w:spacing w:line="580" w:lineRule="exact"/>
        <w:ind w:firstLine="640"/>
        <w:jc w:val="both"/>
      </w:pPr>
      <w:r>
        <w:rPr>
          <w:rFonts w:ascii="仿宋_GB2312" w:hAnsi="仿宋_GB2312" w:eastAsia="仿宋_GB2312"/>
          <w:b w:val="0"/>
          <w:sz w:val="32"/>
        </w:rPr>
        <w:t>4.住房保障支出(类)74.21万元,占4.65%。</w:t>
      </w:r>
    </w:p>
    <w:p w14:paraId="027114BD">
      <w:pPr>
        <w:spacing w:line="640" w:lineRule="exact"/>
        <w:ind w:firstLine="640"/>
        <w:jc w:val="both"/>
        <w:outlineLvl w:val="3"/>
      </w:pPr>
      <w:r>
        <w:rPr>
          <w:rFonts w:ascii="楷体_GB2312" w:hAnsi="楷体_GB2312" w:eastAsia="楷体_GB2312"/>
          <w:b/>
          <w:sz w:val="32"/>
        </w:rPr>
        <w:t>（三）一般公共预算财政拨款支出决算具体情况</w:t>
      </w:r>
    </w:p>
    <w:p w14:paraId="1AB53EF5">
      <w:pPr>
        <w:spacing w:line="580" w:lineRule="exact"/>
        <w:ind w:firstLine="640"/>
        <w:jc w:val="both"/>
      </w:pPr>
      <w:r>
        <w:rPr>
          <w:rFonts w:ascii="仿宋_GB2312" w:hAnsi="仿宋_GB2312" w:eastAsia="仿宋_GB2312"/>
          <w:b w:val="0"/>
          <w:sz w:val="32"/>
        </w:rPr>
        <w:t>1.公共安全支出(类)法院(款)行政运行(项):支出决算数为955.90万元，比上年决算增加5.73万元，增长0.60%,主要原因是：本年在职人员工资调薪</w:t>
      </w:r>
      <w:r>
        <w:rPr>
          <w:rFonts w:hint="eastAsia" w:ascii="仿宋_GB2312" w:hAnsi="仿宋_GB2312" w:eastAsia="仿宋_GB2312"/>
          <w:b w:val="0"/>
          <w:sz w:val="32"/>
          <w:lang w:eastAsia="zh-CN"/>
        </w:rPr>
        <w:t>，</w:t>
      </w:r>
      <w:r>
        <w:rPr>
          <w:rFonts w:ascii="仿宋_GB2312" w:hAnsi="仿宋_GB2312" w:eastAsia="仿宋_GB2312"/>
          <w:b w:val="0"/>
          <w:sz w:val="32"/>
        </w:rPr>
        <w:t>相关人员经费增加，导致行政运行经费增加。</w:t>
      </w:r>
    </w:p>
    <w:p w14:paraId="2FDF3764">
      <w:pPr>
        <w:spacing w:line="580" w:lineRule="exact"/>
        <w:ind w:firstLine="640"/>
        <w:jc w:val="both"/>
      </w:pPr>
      <w:r>
        <w:rPr>
          <w:rFonts w:ascii="仿宋_GB2312" w:hAnsi="仿宋_GB2312" w:eastAsia="仿宋_GB2312"/>
          <w:b w:val="0"/>
          <w:sz w:val="32"/>
        </w:rPr>
        <w:t>2.公共安全支出(类)法院(款)一般行政管理事务(项):支出决算数为83.44万元，比上年决算减少15.32万元，下降15.51%,主要原因是：本年自治区高级人民法院提前下达南疆三地州及阿克苏三县司法绩效考核经费项目经费减少，导致经费较上年减少。</w:t>
      </w:r>
    </w:p>
    <w:p w14:paraId="41CFE5F9">
      <w:pPr>
        <w:spacing w:line="580" w:lineRule="exact"/>
        <w:ind w:firstLine="640"/>
        <w:jc w:val="both"/>
      </w:pPr>
      <w:r>
        <w:rPr>
          <w:rFonts w:ascii="仿宋_GB2312" w:hAnsi="仿宋_GB2312" w:eastAsia="仿宋_GB2312"/>
          <w:b w:val="0"/>
          <w:sz w:val="32"/>
        </w:rPr>
        <w:t>3.公共安全支出(类)法院(款)其他法院支出(项):支出决算数为313.00万元，比上年决算增加27.00万元，增长9.44%,主要原因是：较上年增加2024年中央政法纪检监察转移支付资金（办案业务）</w:t>
      </w:r>
      <w:r>
        <w:rPr>
          <w:rFonts w:hint="eastAsia" w:ascii="仿宋_GB2312" w:hAnsi="仿宋_GB2312" w:eastAsia="仿宋_GB2312"/>
          <w:b w:val="0"/>
          <w:sz w:val="32"/>
          <w:lang w:eastAsia="zh-CN"/>
        </w:rPr>
        <w:t>和</w:t>
      </w:r>
      <w:r>
        <w:rPr>
          <w:rFonts w:ascii="仿宋_GB2312" w:hAnsi="仿宋_GB2312" w:eastAsia="仿宋_GB2312"/>
          <w:b w:val="0"/>
          <w:sz w:val="32"/>
        </w:rPr>
        <w:t>2024年中央政法纪检监察转移支付资金（业务装备）经费。</w:t>
      </w:r>
    </w:p>
    <w:p w14:paraId="0213D54E">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4.社会保障和就业支出(类)行政事业单位养老支出(款)行政单位离退休(项):支出决算数为27.06万元，比上年决算增加6.25万元，增长30.03%,主要原因是：本年新增退休人员</w:t>
      </w:r>
      <w:r>
        <w:rPr>
          <w:rFonts w:hint="eastAsia" w:ascii="仿宋_GB2312" w:hAnsi="仿宋_GB2312" w:eastAsia="仿宋_GB2312"/>
          <w:b w:val="0"/>
          <w:sz w:val="32"/>
          <w:lang w:eastAsia="zh-CN"/>
        </w:rPr>
        <w:t>，</w:t>
      </w:r>
      <w:r>
        <w:rPr>
          <w:rFonts w:ascii="仿宋_GB2312" w:hAnsi="仿宋_GB2312" w:eastAsia="仿宋_GB2312"/>
          <w:b w:val="0"/>
          <w:sz w:val="32"/>
        </w:rPr>
        <w:t>补发退休人员绩效，导致退休费较上年增加。</w:t>
      </w:r>
    </w:p>
    <w:p w14:paraId="57B450F7">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5.社会保障和就业支出(类)行政事业单位养老支出(款)机关事业单位基本养老保险缴费支出(项):支出决算数为88.50万元，比上年决算增加6.41万元，增长7.81%,主要原因是：本年在职人员调薪，导致养老保险费增加。</w:t>
      </w:r>
    </w:p>
    <w:p w14:paraId="3769A09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6.社会保障和就业支出(类)行政事业单位养老支出(款)机关事业单位职业年金缴费支出(项):支出决算数为5.60万元，比上年决算增加3.69万元，增长193.19%,主要原因是：</w:t>
      </w:r>
      <w:r>
        <w:rPr>
          <w:rFonts w:hint="eastAsia" w:ascii="仿宋_GB2312" w:hAnsi="仿宋_GB2312" w:eastAsia="仿宋_GB2312"/>
          <w:b w:val="0"/>
          <w:sz w:val="32"/>
          <w:lang w:val="en-US" w:eastAsia="zh-CN"/>
        </w:rPr>
        <w:t>本年新增</w:t>
      </w:r>
      <w:r>
        <w:rPr>
          <w:rFonts w:ascii="仿宋_GB2312" w:hAnsi="仿宋_GB2312" w:eastAsia="仿宋_GB2312"/>
          <w:b w:val="0"/>
          <w:sz w:val="32"/>
        </w:rPr>
        <w:t>退休人员比上年增加，导致职业年金缴费支出增加。</w:t>
      </w:r>
    </w:p>
    <w:p w14:paraId="22762C3B">
      <w:pPr>
        <w:spacing w:line="580" w:lineRule="exact"/>
        <w:ind w:firstLine="640"/>
        <w:jc w:val="both"/>
      </w:pPr>
      <w:r>
        <w:rPr>
          <w:rFonts w:ascii="仿宋_GB2312" w:hAnsi="仿宋_GB2312" w:eastAsia="仿宋_GB2312"/>
          <w:b w:val="0"/>
          <w:sz w:val="32"/>
        </w:rPr>
        <w:t>7.卫生健康支出(类)行政事业单位医疗(款)行政单位医疗(项):支出决算数为37.70万元，比上年决算增加2.71万元，增长7.75%,主要原因是：本年在职人员调薪，导致医疗保险费增加。</w:t>
      </w:r>
    </w:p>
    <w:p w14:paraId="7E341154">
      <w:pPr>
        <w:spacing w:line="580" w:lineRule="exact"/>
        <w:ind w:firstLine="640"/>
        <w:jc w:val="both"/>
      </w:pPr>
      <w:r>
        <w:rPr>
          <w:rFonts w:ascii="仿宋_GB2312" w:hAnsi="仿宋_GB2312" w:eastAsia="仿宋_GB2312"/>
          <w:b w:val="0"/>
          <w:sz w:val="32"/>
        </w:rPr>
        <w:t>8.卫生健康支出(类)行政事业单位医疗(款)公务员医疗补助(项):支出决算数为10.55万元，比上年决算增加0.84万元，增长8.65%,主要原因是：本年在职人员调薪，导致公务员医疗补助费增加。</w:t>
      </w:r>
    </w:p>
    <w:p w14:paraId="4BF64BCA">
      <w:pPr>
        <w:spacing w:line="580" w:lineRule="exact"/>
        <w:ind w:firstLine="640"/>
        <w:jc w:val="both"/>
      </w:pPr>
      <w:r>
        <w:rPr>
          <w:rFonts w:ascii="仿宋_GB2312" w:hAnsi="仿宋_GB2312" w:eastAsia="仿宋_GB2312"/>
          <w:b w:val="0"/>
          <w:sz w:val="32"/>
        </w:rPr>
        <w:t>9.住房保障支出(类)住房改革支出(款)住房公积金(项):支出决算数为74.21万元，比上年决算增加6.23万元，增长9.16%,主要原因是：本年在职人员工资基数调增，公积金缴费基数上涨，相应支出增加。</w:t>
      </w:r>
    </w:p>
    <w:p w14:paraId="436BE393">
      <w:pPr>
        <w:spacing w:line="640" w:lineRule="exact"/>
        <w:ind w:firstLine="640"/>
        <w:jc w:val="both"/>
        <w:outlineLvl w:val="2"/>
      </w:pPr>
      <w:r>
        <w:rPr>
          <w:rFonts w:ascii="黑体" w:hAnsi="黑体" w:eastAsia="黑体"/>
          <w:sz w:val="32"/>
        </w:rPr>
        <w:t>六、一般公共预算财政拨款基本支出决算情况说明</w:t>
      </w:r>
    </w:p>
    <w:p w14:paraId="74BD15C7">
      <w:pPr>
        <w:spacing w:line="580" w:lineRule="exact"/>
        <w:ind w:firstLine="640"/>
        <w:jc w:val="both"/>
      </w:pPr>
      <w:r>
        <w:rPr>
          <w:rFonts w:ascii="仿宋_GB2312" w:hAnsi="仿宋_GB2312" w:eastAsia="仿宋_GB2312"/>
          <w:b w:val="0"/>
          <w:sz w:val="32"/>
        </w:rPr>
        <w:t>2024年度一般公共预算财政拨款基本支出1,199.53万元，其中：</w:t>
      </w:r>
      <w:r>
        <w:rPr>
          <w:rFonts w:ascii="仿宋_GB2312" w:hAnsi="仿宋_GB2312" w:eastAsia="仿宋_GB2312"/>
          <w:b/>
          <w:sz w:val="32"/>
        </w:rPr>
        <w:t>人员经费1,097.60万元，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奖励金。</w:t>
      </w:r>
    </w:p>
    <w:p w14:paraId="7E4A02C9">
      <w:pPr>
        <w:spacing w:line="580" w:lineRule="exact"/>
        <w:ind w:firstLine="640"/>
        <w:jc w:val="both"/>
      </w:pPr>
      <w:r>
        <w:rPr>
          <w:rFonts w:ascii="仿宋_GB2312" w:hAnsi="仿宋_GB2312" w:eastAsia="仿宋_GB2312"/>
          <w:b/>
          <w:sz w:val="32"/>
        </w:rPr>
        <w:t>公用经费101.93万元，</w:t>
      </w:r>
      <w:r>
        <w:rPr>
          <w:rFonts w:ascii="仿宋_GB2312" w:hAnsi="仿宋_GB2312" w:eastAsia="仿宋_GB2312"/>
          <w:b w:val="0"/>
          <w:sz w:val="32"/>
        </w:rPr>
        <w:t>包括：水费、电费、邮电费、取暖费、差旅费、专用材料费、工会经费、公务用车运行维护费、其他商品和服务支出。</w:t>
      </w:r>
    </w:p>
    <w:p w14:paraId="703EBAFC">
      <w:pPr>
        <w:spacing w:line="640" w:lineRule="exact"/>
        <w:ind w:firstLine="640"/>
        <w:jc w:val="both"/>
        <w:outlineLvl w:val="2"/>
      </w:pPr>
      <w:r>
        <w:rPr>
          <w:rFonts w:ascii="黑体" w:hAnsi="黑体" w:eastAsia="黑体"/>
          <w:sz w:val="32"/>
        </w:rPr>
        <w:t>七、政府性基金预算财政拨款收入支出决算情况说明</w:t>
      </w:r>
    </w:p>
    <w:p w14:paraId="14F9DB4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78F0569">
      <w:pPr>
        <w:spacing w:line="640" w:lineRule="exact"/>
        <w:ind w:firstLine="640"/>
        <w:jc w:val="both"/>
        <w:outlineLvl w:val="2"/>
      </w:pPr>
      <w:r>
        <w:rPr>
          <w:rFonts w:ascii="黑体" w:hAnsi="黑体" w:eastAsia="黑体"/>
          <w:sz w:val="32"/>
        </w:rPr>
        <w:t>八、国有资本经营预算财政拨款收入支出决算情况说明</w:t>
      </w:r>
    </w:p>
    <w:p w14:paraId="3B1951D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53B5DC2">
      <w:pPr>
        <w:spacing w:line="640" w:lineRule="exact"/>
        <w:ind w:firstLine="640"/>
        <w:jc w:val="both"/>
        <w:outlineLvl w:val="2"/>
      </w:pPr>
      <w:r>
        <w:rPr>
          <w:rFonts w:ascii="黑体" w:hAnsi="黑体" w:eastAsia="黑体"/>
          <w:sz w:val="32"/>
        </w:rPr>
        <w:t>九、财政拨款“三公”经费支出决算情况说明</w:t>
      </w:r>
    </w:p>
    <w:p w14:paraId="135409FA">
      <w:pPr>
        <w:spacing w:line="580" w:lineRule="exact"/>
        <w:ind w:firstLine="640"/>
        <w:jc w:val="both"/>
      </w:pPr>
      <w:r>
        <w:rPr>
          <w:rFonts w:ascii="仿宋_GB2312" w:hAnsi="仿宋_GB2312" w:eastAsia="仿宋_GB2312"/>
          <w:b/>
          <w:sz w:val="32"/>
        </w:rPr>
        <w:t>2024年度财政拨款“三公”经费支出39.10万元，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39.10万元，占100.00%，比上年增加0.00万元，增长0.00%，主要原因是：公务用车运行维护费与上年一致无变化。公务接待费支出0.00万元，占0.00%，比上年增加0.00万元，增长0.00%，主要原因是：2023年与2024年均未安排公务接待费支出。</w:t>
      </w:r>
    </w:p>
    <w:p w14:paraId="798C61C7">
      <w:pPr>
        <w:spacing w:line="580" w:lineRule="exact"/>
        <w:ind w:firstLine="640"/>
        <w:jc w:val="both"/>
      </w:pPr>
      <w:r>
        <w:rPr>
          <w:rFonts w:ascii="仿宋_GB2312" w:hAnsi="仿宋_GB2312" w:eastAsia="仿宋_GB2312"/>
          <w:b/>
          <w:sz w:val="32"/>
        </w:rPr>
        <w:t>具体情况如下：</w:t>
      </w:r>
    </w:p>
    <w:p w14:paraId="4EAB43F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BB60E80">
      <w:pPr>
        <w:spacing w:line="580" w:lineRule="exact"/>
        <w:ind w:firstLine="640"/>
        <w:jc w:val="both"/>
      </w:pPr>
      <w:r>
        <w:rPr>
          <w:rFonts w:ascii="仿宋_GB2312" w:hAnsi="仿宋_GB2312" w:eastAsia="仿宋_GB2312"/>
          <w:b w:val="0"/>
          <w:sz w:val="32"/>
        </w:rPr>
        <w:t>公务用车购置及运行维护费39.10万元，其中：公务用车购置费0.00万元，公务用车运行维护费39.10万元。公务用车运行维护费开支内容包括车辆燃油费、车辆保险费、车辆维修（护）费、过路费。公务用车购置数0辆，公务用车保有量15辆。国有资产占用情况中固定资产车辆15辆，与公务用车保有量差异原因是：本部门固定资产车辆与公务用车保有量一致无差异。</w:t>
      </w:r>
    </w:p>
    <w:p w14:paraId="70555E0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FC85D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39.10万元，决算数39.10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39.10万元，决算数39.10万元，预决算差异率0.00%，主要原因是：严格按照预算执行，预决算无差异。公务接待费全年预算数0.00万元，决算数0.00万元，预决算差异率0.00%，主要原因是：本部门无公务接待费。</w:t>
      </w:r>
    </w:p>
    <w:p w14:paraId="1A22B18B">
      <w:pPr>
        <w:spacing w:line="640" w:lineRule="exact"/>
        <w:ind w:firstLine="640"/>
        <w:jc w:val="both"/>
        <w:outlineLvl w:val="2"/>
      </w:pPr>
      <w:r>
        <w:rPr>
          <w:rFonts w:ascii="黑体" w:hAnsi="黑体" w:eastAsia="黑体"/>
          <w:sz w:val="32"/>
        </w:rPr>
        <w:t>十、其他重要事项的情况说明</w:t>
      </w:r>
    </w:p>
    <w:p w14:paraId="2F651C69">
      <w:pPr>
        <w:spacing w:line="640" w:lineRule="exact"/>
        <w:ind w:firstLine="640"/>
        <w:jc w:val="both"/>
        <w:outlineLvl w:val="3"/>
      </w:pPr>
      <w:r>
        <w:rPr>
          <w:rFonts w:ascii="楷体_GB2312" w:hAnsi="楷体_GB2312" w:eastAsia="楷体_GB2312"/>
          <w:b/>
          <w:sz w:val="32"/>
        </w:rPr>
        <w:t>（一）机关运行经费及公用经费支出情况</w:t>
      </w:r>
    </w:p>
    <w:p w14:paraId="5C82C738">
      <w:pPr>
        <w:spacing w:line="580" w:lineRule="exact"/>
        <w:ind w:firstLine="640"/>
        <w:jc w:val="both"/>
      </w:pPr>
      <w:r>
        <w:rPr>
          <w:rFonts w:ascii="仿宋_GB2312" w:hAnsi="仿宋_GB2312" w:eastAsia="仿宋_GB2312"/>
          <w:b w:val="0"/>
          <w:sz w:val="32"/>
        </w:rPr>
        <w:t>2024年度岳普湖县人民法院（行政单位和参照公务员法管理事业单位）机关运行经费支出101.93万元，比上年增加2.63万元，增长2.65%，主要原因是：本年更新、维护补充办公用品，导致机关运行经费较上年增加。</w:t>
      </w:r>
    </w:p>
    <w:p w14:paraId="4402F592">
      <w:pPr>
        <w:spacing w:line="640" w:lineRule="exact"/>
        <w:ind w:firstLine="640"/>
        <w:jc w:val="both"/>
        <w:outlineLvl w:val="3"/>
      </w:pPr>
      <w:r>
        <w:rPr>
          <w:rFonts w:ascii="楷体_GB2312" w:hAnsi="楷体_GB2312" w:eastAsia="楷体_GB2312"/>
          <w:b/>
          <w:sz w:val="32"/>
        </w:rPr>
        <w:t>（二）政府采购情况</w:t>
      </w:r>
    </w:p>
    <w:p w14:paraId="13CB72B4">
      <w:pPr>
        <w:spacing w:line="580" w:lineRule="exact"/>
        <w:ind w:firstLine="640"/>
        <w:jc w:val="both"/>
      </w:pPr>
      <w:r>
        <w:rPr>
          <w:rFonts w:ascii="仿宋_GB2312" w:hAnsi="仿宋_GB2312" w:eastAsia="仿宋_GB2312"/>
          <w:b w:val="0"/>
          <w:sz w:val="32"/>
        </w:rPr>
        <w:t>2024年度政府采购支出总额226.88万元，其中：政府采购货物支出170.88万元、政府采购工程支出20.28万元、政府采购服务支出35.72万元。</w:t>
      </w:r>
    </w:p>
    <w:p w14:paraId="667B9BCE">
      <w:pPr>
        <w:spacing w:line="580" w:lineRule="exact"/>
        <w:ind w:firstLine="640"/>
        <w:jc w:val="both"/>
      </w:pPr>
      <w:r>
        <w:rPr>
          <w:rFonts w:ascii="仿宋_GB2312" w:hAnsi="仿宋_GB2312" w:eastAsia="仿宋_GB2312"/>
          <w:b w:val="0"/>
          <w:sz w:val="32"/>
        </w:rPr>
        <w:t>授予中小企业合同金额226.88万元，占政府采购支出总额的100.00%，其中：授予小微企业合同金额226.88万元，占政府采购支出总额的100.00%。</w:t>
      </w:r>
    </w:p>
    <w:p w14:paraId="7B495078">
      <w:pPr>
        <w:spacing w:line="640" w:lineRule="exact"/>
        <w:ind w:firstLine="640"/>
        <w:jc w:val="both"/>
        <w:outlineLvl w:val="3"/>
      </w:pPr>
      <w:r>
        <w:rPr>
          <w:rFonts w:ascii="楷体_GB2312" w:hAnsi="楷体_GB2312" w:eastAsia="楷体_GB2312"/>
          <w:b/>
          <w:sz w:val="32"/>
        </w:rPr>
        <w:t>（三）国有资产占用情况说明</w:t>
      </w:r>
    </w:p>
    <w:p w14:paraId="2AE19929">
      <w:pPr>
        <w:spacing w:line="580" w:lineRule="exact"/>
        <w:ind w:firstLine="640"/>
        <w:jc w:val="both"/>
      </w:pPr>
      <w:r>
        <w:rPr>
          <w:rFonts w:ascii="仿宋_GB2312" w:hAnsi="仿宋_GB2312" w:eastAsia="仿宋_GB2312"/>
          <w:b w:val="0"/>
          <w:sz w:val="32"/>
        </w:rPr>
        <w:t>截至2024年12月31日，房屋11,096.00平方米，价值2,242.69万元。车辆15辆，价值245.15万元，其中：副部（省）级及以上领导用车0辆、主要负责人用车0辆、机要通信用车0辆、应急保障用车0辆、执法执勤用车11辆、特种专业技术用车3辆、离退休干部服务用车0辆、其他用车1辆，其他用车主要是：一般公务用车。单价100万元（含）以上设备（不含车辆）1台（套）。</w:t>
      </w:r>
    </w:p>
    <w:p w14:paraId="1FD9FD81">
      <w:pPr>
        <w:spacing w:line="640" w:lineRule="exact"/>
        <w:ind w:firstLine="640"/>
        <w:jc w:val="both"/>
        <w:outlineLvl w:val="2"/>
      </w:pPr>
      <w:r>
        <w:rPr>
          <w:rFonts w:ascii="黑体" w:hAnsi="黑体" w:eastAsia="黑体"/>
          <w:sz w:val="32"/>
        </w:rPr>
        <w:t>十一、预算绩效的情况说明</w:t>
      </w:r>
    </w:p>
    <w:p w14:paraId="1FBDA425">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根据预算绩效管理要求，本部门2024年度预算绩效管理形成整体支出绩效自评表1个，全年预算总额1,595.96万元，实际执行总额1,595.96万元；预算绩效评价项目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394.64</w:t>
      </w:r>
      <w:r>
        <w:rPr>
          <w:rFonts w:ascii="仿宋_GB2312" w:hAnsi="仿宋_GB2312" w:eastAsia="仿宋_GB2312"/>
          <w:b w:val="0"/>
          <w:sz w:val="32"/>
        </w:rPr>
        <w:t>万元，全年执行数</w:t>
      </w:r>
      <w:r>
        <w:rPr>
          <w:rFonts w:hint="eastAsia" w:ascii="仿宋_GB2312" w:hAnsi="仿宋_GB2312" w:eastAsia="仿宋_GB2312"/>
          <w:b w:val="0"/>
          <w:sz w:val="32"/>
        </w:rPr>
        <w:t>394.64</w:t>
      </w:r>
      <w:r>
        <w:rPr>
          <w:rFonts w:ascii="仿宋_GB2312" w:hAnsi="仿宋_GB2312" w:eastAsia="仿宋_GB2312"/>
          <w:b w:val="0"/>
          <w:sz w:val="32"/>
        </w:rPr>
        <w:t>万元。</w:t>
      </w:r>
      <w:r>
        <w:rPr>
          <w:rFonts w:hint="eastAsia" w:ascii="仿宋_GB2312" w:hAnsi="仿宋_GB2312" w:eastAsia="仿宋_GB2312"/>
          <w:b w:val="0"/>
          <w:sz w:val="32"/>
          <w:lang w:val="en-US" w:eastAsia="zh-CN"/>
        </w:rPr>
        <w:t>预算绩效管理取得的成效：一是确保资金的高效使用，切实发挥财政资金的使用效果。二是严格按照工作职责和相关文件依据，确保专款专用。三是严格控制资金的流出方向，确保资金的合规性。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w:t>
      </w:r>
      <w:r>
        <w:rPr>
          <w:rFonts w:hint="eastAsia" w:ascii="仿宋_GB2312" w:hAnsi="仿宋_GB2312" w:eastAsia="仿宋_GB2312"/>
          <w:b w:val="0"/>
          <w:sz w:val="32"/>
          <w:lang w:val="en-US"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hAnsi="仿宋_GB2312" w:eastAsia="仿宋_GB2312"/>
          <w:b w:val="0"/>
          <w:sz w:val="32"/>
        </w:rPr>
        <w:t>下一步改进措施：</w:t>
      </w:r>
      <w:r>
        <w:rPr>
          <w:rFonts w:hint="eastAsia" w:ascii="仿宋_GB2312" w:hAnsi="仿宋_GB2312" w:eastAsia="仿宋_GB2312"/>
          <w:b w:val="0"/>
          <w:sz w:val="32"/>
          <w:lang w:val="en-US" w:eastAsia="zh-CN"/>
        </w:rPr>
        <w:t>一是科学分析，严格按照预算绩效管理原则处理，确保指标值准确，与各行业部门对接，加强协调联动；二是进扩大预算绩效管理范围，让我单位主要领导和相关科室多熟悉预算绩效管理的内容和要求，不断提升预算单位的绩效意识；三是加强对预算绩效业务工作人员的培训，培养专业人才，从而为绩效评估提供更大的基础保障</w:t>
      </w:r>
      <w:r>
        <w:rPr>
          <w:rFonts w:ascii="仿宋_GB2312" w:hAnsi="仿宋_GB2312" w:eastAsia="仿宋_GB2312"/>
          <w:b w:val="0"/>
          <w:sz w:val="32"/>
        </w:rPr>
        <w:t>具体附部门整体支出绩效自评表，项目支出绩效自评表。</w:t>
      </w:r>
    </w:p>
    <w:p w14:paraId="6432341F">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D7A70A">
        <w:tblPrEx>
          <w:tblCellMar>
            <w:top w:w="0" w:type="dxa"/>
            <w:left w:w="108" w:type="dxa"/>
            <w:bottom w:w="0" w:type="dxa"/>
            <w:right w:w="108" w:type="dxa"/>
          </w:tblCellMar>
        </w:tblPrEx>
        <w:tc>
          <w:tcPr>
            <w:tcW w:w="8847" w:type="dxa"/>
            <w:gridSpan w:val="9"/>
            <w:vAlign w:val="center"/>
          </w:tcPr>
          <w:p w14:paraId="0F06CAAA">
            <w:pPr>
              <w:jc w:val="center"/>
            </w:pPr>
            <w:r>
              <w:rPr>
                <w:rFonts w:ascii="宋体" w:hAnsi="宋体" w:eastAsia="宋体"/>
                <w:sz w:val="24"/>
              </w:rPr>
              <w:t>部门整体支出绩效自评表</w:t>
            </w:r>
          </w:p>
        </w:tc>
      </w:tr>
      <w:tr w14:paraId="66157246">
        <w:tblPrEx>
          <w:tblCellMar>
            <w:top w:w="0" w:type="dxa"/>
            <w:left w:w="108" w:type="dxa"/>
            <w:bottom w:w="0" w:type="dxa"/>
            <w:right w:w="108" w:type="dxa"/>
          </w:tblCellMar>
        </w:tblPrEx>
        <w:tc>
          <w:tcPr>
            <w:tcW w:w="8847" w:type="dxa"/>
            <w:gridSpan w:val="9"/>
            <w:vAlign w:val="center"/>
          </w:tcPr>
          <w:p w14:paraId="0FBE9509">
            <w:pPr>
              <w:jc w:val="center"/>
            </w:pPr>
            <w:r>
              <w:rPr>
                <w:rFonts w:ascii="宋体" w:hAnsi="宋体" w:eastAsia="宋体"/>
                <w:sz w:val="24"/>
              </w:rPr>
              <w:t>（2024年度）</w:t>
            </w:r>
          </w:p>
        </w:tc>
      </w:tr>
      <w:tr w14:paraId="76A7FD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97333">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8710C1">
            <w:pPr>
              <w:jc w:val="center"/>
            </w:pPr>
            <w:r>
              <w:rPr>
                <w:rFonts w:ascii="宋体" w:hAnsi="宋体" w:eastAsia="宋体"/>
                <w:sz w:val="16"/>
              </w:rPr>
              <w:t>岳普湖县人民法院</w:t>
            </w:r>
          </w:p>
        </w:tc>
      </w:tr>
      <w:tr w14:paraId="513057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7363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51E2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BCB0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2145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1B70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37FD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F42A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8B30">
            <w:pPr>
              <w:jc w:val="center"/>
            </w:pPr>
            <w:r>
              <w:rPr>
                <w:rFonts w:ascii="宋体" w:hAnsi="宋体" w:eastAsia="宋体"/>
                <w:sz w:val="16"/>
              </w:rPr>
              <w:t>得分</w:t>
            </w:r>
          </w:p>
        </w:tc>
      </w:tr>
      <w:tr w14:paraId="1CD61A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8ED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5C96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1CC51">
            <w:pPr>
              <w:jc w:val="center"/>
            </w:pPr>
            <w:r>
              <w:rPr>
                <w:rFonts w:ascii="宋体" w:hAnsi="宋体" w:eastAsia="宋体"/>
                <w:sz w:val="16"/>
              </w:rPr>
              <w:t>1,583.66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73158">
            <w:pPr>
              <w:jc w:val="center"/>
            </w:pPr>
            <w:r>
              <w:rPr>
                <w:rFonts w:ascii="宋体" w:hAnsi="宋体" w:eastAsia="宋体"/>
                <w:sz w:val="16"/>
              </w:rPr>
              <w:t>1,595.96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0F30D">
            <w:pPr>
              <w:jc w:val="center"/>
            </w:pPr>
            <w:r>
              <w:rPr>
                <w:rFonts w:ascii="宋体" w:hAnsi="宋体" w:eastAsia="宋体"/>
                <w:sz w:val="16"/>
              </w:rPr>
              <w:t>1,595.96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306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139C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1F594">
            <w:pPr>
              <w:jc w:val="center"/>
            </w:pPr>
            <w:r>
              <w:rPr>
                <w:rFonts w:ascii="宋体" w:hAnsi="宋体" w:eastAsia="宋体"/>
                <w:sz w:val="16"/>
              </w:rPr>
              <w:t>10</w:t>
            </w:r>
          </w:p>
        </w:tc>
      </w:tr>
      <w:tr w14:paraId="644E5A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0B4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0337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C4588">
            <w:pPr>
              <w:jc w:val="center"/>
            </w:pPr>
            <w:r>
              <w:rPr>
                <w:rFonts w:ascii="宋体" w:hAnsi="宋体" w:eastAsia="宋体"/>
                <w:sz w:val="16"/>
              </w:rPr>
              <w:t>352.24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EFFC3">
            <w:pPr>
              <w:jc w:val="center"/>
            </w:pPr>
            <w:r>
              <w:rPr>
                <w:rFonts w:ascii="宋体" w:hAnsi="宋体" w:eastAsia="宋体"/>
                <w:sz w:val="16"/>
              </w:rPr>
              <w:t>394.64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AF03C">
            <w:pPr>
              <w:jc w:val="center"/>
            </w:pPr>
            <w:r>
              <w:rPr>
                <w:rFonts w:ascii="宋体" w:hAnsi="宋体" w:eastAsia="宋体"/>
                <w:sz w:val="16"/>
              </w:rPr>
              <w:t>394.64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720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67BE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00A2">
            <w:pPr>
              <w:jc w:val="center"/>
            </w:pPr>
            <w:r>
              <w:rPr>
                <w:rFonts w:ascii="宋体" w:hAnsi="宋体" w:eastAsia="宋体"/>
                <w:sz w:val="16"/>
              </w:rPr>
              <w:t>—</w:t>
            </w:r>
          </w:p>
        </w:tc>
      </w:tr>
      <w:tr w14:paraId="782CCA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0AC5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A753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309A0">
            <w:pPr>
              <w:jc w:val="center"/>
            </w:pPr>
            <w:r>
              <w:rPr>
                <w:rFonts w:ascii="宋体" w:hAnsi="宋体" w:eastAsia="宋体"/>
                <w:sz w:val="16"/>
              </w:rPr>
              <w:t>1,231.42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96B7">
            <w:pPr>
              <w:jc w:val="center"/>
            </w:pPr>
            <w:r>
              <w:rPr>
                <w:rFonts w:ascii="宋体" w:hAnsi="宋体" w:eastAsia="宋体"/>
                <w:sz w:val="16"/>
              </w:rPr>
              <w:t>1,201.32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9FDA2">
            <w:pPr>
              <w:jc w:val="center"/>
            </w:pPr>
            <w:r>
              <w:rPr>
                <w:rFonts w:ascii="宋体" w:hAnsi="宋体" w:eastAsia="宋体"/>
                <w:sz w:val="16"/>
              </w:rPr>
              <w:t>1,201.32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CCF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8C34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CDF5">
            <w:pPr>
              <w:jc w:val="center"/>
            </w:pPr>
            <w:r>
              <w:rPr>
                <w:rFonts w:ascii="宋体" w:hAnsi="宋体" w:eastAsia="宋体"/>
                <w:sz w:val="16"/>
              </w:rPr>
              <w:t>—</w:t>
            </w:r>
          </w:p>
        </w:tc>
      </w:tr>
      <w:tr w14:paraId="2971B8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EDC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1859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FA7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9D4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E4B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FB4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1E73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D1B23">
            <w:pPr>
              <w:jc w:val="center"/>
            </w:pPr>
            <w:r>
              <w:rPr>
                <w:rFonts w:ascii="宋体" w:hAnsi="宋体" w:eastAsia="宋体"/>
                <w:sz w:val="16"/>
              </w:rPr>
              <w:t>—</w:t>
            </w:r>
          </w:p>
        </w:tc>
      </w:tr>
      <w:tr w14:paraId="68686E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CEEE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2290D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93100E">
            <w:pPr>
              <w:jc w:val="center"/>
            </w:pPr>
            <w:r>
              <w:rPr>
                <w:rFonts w:ascii="宋体" w:hAnsi="宋体" w:eastAsia="宋体"/>
                <w:sz w:val="16"/>
              </w:rPr>
              <w:t>实际完成情况</w:t>
            </w:r>
          </w:p>
        </w:tc>
      </w:tr>
      <w:tr w14:paraId="36C60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092F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07C1DE">
            <w:pPr>
              <w:jc w:val="both"/>
            </w:pPr>
            <w:r>
              <w:rPr>
                <w:rFonts w:ascii="宋体" w:hAnsi="宋体" w:eastAsia="宋体"/>
                <w:sz w:val="16"/>
              </w:rPr>
              <w:t>岳普湖县人民法院要坚持以习近平新时代中国特色社会主义思想为指导，深入贯彻习近平法治思想，岳普湖县法院将以习近平新时代中国特色社会主义思想为指导，认真学习贯彻党的二十大精神，聚焦新时代党的治疆方略，紧紧围绕“努力让人民群众在每一个司法案件中感受到公平正义”的目标，为社会大局经济社会持续健康发展提供有力司法服务和保障，加大巡回审判力度，把纠纷解决在当地，把矛盾化解在基层，积极服务保障乡村振兴战略和市域社会治理，让人民群众在审判执行中切实感受到公平正义。我院计划2024年，办理各类案件4246件，结案4118件，结案率保持在96.98%以上，全院即将呈现总体审判质效指标位次前移，多项核心指标走在全疆法院前列的良好态势。今年努力提高依法推进“无诉”乡村建设率达到31.8%以上。提升我院依法审理刑事、民商事、执行各类案件质量。提高人民满意度，保障司法审判的各项工作顺利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DC1604">
            <w:pPr>
              <w:jc w:val="both"/>
            </w:pPr>
            <w:r>
              <w:rPr>
                <w:rFonts w:ascii="宋体" w:hAnsi="宋体" w:eastAsia="宋体"/>
                <w:sz w:val="16"/>
              </w:rPr>
              <w:t>岳普湖县人民法院要坚持以习近平新时代中国特色社会主义思想为指导，深入贯彻习近平法治思想，岳普湖县法院将以习近平新时代中国特色社会主义思想为指导，认真学习贯彻党的二十大精神，聚焦新时代党的治疆方略，紧紧围绕“努力让人民群众在每一个司法案件中感受到公平正义”的目标，加大巡回审判力度，把纠纷解决在当地，把矛盾化解在基层，积极服务保障乡村振兴战略和市域社会治理，让人民群众在审判执行中切实感受到公平正义。我院2024年，办理各类案件5426件，结案5170件，依法受理网上立案案件数2911件，依法推进“无诉”乡村建设率31.8%，在线办理保全率90.42%。全院即将呈现总体审判质效指标位次前移，多项核心指标走在全疆法院前列的良好态势。今年努力提高依法推进“无诉”乡村建设；提升我院依法审理刑事、民商事、执行各类案件质量；提高人民满意度，保障司法审判的各项工作顺利进行。</w:t>
            </w:r>
          </w:p>
        </w:tc>
      </w:tr>
      <w:tr w14:paraId="7A8241E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3038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D24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C2E8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2643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B936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F7D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C58F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33C8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01C3A">
            <w:pPr>
              <w:jc w:val="center"/>
            </w:pPr>
            <w:r>
              <w:rPr>
                <w:rFonts w:ascii="宋体" w:hAnsi="宋体" w:eastAsia="宋体"/>
                <w:sz w:val="16"/>
              </w:rPr>
              <w:t>得分</w:t>
            </w:r>
          </w:p>
        </w:tc>
      </w:tr>
      <w:tr w14:paraId="54F602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8406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158C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15840">
            <w:pPr>
              <w:jc w:val="center"/>
            </w:pPr>
            <w:r>
              <w:rPr>
                <w:rFonts w:ascii="宋体" w:hAnsi="宋体" w:eastAsia="宋体"/>
                <w:sz w:val="16"/>
              </w:rPr>
              <w:t>依法审理案件数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85E4D">
            <w:pPr>
              <w:jc w:val="center"/>
            </w:pPr>
            <w:r>
              <w:rPr>
                <w:rFonts w:ascii="宋体" w:hAnsi="宋体" w:eastAsia="宋体"/>
                <w:sz w:val="16"/>
              </w:rPr>
              <w:t>&gt;=4246件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0DC8A">
            <w:pPr>
              <w:jc w:val="center"/>
            </w:pPr>
            <w:r>
              <w:rPr>
                <w:rFonts w:ascii="宋体" w:hAnsi="宋体" w:eastAsia="宋体"/>
                <w:sz w:val="16"/>
              </w:rPr>
              <w:t>岳普湖县人民法院2023年工作报告、2024年岳普湖县人民法院工作计划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0552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BCF9A">
            <w:pPr>
              <w:jc w:val="center"/>
            </w:pPr>
            <w:r>
              <w:rPr>
                <w:rFonts w:ascii="宋体" w:hAnsi="宋体" w:eastAsia="宋体"/>
                <w:sz w:val="16"/>
              </w:rPr>
              <w:t>5426件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00B44">
            <w:pPr>
              <w:jc w:val="center"/>
            </w:pPr>
            <w:r>
              <w:rPr>
                <w:rFonts w:ascii="宋体" w:hAnsi="宋体" w:eastAsia="宋体"/>
                <w:sz w:val="16"/>
              </w:rPr>
              <w:t>127.79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F1947">
            <w:pPr>
              <w:jc w:val="center"/>
            </w:pPr>
            <w:r>
              <w:rPr>
                <w:rFonts w:ascii="宋体" w:hAnsi="宋体" w:eastAsia="宋体"/>
                <w:sz w:val="16"/>
              </w:rPr>
              <w:t>20</w:t>
            </w:r>
          </w:p>
        </w:tc>
      </w:tr>
      <w:tr w14:paraId="5EF033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911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61A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91BF5">
            <w:pPr>
              <w:jc w:val="center"/>
            </w:pPr>
            <w:r>
              <w:rPr>
                <w:rFonts w:ascii="宋体" w:hAnsi="宋体" w:eastAsia="宋体"/>
                <w:sz w:val="16"/>
              </w:rPr>
              <w:t>依法审理案件结案数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59F69">
            <w:pPr>
              <w:jc w:val="center"/>
            </w:pPr>
            <w:r>
              <w:rPr>
                <w:rFonts w:ascii="宋体" w:hAnsi="宋体" w:eastAsia="宋体"/>
                <w:sz w:val="16"/>
              </w:rPr>
              <w:t>&gt;=4118件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90260">
            <w:pPr>
              <w:jc w:val="center"/>
            </w:pPr>
            <w:r>
              <w:rPr>
                <w:rFonts w:ascii="宋体" w:hAnsi="宋体" w:eastAsia="宋体"/>
                <w:sz w:val="16"/>
              </w:rPr>
              <w:t>岳普湖县人民法院2023年工作报告、2024年岳普湖县人民法院工作计划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117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B3356">
            <w:pPr>
              <w:jc w:val="center"/>
            </w:pPr>
            <w:r>
              <w:rPr>
                <w:rFonts w:ascii="宋体" w:hAnsi="宋体" w:eastAsia="宋体"/>
                <w:sz w:val="16"/>
              </w:rPr>
              <w:t>5170件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6FC19">
            <w:pPr>
              <w:jc w:val="center"/>
            </w:pPr>
            <w:r>
              <w:rPr>
                <w:rFonts w:ascii="宋体" w:hAnsi="宋体" w:eastAsia="宋体"/>
                <w:sz w:val="16"/>
              </w:rPr>
              <w:t>125.55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63ABB">
            <w:pPr>
              <w:jc w:val="center"/>
            </w:pPr>
            <w:r>
              <w:rPr>
                <w:rFonts w:ascii="宋体" w:hAnsi="宋体" w:eastAsia="宋体"/>
                <w:sz w:val="16"/>
              </w:rPr>
              <w:t>20</w:t>
            </w:r>
          </w:p>
        </w:tc>
      </w:tr>
      <w:tr w14:paraId="33824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926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A66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9F426">
            <w:pPr>
              <w:jc w:val="center"/>
            </w:pPr>
            <w:r>
              <w:rPr>
                <w:rFonts w:ascii="宋体" w:hAnsi="宋体" w:eastAsia="宋体"/>
                <w:sz w:val="16"/>
              </w:rPr>
              <w:t>依法受理网上立案案件数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5F58A">
            <w:pPr>
              <w:jc w:val="center"/>
            </w:pPr>
            <w:r>
              <w:rPr>
                <w:rFonts w:ascii="宋体" w:hAnsi="宋体" w:eastAsia="宋体"/>
                <w:sz w:val="16"/>
              </w:rPr>
              <w:t>&gt;=2561件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6BB9">
            <w:pPr>
              <w:jc w:val="center"/>
            </w:pPr>
            <w:r>
              <w:rPr>
                <w:rFonts w:ascii="宋体" w:hAnsi="宋体" w:eastAsia="宋体"/>
                <w:sz w:val="16"/>
              </w:rPr>
              <w:t>岳普湖县人民法院2023年工作报告、2024年岳普湖县人民法院工作计划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9A4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AFAB8">
            <w:pPr>
              <w:jc w:val="center"/>
            </w:pPr>
            <w:r>
              <w:rPr>
                <w:rFonts w:ascii="宋体" w:hAnsi="宋体" w:eastAsia="宋体"/>
                <w:sz w:val="16"/>
              </w:rPr>
              <w:t>2911件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64D4D">
            <w:pPr>
              <w:jc w:val="center"/>
            </w:pPr>
            <w:r>
              <w:rPr>
                <w:rFonts w:ascii="宋体" w:hAnsi="宋体" w:eastAsia="宋体"/>
                <w:sz w:val="16"/>
              </w:rPr>
              <w:t>113.67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ADDA2">
            <w:pPr>
              <w:jc w:val="center"/>
            </w:pPr>
            <w:r>
              <w:rPr>
                <w:rFonts w:ascii="宋体" w:hAnsi="宋体" w:eastAsia="宋体"/>
                <w:sz w:val="16"/>
              </w:rPr>
              <w:t>20</w:t>
            </w:r>
          </w:p>
        </w:tc>
      </w:tr>
      <w:tr w14:paraId="139C0A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7A9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F39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0F865">
            <w:pPr>
              <w:jc w:val="center"/>
            </w:pPr>
            <w:r>
              <w:rPr>
                <w:rFonts w:ascii="宋体" w:hAnsi="宋体" w:eastAsia="宋体"/>
                <w:sz w:val="16"/>
              </w:rPr>
              <w:t>依法推进“无诉”乡村建设率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D9C75">
            <w:pPr>
              <w:jc w:val="center"/>
            </w:pPr>
            <w:r>
              <w:rPr>
                <w:rFonts w:ascii="宋体" w:hAnsi="宋体" w:eastAsia="宋体"/>
                <w:sz w:val="16"/>
              </w:rPr>
              <w:t>&gt;=31.80%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5FF0E">
            <w:pPr>
              <w:jc w:val="center"/>
            </w:pPr>
            <w:r>
              <w:rPr>
                <w:rFonts w:ascii="宋体" w:hAnsi="宋体" w:eastAsia="宋体"/>
                <w:sz w:val="16"/>
              </w:rPr>
              <w:t>岳普湖县人民法院2023年工作报告、2024年岳普湖县人民法院工作计划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2F3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780AF">
            <w:pPr>
              <w:jc w:val="center"/>
            </w:pPr>
            <w:r>
              <w:rPr>
                <w:rFonts w:ascii="宋体" w:hAnsi="宋体" w:eastAsia="宋体"/>
                <w:sz w:val="16"/>
              </w:rPr>
              <w:t>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72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EB94D">
            <w:pPr>
              <w:jc w:val="center"/>
            </w:pPr>
            <w:r>
              <w:rPr>
                <w:rFonts w:ascii="宋体" w:hAnsi="宋体" w:eastAsia="宋体"/>
                <w:sz w:val="16"/>
              </w:rPr>
              <w:t>15</w:t>
            </w:r>
          </w:p>
        </w:tc>
      </w:tr>
      <w:tr w14:paraId="3A2347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D71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58A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F5DD">
            <w:pPr>
              <w:jc w:val="center"/>
            </w:pPr>
            <w:r>
              <w:rPr>
                <w:rFonts w:ascii="宋体" w:hAnsi="宋体" w:eastAsia="宋体"/>
                <w:sz w:val="16"/>
              </w:rPr>
              <w:t>在线办理保全率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95C87">
            <w:pPr>
              <w:jc w:val="center"/>
            </w:pPr>
            <w:r>
              <w:rPr>
                <w:rFonts w:ascii="宋体" w:hAnsi="宋体" w:eastAsia="宋体"/>
                <w:sz w:val="16"/>
              </w:rPr>
              <w:t>&gt;=91.09%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E69EC">
            <w:pPr>
              <w:jc w:val="center"/>
            </w:pPr>
            <w:r>
              <w:rPr>
                <w:rFonts w:ascii="宋体" w:hAnsi="宋体" w:eastAsia="宋体"/>
                <w:sz w:val="16"/>
              </w:rPr>
              <w:t>岳普湖县人民法院2023年工作报告、2024年岳普湖县人民法院工作计划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9997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AC927">
            <w:pPr>
              <w:jc w:val="center"/>
            </w:pPr>
            <w:r>
              <w:rPr>
                <w:rFonts w:ascii="宋体" w:hAnsi="宋体" w:eastAsia="宋体"/>
                <w:sz w:val="16"/>
              </w:rPr>
              <w:t>90.42%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8DC9D">
            <w:pPr>
              <w:jc w:val="center"/>
            </w:pPr>
            <w:r>
              <w:rPr>
                <w:rFonts w:ascii="宋体" w:hAnsi="宋体" w:eastAsia="宋体"/>
                <w:sz w:val="16"/>
              </w:rPr>
              <w:t>99.26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B6B0">
            <w:pPr>
              <w:jc w:val="center"/>
            </w:pPr>
            <w:r>
              <w:rPr>
                <w:rFonts w:ascii="宋体" w:hAnsi="宋体" w:eastAsia="宋体"/>
                <w:sz w:val="16"/>
              </w:rPr>
              <w:t>14.89</w:t>
            </w:r>
          </w:p>
        </w:tc>
      </w:tr>
    </w:tbl>
    <w:p w14:paraId="1C5F4E5F">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9973B1B">
        <w:tblPrEx>
          <w:tblCellMar>
            <w:top w:w="0" w:type="dxa"/>
            <w:left w:w="108" w:type="dxa"/>
            <w:bottom w:w="0" w:type="dxa"/>
            <w:right w:w="108" w:type="dxa"/>
          </w:tblCellMar>
        </w:tblPrEx>
        <w:tc>
          <w:tcPr>
            <w:tcW w:w="8848" w:type="dxa"/>
            <w:gridSpan w:val="14"/>
            <w:vAlign w:val="center"/>
          </w:tcPr>
          <w:p w14:paraId="53AE5BC4">
            <w:pPr>
              <w:jc w:val="center"/>
            </w:pPr>
            <w:r>
              <w:rPr>
                <w:rFonts w:ascii="宋体" w:hAnsi="宋体" w:eastAsia="宋体"/>
                <w:sz w:val="24"/>
              </w:rPr>
              <w:t>项目支出绩效自评表</w:t>
            </w:r>
          </w:p>
        </w:tc>
      </w:tr>
      <w:tr w14:paraId="3CE61BEE">
        <w:tblPrEx>
          <w:tblCellMar>
            <w:top w:w="0" w:type="dxa"/>
            <w:left w:w="108" w:type="dxa"/>
            <w:bottom w:w="0" w:type="dxa"/>
            <w:right w:w="108" w:type="dxa"/>
          </w:tblCellMar>
        </w:tblPrEx>
        <w:tc>
          <w:tcPr>
            <w:tcW w:w="8848" w:type="dxa"/>
            <w:gridSpan w:val="14"/>
            <w:vAlign w:val="center"/>
          </w:tcPr>
          <w:p w14:paraId="05039BF7">
            <w:pPr>
              <w:jc w:val="center"/>
            </w:pPr>
            <w:r>
              <w:rPr>
                <w:rFonts w:ascii="宋体" w:hAnsi="宋体" w:eastAsia="宋体"/>
                <w:sz w:val="24"/>
              </w:rPr>
              <w:t>(2024年度)</w:t>
            </w:r>
          </w:p>
        </w:tc>
      </w:tr>
      <w:tr w14:paraId="297131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D7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8FA30F">
            <w:pPr>
              <w:jc w:val="center"/>
            </w:pPr>
            <w:r>
              <w:rPr>
                <w:rFonts w:ascii="宋体" w:hAnsi="宋体" w:eastAsia="宋体"/>
                <w:sz w:val="16"/>
              </w:rPr>
              <w:t>综合业务保障项目</w:t>
            </w:r>
          </w:p>
        </w:tc>
      </w:tr>
      <w:tr w14:paraId="2AC541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D6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FE591">
            <w:pPr>
              <w:jc w:val="center"/>
            </w:pPr>
            <w:r>
              <w:rPr>
                <w:rFonts w:ascii="宋体" w:hAnsi="宋体" w:eastAsia="宋体"/>
                <w:sz w:val="16"/>
              </w:rPr>
              <w:t>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0D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DA7072">
            <w:pPr>
              <w:jc w:val="center"/>
            </w:pPr>
            <w:r>
              <w:rPr>
                <w:rFonts w:ascii="宋体" w:hAnsi="宋体" w:eastAsia="宋体"/>
                <w:sz w:val="16"/>
              </w:rPr>
              <w:t>岳普湖县人民法院</w:t>
            </w:r>
          </w:p>
        </w:tc>
      </w:tr>
      <w:tr w14:paraId="44FD12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044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17C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F10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68E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6F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D80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725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0EEF">
            <w:pPr>
              <w:jc w:val="center"/>
            </w:pPr>
            <w:r>
              <w:rPr>
                <w:rFonts w:ascii="宋体" w:hAnsi="宋体" w:eastAsia="宋体"/>
                <w:sz w:val="16"/>
              </w:rPr>
              <w:t>得分</w:t>
            </w:r>
          </w:p>
        </w:tc>
      </w:tr>
      <w:tr w14:paraId="61ACF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C70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BF9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9100">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75A19">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A908C">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72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85C6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16FA">
            <w:pPr>
              <w:jc w:val="center"/>
            </w:pPr>
            <w:r>
              <w:rPr>
                <w:rFonts w:ascii="宋体" w:hAnsi="宋体" w:eastAsia="宋体"/>
                <w:sz w:val="16"/>
              </w:rPr>
              <w:t>10.00分</w:t>
            </w:r>
          </w:p>
        </w:tc>
      </w:tr>
      <w:tr w14:paraId="0DE3A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3F5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40A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3DC7">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E18CB">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620BC">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B66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329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D08A">
            <w:pPr>
              <w:jc w:val="center"/>
            </w:pPr>
            <w:r>
              <w:rPr>
                <w:rFonts w:ascii="宋体" w:hAnsi="宋体" w:eastAsia="宋体"/>
                <w:sz w:val="16"/>
              </w:rPr>
              <w:t>—</w:t>
            </w:r>
          </w:p>
        </w:tc>
      </w:tr>
      <w:tr w14:paraId="1AC3C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43B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0D9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C1E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20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332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EF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45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D150">
            <w:pPr>
              <w:jc w:val="center"/>
            </w:pPr>
            <w:r>
              <w:rPr>
                <w:rFonts w:ascii="宋体" w:hAnsi="宋体" w:eastAsia="宋体"/>
                <w:sz w:val="16"/>
              </w:rPr>
              <w:t>—</w:t>
            </w:r>
          </w:p>
        </w:tc>
      </w:tr>
      <w:tr w14:paraId="66E364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4C4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B64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DEE2F9">
            <w:pPr>
              <w:jc w:val="center"/>
            </w:pPr>
            <w:r>
              <w:rPr>
                <w:rFonts w:ascii="宋体" w:hAnsi="宋体" w:eastAsia="宋体"/>
                <w:sz w:val="16"/>
              </w:rPr>
              <w:t>实际完成情况</w:t>
            </w:r>
          </w:p>
        </w:tc>
      </w:tr>
      <w:tr w14:paraId="0EA03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0C2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04A5B">
            <w:pPr>
              <w:jc w:val="both"/>
            </w:pPr>
            <w:r>
              <w:rPr>
                <w:rFonts w:ascii="宋体" w:hAnsi="宋体" w:eastAsia="宋体"/>
                <w:sz w:val="16"/>
              </w:rPr>
              <w:t>项目预算安排资金1.8万元，其中：财政资金1.8万元，其他资金0万元。用于差旅费1.43万元，租赁费0.32万元，物业管理费0.05万元，该项目的实施提升我院办案质量及经费使用效益，全面推进各项审判执行工作，保障了援疆干部在新疆挂职期间的生活需求，提升了政府机关对人才引进的积极的影响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03EDD">
            <w:pPr>
              <w:jc w:val="both"/>
            </w:pPr>
            <w:r>
              <w:rPr>
                <w:rFonts w:hint="eastAsia" w:ascii="宋体" w:hAnsi="宋体"/>
                <w:sz w:val="16"/>
                <w:lang w:eastAsia="zh-CN"/>
              </w:rPr>
              <w:t>截至</w:t>
            </w:r>
            <w:r>
              <w:rPr>
                <w:rFonts w:ascii="宋体" w:hAnsi="宋体" w:eastAsia="宋体"/>
                <w:sz w:val="16"/>
              </w:rPr>
              <w:t>2024年6月30日，该项目中的1.43万元用于支付干警差旅费，0.32万元用于支付援疆干部交流房租赁费，0.05万元用于支付援疆干部交流房物业管理费。该项目保障了我院干警外出办案差旅费以及援疆干部在我院挂职期间的生活需求，提升了我院的工作效率及人才引进的积极的影响效果。</w:t>
            </w:r>
          </w:p>
        </w:tc>
      </w:tr>
      <w:tr w14:paraId="3784E9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AD6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5C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8B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18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4B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2F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42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52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99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54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F7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A0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4982">
            <w:pPr>
              <w:jc w:val="center"/>
            </w:pPr>
            <w:r>
              <w:rPr>
                <w:rFonts w:ascii="宋体" w:hAnsi="宋体" w:eastAsia="宋体"/>
                <w:sz w:val="16"/>
              </w:rPr>
              <w:t>偏差原因分析及改进措施</w:t>
            </w:r>
          </w:p>
        </w:tc>
      </w:tr>
      <w:tr w14:paraId="3168B2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5EB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C62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CF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435E">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66EB">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2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1A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ED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C6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A5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7B5F">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A6C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AEA3">
            <w:pPr>
              <w:jc w:val="center"/>
            </w:pPr>
          </w:p>
        </w:tc>
      </w:tr>
      <w:tr w14:paraId="21126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BE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3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AB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AB5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6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7A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B5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6C2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A2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BE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6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710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5AE7">
            <w:pPr>
              <w:jc w:val="center"/>
            </w:pPr>
          </w:p>
        </w:tc>
      </w:tr>
      <w:tr w14:paraId="4EBD7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3C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C9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E4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25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718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F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B6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C2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CD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11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DC3F">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38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F8DC">
            <w:pPr>
              <w:jc w:val="center"/>
            </w:pPr>
          </w:p>
        </w:tc>
      </w:tr>
      <w:tr w14:paraId="57418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7E7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12F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7A3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24C0">
            <w:pPr>
              <w:jc w:val="center"/>
            </w:pPr>
            <w:r>
              <w:rPr>
                <w:rFonts w:ascii="宋体" w:hAnsi="宋体" w:eastAsia="宋体"/>
                <w:sz w:val="16"/>
              </w:rPr>
              <w:t>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14F1">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2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2E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CA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52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24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C823">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D2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12A70">
            <w:pPr>
              <w:jc w:val="center"/>
            </w:pPr>
          </w:p>
        </w:tc>
      </w:tr>
      <w:tr w14:paraId="3BF97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D8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70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68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A7E5">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EBB3">
            <w:pPr>
              <w:jc w:val="center"/>
            </w:pPr>
            <w:r>
              <w:rPr>
                <w:rFonts w:ascii="宋体" w:hAnsi="宋体" w:eastAsia="宋体"/>
                <w:sz w:val="16"/>
              </w:rPr>
              <w:t>&lt;=1.43万元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D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FA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C6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A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DD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A48D">
            <w:pPr>
              <w:jc w:val="center"/>
            </w:pPr>
            <w:r>
              <w:rPr>
                <w:rFonts w:ascii="宋体" w:hAnsi="宋体" w:eastAsia="宋体"/>
                <w:sz w:val="16"/>
              </w:rPr>
              <w:t>=1.43万元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7A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9D9F">
            <w:pPr>
              <w:jc w:val="center"/>
            </w:pPr>
          </w:p>
        </w:tc>
      </w:tr>
      <w:tr w14:paraId="5E8BB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72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C8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8C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FF04">
            <w:pPr>
              <w:jc w:val="center"/>
            </w:pPr>
            <w:r>
              <w:rPr>
                <w:rFonts w:ascii="宋体" w:hAnsi="宋体" w:eastAsia="宋体"/>
                <w:sz w:val="16"/>
              </w:rPr>
              <w:t>物业管理费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09D9">
            <w:pPr>
              <w:jc w:val="center"/>
            </w:pPr>
            <w:r>
              <w:rPr>
                <w:rFonts w:ascii="宋体" w:hAnsi="宋体" w:eastAsia="宋体"/>
                <w:sz w:val="16"/>
              </w:rPr>
              <w:t>&lt;=0.05万元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5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55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75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84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17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CA46">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9B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BAC98">
            <w:pPr>
              <w:jc w:val="center"/>
            </w:pPr>
          </w:p>
        </w:tc>
      </w:tr>
      <w:tr w14:paraId="7A268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CF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90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2C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1180">
            <w:pPr>
              <w:jc w:val="center"/>
            </w:pPr>
            <w:r>
              <w:rPr>
                <w:rFonts w:ascii="宋体" w:hAnsi="宋体" w:eastAsia="宋体"/>
                <w:sz w:val="16"/>
              </w:rPr>
              <w:t>提高司法审判工作质量情况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6CD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B9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3C2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90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A6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58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434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F0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F079">
            <w:pPr>
              <w:jc w:val="center"/>
            </w:pPr>
          </w:p>
        </w:tc>
      </w:tr>
      <w:tr w14:paraId="03644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F1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5B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E3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E353">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8A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7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66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0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64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0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C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47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7602">
            <w:pPr>
              <w:jc w:val="center"/>
            </w:pPr>
            <w:r>
              <w:rPr>
                <w:rFonts w:ascii="宋体" w:hAnsi="宋体" w:eastAsia="宋体"/>
                <w:sz w:val="16"/>
              </w:rPr>
              <w:t>因此项目能够及时满足了干警对差旅费、租赁费、物业管理费的需求，我院全体干警对此项目满意度较高，超出了预期目标值，导致满意度为105.26%</w:t>
            </w:r>
          </w:p>
        </w:tc>
      </w:tr>
      <w:tr w14:paraId="350F49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A8F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86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13D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3D9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CDD511"/>
        </w:tc>
      </w:tr>
    </w:tbl>
    <w:p w14:paraId="4E96F30F">
      <w:r>
        <w:br w:type="page"/>
      </w:r>
    </w:p>
    <w:p w14:paraId="5FCF055E">
      <w:pPr>
        <w:spacing w:line="640" w:lineRule="exact"/>
        <w:ind w:firstLine="640"/>
        <w:jc w:val="both"/>
        <w:outlineLvl w:val="2"/>
      </w:pPr>
      <w:r>
        <w:rPr>
          <w:rFonts w:ascii="黑体" w:hAnsi="黑体" w:eastAsia="黑体"/>
          <w:sz w:val="32"/>
        </w:rPr>
        <w:t>十二、其他需说明的事项</w:t>
      </w:r>
    </w:p>
    <w:p w14:paraId="1A27FB4A">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项目6个，</w:t>
      </w:r>
      <w:bookmarkStart w:id="0" w:name="_GoBack"/>
      <w:bookmarkEnd w:id="0"/>
      <w:r>
        <w:rPr>
          <w:rFonts w:ascii="仿宋_GB2312" w:hAnsi="仿宋_GB2312" w:eastAsia="仿宋_GB2312"/>
          <w:b w:val="0"/>
          <w:sz w:val="32"/>
        </w:rPr>
        <w:t>全年预算数392.84万元，全年执行数392.84万元。</w:t>
      </w:r>
    </w:p>
    <w:p w14:paraId="5309EC32">
      <w:r>
        <w:br w:type="page"/>
      </w:r>
    </w:p>
    <w:p w14:paraId="5E099C79">
      <w:pPr>
        <w:spacing w:line="240" w:lineRule="auto"/>
        <w:jc w:val="center"/>
        <w:outlineLvl w:val="1"/>
      </w:pPr>
      <w:r>
        <w:rPr>
          <w:rFonts w:ascii="黑体" w:hAnsi="黑体" w:eastAsia="黑体"/>
          <w:sz w:val="32"/>
        </w:rPr>
        <w:t>第三部分 专业名词解释</w:t>
      </w:r>
    </w:p>
    <w:p w14:paraId="7CF46D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B3544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DD87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92649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7D912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93553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DE72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3316C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DBD70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4EB64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E6F7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AC72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A9964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90CBC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8CC902">
      <w:r>
        <w:br w:type="page"/>
      </w:r>
    </w:p>
    <w:p w14:paraId="4CC1D9D8">
      <w:pPr>
        <w:spacing w:line="240" w:lineRule="auto"/>
        <w:jc w:val="center"/>
        <w:outlineLvl w:val="1"/>
      </w:pPr>
      <w:r>
        <w:rPr>
          <w:rFonts w:ascii="黑体" w:hAnsi="黑体" w:eastAsia="黑体"/>
          <w:sz w:val="32"/>
        </w:rPr>
        <w:t>第四部分 部门决算报表（见附表）</w:t>
      </w:r>
    </w:p>
    <w:p w14:paraId="1DB3F89B">
      <w:pPr>
        <w:spacing w:line="240" w:lineRule="auto"/>
        <w:ind w:firstLine="640"/>
        <w:jc w:val="both"/>
      </w:pPr>
      <w:r>
        <w:rPr>
          <w:rFonts w:ascii="仿宋_GB2312" w:hAnsi="仿宋_GB2312" w:eastAsia="仿宋_GB2312"/>
          <w:b w:val="0"/>
          <w:sz w:val="32"/>
        </w:rPr>
        <w:t>一、《收入支出决算总表》</w:t>
      </w:r>
    </w:p>
    <w:p w14:paraId="4EA16938">
      <w:pPr>
        <w:spacing w:line="240" w:lineRule="auto"/>
        <w:ind w:firstLine="640"/>
        <w:jc w:val="both"/>
      </w:pPr>
      <w:r>
        <w:rPr>
          <w:rFonts w:ascii="仿宋_GB2312" w:hAnsi="仿宋_GB2312" w:eastAsia="仿宋_GB2312"/>
          <w:b w:val="0"/>
          <w:sz w:val="32"/>
        </w:rPr>
        <w:t>二、《收入决算表》</w:t>
      </w:r>
    </w:p>
    <w:p w14:paraId="496B50DC">
      <w:pPr>
        <w:spacing w:line="240" w:lineRule="auto"/>
        <w:ind w:firstLine="640"/>
        <w:jc w:val="both"/>
      </w:pPr>
      <w:r>
        <w:rPr>
          <w:rFonts w:ascii="仿宋_GB2312" w:hAnsi="仿宋_GB2312" w:eastAsia="仿宋_GB2312"/>
          <w:b w:val="0"/>
          <w:sz w:val="32"/>
        </w:rPr>
        <w:t>三、《支出决算表》</w:t>
      </w:r>
    </w:p>
    <w:p w14:paraId="28278FD7">
      <w:pPr>
        <w:spacing w:line="240" w:lineRule="auto"/>
        <w:ind w:firstLine="640"/>
        <w:jc w:val="both"/>
      </w:pPr>
      <w:r>
        <w:rPr>
          <w:rFonts w:ascii="仿宋_GB2312" w:hAnsi="仿宋_GB2312" w:eastAsia="仿宋_GB2312"/>
          <w:b w:val="0"/>
          <w:sz w:val="32"/>
        </w:rPr>
        <w:t>四、《财政拨款收入支出决算总表》</w:t>
      </w:r>
    </w:p>
    <w:p w14:paraId="43FCEBD3">
      <w:pPr>
        <w:spacing w:line="240" w:lineRule="auto"/>
        <w:ind w:firstLine="640"/>
        <w:jc w:val="both"/>
      </w:pPr>
      <w:r>
        <w:rPr>
          <w:rFonts w:ascii="仿宋_GB2312" w:hAnsi="仿宋_GB2312" w:eastAsia="仿宋_GB2312"/>
          <w:b w:val="0"/>
          <w:sz w:val="32"/>
        </w:rPr>
        <w:t>五、《一般公共预算财政拨款支出决算表》</w:t>
      </w:r>
    </w:p>
    <w:p w14:paraId="6F37033A">
      <w:pPr>
        <w:spacing w:line="240" w:lineRule="auto"/>
        <w:ind w:firstLine="640"/>
        <w:jc w:val="both"/>
      </w:pPr>
      <w:r>
        <w:rPr>
          <w:rFonts w:ascii="仿宋_GB2312" w:hAnsi="仿宋_GB2312" w:eastAsia="仿宋_GB2312"/>
          <w:b w:val="0"/>
          <w:sz w:val="32"/>
        </w:rPr>
        <w:t>六、《一般公共预算财政拨款基本支出决算表》</w:t>
      </w:r>
    </w:p>
    <w:p w14:paraId="3A994A50">
      <w:pPr>
        <w:spacing w:line="240" w:lineRule="auto"/>
        <w:ind w:firstLine="640"/>
        <w:jc w:val="both"/>
      </w:pPr>
      <w:r>
        <w:rPr>
          <w:rFonts w:ascii="仿宋_GB2312" w:hAnsi="仿宋_GB2312" w:eastAsia="仿宋_GB2312"/>
          <w:b w:val="0"/>
          <w:sz w:val="32"/>
        </w:rPr>
        <w:t>七、《政府性基金预算财政拨款收入支出决算表》</w:t>
      </w:r>
    </w:p>
    <w:p w14:paraId="0EA68925">
      <w:pPr>
        <w:spacing w:line="240" w:lineRule="auto"/>
        <w:ind w:firstLine="640"/>
        <w:jc w:val="both"/>
      </w:pPr>
      <w:r>
        <w:rPr>
          <w:rFonts w:ascii="仿宋_GB2312" w:hAnsi="仿宋_GB2312" w:eastAsia="仿宋_GB2312"/>
          <w:b w:val="0"/>
          <w:sz w:val="32"/>
        </w:rPr>
        <w:t>八、《国有资本经营预算财政拨款收入支出决算表》</w:t>
      </w:r>
    </w:p>
    <w:p w14:paraId="68C8FBCF">
      <w:pPr>
        <w:spacing w:line="240" w:lineRule="auto"/>
        <w:ind w:firstLine="640"/>
        <w:jc w:val="both"/>
      </w:pPr>
      <w:r>
        <w:rPr>
          <w:rFonts w:ascii="仿宋_GB2312" w:hAnsi="仿宋_GB2312" w:eastAsia="仿宋_GB2312"/>
          <w:b w:val="0"/>
          <w:sz w:val="32"/>
        </w:rPr>
        <w:t>九、《财政拨款“三公”经费支出决算表》</w:t>
      </w:r>
    </w:p>
    <w:p w14:paraId="6DBA3F94">
      <w:pPr>
        <w:spacing w:line="240" w:lineRule="auto"/>
        <w:ind w:firstLine="640"/>
        <w:jc w:val="both"/>
      </w:pPr>
    </w:p>
    <w:p w14:paraId="52F41529">
      <w:pPr>
        <w:spacing w:line="240" w:lineRule="auto"/>
        <w:ind w:firstLine="640"/>
        <w:jc w:val="both"/>
      </w:pPr>
    </w:p>
    <w:p w14:paraId="4754B7DC">
      <w:pPr>
        <w:spacing w:line="240" w:lineRule="auto"/>
        <w:ind w:firstLine="640"/>
        <w:jc w:val="both"/>
      </w:pPr>
    </w:p>
    <w:p w14:paraId="6FF25D66">
      <w:pPr>
        <w:spacing w:line="240" w:lineRule="auto"/>
        <w:ind w:firstLine="640"/>
        <w:jc w:val="both"/>
      </w:pPr>
    </w:p>
    <w:p w14:paraId="5BFB74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B8C6E1-7611-43C1-9180-35F617D3C4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DE8437B-86C2-4083-A066-F6FD98EFF084}"/>
  </w:font>
  <w:font w:name="方正小标宋_GBK">
    <w:panose1 w:val="02000000000000000000"/>
    <w:charset w:val="86"/>
    <w:family w:val="script"/>
    <w:pitch w:val="default"/>
    <w:sig w:usb0="A00002BF" w:usb1="38CF7CFA" w:usb2="00082016" w:usb3="00000000" w:csb0="00040001" w:csb1="00000000"/>
    <w:embedRegular r:id="rId3" w:fontKey="{4515EB66-18E0-4537-A856-ABF49C86C6E9}"/>
  </w:font>
  <w:font w:name="楷体_GB2312">
    <w:altName w:val="楷体"/>
    <w:panose1 w:val="00000000000000000000"/>
    <w:charset w:val="00"/>
    <w:family w:val="auto"/>
    <w:pitch w:val="default"/>
    <w:sig w:usb0="00000000" w:usb1="00000000" w:usb2="00000000" w:usb3="00000000" w:csb0="00000000" w:csb1="00000000"/>
    <w:embedRegular r:id="rId4" w:fontKey="{FB0F358B-5DAF-4206-BC58-FD22DA213E84}"/>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DDB6FD4"/>
    <w:rsid w:val="2FD27414"/>
    <w:rsid w:val="313F1D52"/>
    <w:rsid w:val="318029AB"/>
    <w:rsid w:val="31C63837"/>
    <w:rsid w:val="326F0A17"/>
    <w:rsid w:val="3277581B"/>
    <w:rsid w:val="38006E2C"/>
    <w:rsid w:val="3914510A"/>
    <w:rsid w:val="3B1220C9"/>
    <w:rsid w:val="3CF01551"/>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7544DD"/>
    <w:rsid w:val="50DB5F45"/>
    <w:rsid w:val="52F92565"/>
    <w:rsid w:val="543D17CB"/>
    <w:rsid w:val="55DA564E"/>
    <w:rsid w:val="56E07045"/>
    <w:rsid w:val="583059FA"/>
    <w:rsid w:val="587E6212"/>
    <w:rsid w:val="5AFC6609"/>
    <w:rsid w:val="5E7D13A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6054</Words>
  <Characters>7053</Characters>
  <Lines>0</Lines>
  <Paragraphs>0</Paragraphs>
  <TotalTime>0</TotalTime>
  <ScaleCrop>false</ScaleCrop>
  <LinksUpToDate>false</LinksUpToDate>
  <CharactersWithSpaces>7061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