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769D3EAE">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lang w:val="en-US" w:eastAsia="zh-CN"/>
        </w:rPr>
      </w:pPr>
      <w:r>
        <w:rPr>
          <w:rFonts w:hint="eastAsia" w:ascii="方正小标宋_GBK" w:hAnsi="宋体" w:eastAsia="方正小标宋_GBK"/>
          <w:sz w:val="44"/>
          <w:szCs w:val="44"/>
          <w:highlight w:val="none"/>
          <w:lang w:val="en-US" w:eastAsia="zh-CN"/>
        </w:rPr>
        <w:t>巴楚县人民检察院</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部门概况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4A651CCC">
      <w:r>
        <w:br w:type="page"/>
      </w:r>
    </w:p>
    <w:p w14:paraId="0DA192D6">
      <w:pPr>
        <w:spacing w:line="640" w:lineRule="exact"/>
        <w:jc w:val="center"/>
        <w:outlineLvl w:val="1"/>
      </w:pPr>
      <w:r>
        <w:rPr>
          <w:rFonts w:ascii="黑体" w:hAnsi="黑体" w:eastAsia="黑体"/>
          <w:sz w:val="32"/>
        </w:rPr>
        <w:t>第一部分 部门概况</w:t>
      </w:r>
    </w:p>
    <w:p w14:paraId="10C59D37">
      <w:pPr>
        <w:spacing w:line="640" w:lineRule="exact"/>
        <w:ind w:firstLine="640"/>
        <w:jc w:val="both"/>
        <w:outlineLvl w:val="2"/>
      </w:pPr>
      <w:r>
        <w:rPr>
          <w:rFonts w:ascii="黑体" w:hAnsi="黑体" w:eastAsia="黑体"/>
          <w:sz w:val="32"/>
        </w:rPr>
        <w:t>一、主要职能</w:t>
      </w:r>
    </w:p>
    <w:p w14:paraId="11288551">
      <w:pPr>
        <w:spacing w:line="580" w:lineRule="exact"/>
        <w:ind w:firstLine="640"/>
        <w:jc w:val="both"/>
      </w:pPr>
      <w:r>
        <w:rPr>
          <w:rFonts w:hint="eastAsia" w:ascii="仿宋_GB2312" w:hAnsi="仿宋_GB2312" w:eastAsia="仿宋_GB2312"/>
          <w:sz w:val="32"/>
          <w:lang w:eastAsia="zh-CN"/>
        </w:rPr>
        <w:t>1.</w:t>
      </w:r>
      <w:r>
        <w:rPr>
          <w:rFonts w:ascii="仿宋_GB2312" w:hAnsi="仿宋_GB2312" w:eastAsia="仿宋_GB2312"/>
          <w:sz w:val="32"/>
        </w:rPr>
        <w:t>深入贯彻习近平新时代中国特色社会主义思想，深入贯彻党的路线方针政策和决策部署，聚焦社会长治久安总目标，统一全院检察人员思想和行动，坚持党对检察工作的绝对领导，坚决维护习近平总书记党中央的核心、全党的核心地位，坚决维护党中央权威和集中统一领导。</w:t>
      </w:r>
    </w:p>
    <w:p w14:paraId="2976C448">
      <w:pPr>
        <w:spacing w:line="580" w:lineRule="exact"/>
        <w:ind w:firstLine="640"/>
        <w:jc w:val="both"/>
      </w:pPr>
      <w:r>
        <w:rPr>
          <w:rFonts w:hint="eastAsia" w:ascii="仿宋_GB2312" w:hAnsi="仿宋_GB2312" w:eastAsia="仿宋_GB2312"/>
          <w:sz w:val="32"/>
          <w:lang w:eastAsia="zh-CN"/>
        </w:rPr>
        <w:t>2.</w:t>
      </w:r>
      <w:r>
        <w:rPr>
          <w:rFonts w:ascii="仿宋_GB2312" w:hAnsi="仿宋_GB2312" w:eastAsia="仿宋_GB2312"/>
          <w:sz w:val="32"/>
        </w:rPr>
        <w:t>依法向巴楚县人民代表大会及其常务委员会提出议案。</w:t>
      </w:r>
    </w:p>
    <w:p w14:paraId="305AC3EF">
      <w:pPr>
        <w:spacing w:line="580" w:lineRule="exact"/>
        <w:ind w:firstLine="640"/>
        <w:jc w:val="both"/>
      </w:pPr>
      <w:r>
        <w:rPr>
          <w:rFonts w:hint="eastAsia" w:ascii="仿宋_GB2312" w:hAnsi="仿宋_GB2312" w:eastAsia="仿宋_GB2312"/>
          <w:sz w:val="32"/>
          <w:lang w:eastAsia="zh-CN"/>
        </w:rPr>
        <w:t>3.</w:t>
      </w:r>
      <w:r>
        <w:rPr>
          <w:rFonts w:ascii="仿宋_GB2312" w:hAnsi="仿宋_GB2312" w:eastAsia="仿宋_GB2312"/>
          <w:sz w:val="32"/>
        </w:rPr>
        <w:t>贯彻落实检察工作方针、总体规划，完成检察工作任务。</w:t>
      </w:r>
    </w:p>
    <w:p w14:paraId="7A4D5795">
      <w:pPr>
        <w:spacing w:line="580" w:lineRule="exact"/>
        <w:ind w:firstLine="640"/>
        <w:jc w:val="both"/>
      </w:pPr>
      <w:r>
        <w:rPr>
          <w:rFonts w:hint="eastAsia" w:ascii="仿宋_GB2312" w:hAnsi="仿宋_GB2312" w:eastAsia="仿宋_GB2312"/>
          <w:sz w:val="32"/>
          <w:lang w:eastAsia="zh-CN"/>
        </w:rPr>
        <w:t>4.</w:t>
      </w:r>
      <w:r>
        <w:rPr>
          <w:rFonts w:ascii="仿宋_GB2312" w:hAnsi="仿宋_GB2312" w:eastAsia="仿宋_GB2312"/>
          <w:sz w:val="32"/>
        </w:rPr>
        <w:t>开展检察应用和理论研究工作。</w:t>
      </w:r>
    </w:p>
    <w:p w14:paraId="5F025269">
      <w:pPr>
        <w:spacing w:line="580" w:lineRule="exact"/>
        <w:ind w:firstLine="640"/>
        <w:jc w:val="both"/>
      </w:pPr>
      <w:r>
        <w:rPr>
          <w:rFonts w:hint="eastAsia" w:ascii="仿宋_GB2312" w:hAnsi="仿宋_GB2312" w:eastAsia="仿宋_GB2312"/>
          <w:sz w:val="32"/>
          <w:lang w:eastAsia="zh-CN"/>
        </w:rPr>
        <w:t>5.</w:t>
      </w:r>
      <w:r>
        <w:rPr>
          <w:rFonts w:ascii="仿宋_GB2312" w:hAnsi="仿宋_GB2312" w:eastAsia="仿宋_GB2312"/>
          <w:sz w:val="32"/>
        </w:rPr>
        <w:t>负责本院队伍建设和思想政治工作。依法管理检察官及其他人员的工作，开展检察机关教育培训工作。</w:t>
      </w:r>
    </w:p>
    <w:p w14:paraId="4AFB5BFE">
      <w:pPr>
        <w:spacing w:line="580" w:lineRule="exact"/>
        <w:ind w:firstLine="640"/>
        <w:jc w:val="both"/>
      </w:pPr>
      <w:r>
        <w:rPr>
          <w:rFonts w:hint="eastAsia" w:ascii="仿宋_GB2312" w:hAnsi="仿宋_GB2312" w:eastAsia="仿宋_GB2312"/>
          <w:sz w:val="32"/>
          <w:lang w:eastAsia="zh-CN"/>
        </w:rPr>
        <w:t>6.</w:t>
      </w:r>
      <w:r>
        <w:rPr>
          <w:rFonts w:ascii="仿宋_GB2312" w:hAnsi="仿宋_GB2312" w:eastAsia="仿宋_GB2312"/>
          <w:sz w:val="32"/>
        </w:rPr>
        <w:t>开展本院检务督察工作。</w:t>
      </w:r>
    </w:p>
    <w:p w14:paraId="58419B4C">
      <w:pPr>
        <w:spacing w:line="580" w:lineRule="exact"/>
        <w:ind w:firstLine="640"/>
        <w:jc w:val="both"/>
      </w:pPr>
      <w:r>
        <w:rPr>
          <w:rFonts w:hint="eastAsia" w:ascii="仿宋_GB2312" w:hAnsi="仿宋_GB2312" w:eastAsia="仿宋_GB2312"/>
          <w:sz w:val="32"/>
          <w:lang w:eastAsia="zh-CN"/>
        </w:rPr>
        <w:t>7.</w:t>
      </w:r>
      <w:r>
        <w:rPr>
          <w:rFonts w:ascii="仿宋_GB2312" w:hAnsi="仿宋_GB2312" w:eastAsia="仿宋_GB2312"/>
          <w:sz w:val="32"/>
        </w:rPr>
        <w:t>开展检察机关的财务装备工作，检察技术信息工作。</w:t>
      </w:r>
    </w:p>
    <w:p w14:paraId="06D9A5F2">
      <w:pPr>
        <w:spacing w:line="580" w:lineRule="exact"/>
        <w:ind w:firstLine="640"/>
        <w:jc w:val="both"/>
      </w:pPr>
      <w:r>
        <w:rPr>
          <w:rFonts w:hint="eastAsia" w:ascii="仿宋_GB2312" w:hAnsi="仿宋_GB2312" w:eastAsia="仿宋_GB2312"/>
          <w:sz w:val="32"/>
          <w:lang w:eastAsia="zh-CN"/>
        </w:rPr>
        <w:t>8.</w:t>
      </w:r>
      <w:r>
        <w:rPr>
          <w:rFonts w:ascii="仿宋_GB2312" w:hAnsi="仿宋_GB2312" w:eastAsia="仿宋_GB2312"/>
          <w:sz w:val="32"/>
        </w:rPr>
        <w:t>负责其他应当由巴楚县人民检察院承办的事项。</w:t>
      </w:r>
    </w:p>
    <w:p w14:paraId="65000721">
      <w:pPr>
        <w:spacing w:line="640" w:lineRule="exact"/>
        <w:ind w:firstLine="640"/>
        <w:jc w:val="both"/>
        <w:outlineLvl w:val="2"/>
      </w:pPr>
      <w:r>
        <w:rPr>
          <w:rFonts w:ascii="黑体" w:hAnsi="黑体" w:eastAsia="黑体"/>
          <w:sz w:val="32"/>
        </w:rPr>
        <w:t>二、机构设置及人员情况</w:t>
      </w:r>
    </w:p>
    <w:p w14:paraId="3F5E35FC">
      <w:pPr>
        <w:spacing w:line="580" w:lineRule="exact"/>
        <w:ind w:firstLine="640"/>
        <w:jc w:val="both"/>
      </w:pPr>
      <w:r>
        <w:rPr>
          <w:rFonts w:ascii="仿宋_GB2312" w:hAnsi="仿宋_GB2312" w:eastAsia="仿宋_GB2312"/>
          <w:sz w:val="32"/>
        </w:rPr>
        <w:t>巴楚县人民检察院2024年度，实有人数71人，其中：在职人员43人，增加0人；离休人员0人，增加0人；退休人员28人,增加3人。</w:t>
      </w:r>
    </w:p>
    <w:p w14:paraId="33177E4D">
      <w:pPr>
        <w:spacing w:line="580" w:lineRule="exact"/>
        <w:ind w:firstLine="640"/>
        <w:jc w:val="both"/>
      </w:pPr>
      <w:r>
        <w:rPr>
          <w:rFonts w:ascii="仿宋_GB2312" w:hAnsi="仿宋_GB2312" w:eastAsia="仿宋_GB2312"/>
          <w:sz w:val="32"/>
        </w:rPr>
        <w:t>巴楚县人民检察院无下属预算单位，下设5个科室，分别是：第一检察部、第二检察部、第三检察部、政治部、办公室（司法警察大队）。</w:t>
      </w:r>
    </w:p>
    <w:p w14:paraId="13F9CD81">
      <w:r>
        <w:br w:type="page"/>
      </w:r>
    </w:p>
    <w:p w14:paraId="341464BC">
      <w:pPr>
        <w:spacing w:line="240" w:lineRule="auto"/>
        <w:jc w:val="center"/>
        <w:outlineLvl w:val="1"/>
      </w:pPr>
      <w:r>
        <w:rPr>
          <w:rFonts w:ascii="黑体" w:hAnsi="黑体" w:eastAsia="黑体"/>
          <w:sz w:val="32"/>
        </w:rPr>
        <w:t>第二部分 部门决算情况说明</w:t>
      </w:r>
    </w:p>
    <w:p w14:paraId="18C0867C">
      <w:pPr>
        <w:spacing w:line="640" w:lineRule="exact"/>
        <w:ind w:firstLine="640"/>
        <w:jc w:val="both"/>
        <w:outlineLvl w:val="2"/>
      </w:pPr>
      <w:r>
        <w:rPr>
          <w:rFonts w:ascii="黑体" w:hAnsi="黑体" w:eastAsia="黑体"/>
          <w:sz w:val="32"/>
        </w:rPr>
        <w:t>一、收入支出决算总体情况说明</w:t>
      </w:r>
    </w:p>
    <w:p w14:paraId="4B70B9D2">
      <w:pPr>
        <w:spacing w:line="580" w:lineRule="exact"/>
        <w:ind w:firstLine="640"/>
        <w:jc w:val="both"/>
      </w:pPr>
      <w:r>
        <w:rPr>
          <w:rFonts w:ascii="仿宋_GB2312" w:hAnsi="仿宋_GB2312" w:eastAsia="仿宋_GB2312"/>
          <w:b/>
          <w:sz w:val="32"/>
        </w:rPr>
        <w:t>2024年度收入总计1,446.05万元，</w:t>
      </w:r>
      <w:r>
        <w:rPr>
          <w:rFonts w:ascii="仿宋_GB2312" w:hAnsi="仿宋_GB2312" w:eastAsia="仿宋_GB2312"/>
          <w:b w:val="0"/>
          <w:sz w:val="32"/>
        </w:rPr>
        <w:t>其中：本年收入合计1,446.05万元，使用非财政拨款结余（含专用结余）0.00万元，年初结转和结余0.00万元。</w:t>
      </w:r>
    </w:p>
    <w:p w14:paraId="17292503">
      <w:pPr>
        <w:spacing w:line="580" w:lineRule="exact"/>
        <w:ind w:firstLine="640"/>
        <w:jc w:val="both"/>
      </w:pPr>
      <w:r>
        <w:rPr>
          <w:rFonts w:ascii="仿宋_GB2312" w:hAnsi="仿宋_GB2312" w:eastAsia="仿宋_GB2312"/>
          <w:b/>
          <w:sz w:val="32"/>
        </w:rPr>
        <w:t>2024年度支出总计1,446.05万元，</w:t>
      </w:r>
      <w:r>
        <w:rPr>
          <w:rFonts w:ascii="仿宋_GB2312" w:hAnsi="仿宋_GB2312" w:eastAsia="仿宋_GB2312"/>
          <w:b w:val="0"/>
          <w:sz w:val="32"/>
        </w:rPr>
        <w:t>其中：本年支出合计1,446.05万元，结余分配0.00万元，年末结转和结余0.00万元。</w:t>
      </w:r>
    </w:p>
    <w:p w14:paraId="1AA9875C">
      <w:pPr>
        <w:spacing w:line="580" w:lineRule="exact"/>
        <w:ind w:firstLine="640"/>
        <w:jc w:val="both"/>
      </w:pPr>
      <w:r>
        <w:rPr>
          <w:rFonts w:ascii="仿宋_GB2312" w:hAnsi="仿宋_GB2312" w:eastAsia="仿宋_GB2312"/>
          <w:b w:val="0"/>
          <w:sz w:val="32"/>
        </w:rPr>
        <w:t>收入支出总体与上年相比，增加46.04万元，增长3.29%，主要原因是：本年在职人员工资调增，社保、公积金基数调增，人员经费增加。增加上级转移专项经费。</w:t>
      </w:r>
    </w:p>
    <w:p w14:paraId="3BEE63E4">
      <w:pPr>
        <w:spacing w:line="640" w:lineRule="exact"/>
        <w:ind w:firstLine="640"/>
        <w:jc w:val="both"/>
        <w:outlineLvl w:val="2"/>
      </w:pPr>
      <w:r>
        <w:rPr>
          <w:rFonts w:ascii="黑体" w:hAnsi="黑体" w:eastAsia="黑体"/>
          <w:sz w:val="32"/>
        </w:rPr>
        <w:t>二、收入决算情况说明</w:t>
      </w:r>
    </w:p>
    <w:p w14:paraId="214FCDB3">
      <w:pPr>
        <w:spacing w:line="580" w:lineRule="exact"/>
        <w:ind w:firstLine="640"/>
        <w:jc w:val="both"/>
      </w:pPr>
      <w:r>
        <w:rPr>
          <w:rFonts w:ascii="仿宋_GB2312" w:hAnsi="仿宋_GB2312" w:eastAsia="仿宋_GB2312"/>
          <w:b/>
          <w:sz w:val="32"/>
        </w:rPr>
        <w:t>本年收入1,446.05万元，</w:t>
      </w:r>
      <w:r>
        <w:rPr>
          <w:rFonts w:ascii="仿宋_GB2312" w:hAnsi="仿宋_GB2312" w:eastAsia="仿宋_GB2312"/>
          <w:b w:val="0"/>
          <w:sz w:val="32"/>
        </w:rPr>
        <w:t>其中：财政拨款收入1,446.05万元，占100.00%；上级补助收入0.00万元，占0.00%；事业收入0.00万元，占0.00%；经营收入0.00万元，占0.00%；附属单位上缴收入0.00万元，占0.00%；其他收入0.00万元，占0.00%。</w:t>
      </w:r>
    </w:p>
    <w:p w14:paraId="0E6101B0">
      <w:pPr>
        <w:spacing w:line="640" w:lineRule="exact"/>
        <w:ind w:firstLine="640"/>
        <w:jc w:val="both"/>
        <w:outlineLvl w:val="2"/>
      </w:pPr>
      <w:r>
        <w:rPr>
          <w:rFonts w:ascii="黑体" w:hAnsi="黑体" w:eastAsia="黑体"/>
          <w:sz w:val="32"/>
        </w:rPr>
        <w:t>三、支出决算情况说明</w:t>
      </w:r>
    </w:p>
    <w:p w14:paraId="14132AE3">
      <w:pPr>
        <w:spacing w:line="580" w:lineRule="exact"/>
        <w:ind w:firstLine="640"/>
        <w:jc w:val="both"/>
      </w:pPr>
      <w:r>
        <w:rPr>
          <w:rFonts w:ascii="仿宋_GB2312" w:hAnsi="仿宋_GB2312" w:eastAsia="仿宋_GB2312"/>
          <w:b/>
          <w:sz w:val="32"/>
        </w:rPr>
        <w:t>本年支出1,446.05万元，</w:t>
      </w:r>
      <w:r>
        <w:rPr>
          <w:rFonts w:ascii="仿宋_GB2312" w:hAnsi="仿宋_GB2312" w:eastAsia="仿宋_GB2312"/>
          <w:b w:val="0"/>
          <w:sz w:val="32"/>
        </w:rPr>
        <w:t>其中：基本支出1,101.80万元，占76.19%；项目支出344.25万元，占23.81%；上缴上级支出0.00万元，占0.00%；经营支出0.00万元，占0.00%；对附属单位补助支出0.00万元，占0.00%。</w:t>
      </w:r>
    </w:p>
    <w:p w14:paraId="431307A1">
      <w:pPr>
        <w:spacing w:line="640" w:lineRule="exact"/>
        <w:ind w:firstLine="640"/>
        <w:jc w:val="both"/>
        <w:outlineLvl w:val="2"/>
      </w:pPr>
      <w:r>
        <w:rPr>
          <w:rFonts w:ascii="黑体" w:hAnsi="黑体" w:eastAsia="黑体"/>
          <w:sz w:val="32"/>
        </w:rPr>
        <w:t>四、财政拨款收入支出决算总体情况说明</w:t>
      </w:r>
    </w:p>
    <w:p w14:paraId="054CF5ED">
      <w:pPr>
        <w:spacing w:line="580" w:lineRule="exact"/>
        <w:ind w:firstLine="640"/>
        <w:jc w:val="both"/>
      </w:pPr>
      <w:r>
        <w:rPr>
          <w:rFonts w:ascii="仿宋_GB2312" w:hAnsi="仿宋_GB2312" w:eastAsia="仿宋_GB2312"/>
          <w:b/>
          <w:sz w:val="32"/>
        </w:rPr>
        <w:t>2024年度财政拨款收入总计1,446.05万元，</w:t>
      </w:r>
      <w:r>
        <w:rPr>
          <w:rFonts w:ascii="仿宋_GB2312" w:hAnsi="仿宋_GB2312" w:eastAsia="仿宋_GB2312"/>
          <w:b w:val="0"/>
          <w:sz w:val="32"/>
        </w:rPr>
        <w:t>其中：年初财政拨款结转和结余0.00万元，本年财政拨款收入1,446.05万元。</w:t>
      </w:r>
      <w:r>
        <w:rPr>
          <w:rFonts w:ascii="仿宋_GB2312" w:hAnsi="仿宋_GB2312" w:eastAsia="仿宋_GB2312"/>
          <w:b/>
          <w:sz w:val="32"/>
        </w:rPr>
        <w:t>财政拨款支出总计1,446.05万元，</w:t>
      </w:r>
      <w:r>
        <w:rPr>
          <w:rFonts w:ascii="仿宋_GB2312" w:hAnsi="仿宋_GB2312" w:eastAsia="仿宋_GB2312"/>
          <w:b w:val="0"/>
          <w:sz w:val="32"/>
        </w:rPr>
        <w:t>其中：年末财政拨款结转和结余0.00万元，本年财政拨款支出1,446.05万元。</w:t>
      </w:r>
    </w:p>
    <w:p w14:paraId="5B96D3F8">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增加46.04万元，增长3.29%，主要原因是：本年在职人员工资调增，社保、公积金基数调增，人员经费增加。增加上级转移专项经费。</w:t>
      </w:r>
      <w:r>
        <w:rPr>
          <w:rFonts w:ascii="仿宋_GB2312" w:hAnsi="仿宋_GB2312" w:eastAsia="仿宋_GB2312"/>
          <w:b/>
          <w:sz w:val="32"/>
        </w:rPr>
        <w:t>与年初预算相比，</w:t>
      </w:r>
      <w:r>
        <w:rPr>
          <w:rFonts w:ascii="仿宋_GB2312" w:hAnsi="仿宋_GB2312" w:eastAsia="仿宋_GB2312"/>
          <w:b w:val="0"/>
          <w:sz w:val="32"/>
        </w:rPr>
        <w:t>年初预算数1,406.47万元，决算数1,446.05万元，预决算差异率2.81%，主要原因是：本年在职人员工资调薪，工资、社保、公积金等相关人员经费增加，年中追加人员经费。年中追加上级转移专项经费，导致预决算存在差异。</w:t>
      </w:r>
    </w:p>
    <w:p w14:paraId="7F5A9EED">
      <w:pPr>
        <w:spacing w:line="640" w:lineRule="exact"/>
        <w:ind w:firstLine="640"/>
        <w:jc w:val="both"/>
        <w:outlineLvl w:val="2"/>
      </w:pPr>
      <w:r>
        <w:rPr>
          <w:rFonts w:ascii="黑体" w:hAnsi="黑体" w:eastAsia="黑体"/>
          <w:sz w:val="32"/>
        </w:rPr>
        <w:t>五、一般公共预算财政拨款支出决算情况说明</w:t>
      </w:r>
    </w:p>
    <w:p w14:paraId="737BF343">
      <w:pPr>
        <w:spacing w:line="640" w:lineRule="exact"/>
        <w:ind w:firstLine="640"/>
        <w:jc w:val="both"/>
        <w:outlineLvl w:val="3"/>
      </w:pPr>
      <w:r>
        <w:rPr>
          <w:rFonts w:ascii="楷体_GB2312" w:hAnsi="楷体_GB2312" w:eastAsia="楷体_GB2312"/>
          <w:b/>
          <w:sz w:val="32"/>
        </w:rPr>
        <w:t>（一）一般公共预算财政拨款支出决算总体情况</w:t>
      </w:r>
    </w:p>
    <w:p w14:paraId="13C52D05">
      <w:pPr>
        <w:spacing w:line="580" w:lineRule="exact"/>
        <w:ind w:firstLine="640"/>
        <w:jc w:val="both"/>
      </w:pPr>
      <w:r>
        <w:rPr>
          <w:rFonts w:ascii="仿宋_GB2312" w:hAnsi="仿宋_GB2312" w:eastAsia="仿宋_GB2312"/>
          <w:b/>
          <w:sz w:val="32"/>
        </w:rPr>
        <w:t>2024年度一般公共预算财政拨款支出1,446.05万元，</w:t>
      </w:r>
      <w:r>
        <w:rPr>
          <w:rFonts w:ascii="仿宋_GB2312" w:hAnsi="仿宋_GB2312" w:eastAsia="仿宋_GB2312"/>
          <w:b w:val="0"/>
          <w:sz w:val="32"/>
        </w:rPr>
        <w:t>占本年支出合计的100.00%。</w:t>
      </w:r>
      <w:r>
        <w:rPr>
          <w:rFonts w:ascii="仿宋_GB2312" w:hAnsi="仿宋_GB2312" w:eastAsia="仿宋_GB2312"/>
          <w:b/>
          <w:sz w:val="32"/>
        </w:rPr>
        <w:t>与上年相比，</w:t>
      </w:r>
      <w:r>
        <w:rPr>
          <w:rFonts w:ascii="仿宋_GB2312" w:hAnsi="仿宋_GB2312" w:eastAsia="仿宋_GB2312"/>
          <w:b w:val="0"/>
          <w:sz w:val="32"/>
        </w:rPr>
        <w:t>增加46.04万元，增长3.29%，主要原因是：本年在职人员工资调增，社保、公积金基数调增，人员经费增加。增加上级转移专项经费。</w:t>
      </w:r>
      <w:r>
        <w:rPr>
          <w:rFonts w:ascii="仿宋_GB2312" w:hAnsi="仿宋_GB2312" w:eastAsia="仿宋_GB2312"/>
          <w:b/>
          <w:sz w:val="32"/>
        </w:rPr>
        <w:t>与年初预算相比,</w:t>
      </w:r>
      <w:r>
        <w:rPr>
          <w:rFonts w:ascii="仿宋_GB2312" w:hAnsi="仿宋_GB2312" w:eastAsia="仿宋_GB2312"/>
          <w:b w:val="0"/>
          <w:sz w:val="32"/>
        </w:rPr>
        <w:t>年初预算数1,406.47万元，决算数1,446.05万元，预决算差异率2.81%，主要原因是：本年在职人员工资调薪，工资、社保、公积金等相关人员经费增加，年中追加人员经费。年中追加上级转移专项经费，导致预决算存在差异。</w:t>
      </w:r>
    </w:p>
    <w:p w14:paraId="0DD40915">
      <w:pPr>
        <w:spacing w:line="640" w:lineRule="exact"/>
        <w:ind w:firstLine="640"/>
        <w:jc w:val="both"/>
        <w:outlineLvl w:val="3"/>
      </w:pPr>
      <w:r>
        <w:rPr>
          <w:rFonts w:ascii="楷体_GB2312" w:hAnsi="楷体_GB2312" w:eastAsia="楷体_GB2312"/>
          <w:b/>
          <w:sz w:val="32"/>
        </w:rPr>
        <w:t>（二）一般公共预算财政拨款支出决算结构情况</w:t>
      </w:r>
    </w:p>
    <w:p w14:paraId="7E48950E">
      <w:pPr>
        <w:spacing w:line="580" w:lineRule="exact"/>
        <w:ind w:firstLine="640"/>
        <w:jc w:val="both"/>
      </w:pPr>
      <w:r>
        <w:rPr>
          <w:rFonts w:ascii="仿宋_GB2312" w:hAnsi="仿宋_GB2312" w:eastAsia="仿宋_GB2312"/>
          <w:b w:val="0"/>
          <w:sz w:val="32"/>
        </w:rPr>
        <w:t>1.公共安全支出(类)1,212.37万元,占83.84%。</w:t>
      </w:r>
    </w:p>
    <w:p w14:paraId="26FF155B">
      <w:pPr>
        <w:spacing w:line="580" w:lineRule="exact"/>
        <w:ind w:firstLine="640"/>
        <w:jc w:val="both"/>
      </w:pPr>
      <w:r>
        <w:rPr>
          <w:rFonts w:ascii="仿宋_GB2312" w:hAnsi="仿宋_GB2312" w:eastAsia="仿宋_GB2312"/>
          <w:b w:val="0"/>
          <w:sz w:val="32"/>
        </w:rPr>
        <w:t>2.社会保障和就业支出(类)124.40万元,占8.60%。</w:t>
      </w:r>
    </w:p>
    <w:p w14:paraId="075475A5">
      <w:pPr>
        <w:spacing w:line="580" w:lineRule="exact"/>
        <w:ind w:firstLine="640"/>
        <w:jc w:val="both"/>
      </w:pPr>
      <w:r>
        <w:rPr>
          <w:rFonts w:ascii="仿宋_GB2312" w:hAnsi="仿宋_GB2312" w:eastAsia="仿宋_GB2312"/>
          <w:b w:val="0"/>
          <w:sz w:val="32"/>
        </w:rPr>
        <w:t>3.卫生健康支出(类)43.87万元,占3.03%。</w:t>
      </w:r>
    </w:p>
    <w:p w14:paraId="04F57EC2">
      <w:pPr>
        <w:spacing w:line="580" w:lineRule="exact"/>
        <w:ind w:firstLine="640"/>
        <w:jc w:val="both"/>
      </w:pPr>
      <w:r>
        <w:rPr>
          <w:rFonts w:ascii="仿宋_GB2312" w:hAnsi="仿宋_GB2312" w:eastAsia="仿宋_GB2312"/>
          <w:b w:val="0"/>
          <w:sz w:val="32"/>
        </w:rPr>
        <w:t>4.住房保障支出(类)65.41万元,占4.52%。</w:t>
      </w:r>
    </w:p>
    <w:p w14:paraId="20591C59">
      <w:pPr>
        <w:spacing w:line="640" w:lineRule="exact"/>
        <w:ind w:firstLine="640"/>
        <w:jc w:val="both"/>
        <w:outlineLvl w:val="3"/>
      </w:pPr>
      <w:r>
        <w:rPr>
          <w:rFonts w:ascii="楷体_GB2312" w:hAnsi="楷体_GB2312" w:eastAsia="楷体_GB2312"/>
          <w:b/>
          <w:sz w:val="32"/>
        </w:rPr>
        <w:t>（三）一般公共预算财政拨款支出决算具体情况</w:t>
      </w:r>
    </w:p>
    <w:p w14:paraId="35454E2F">
      <w:pPr>
        <w:spacing w:line="580" w:lineRule="exact"/>
        <w:ind w:firstLine="640"/>
        <w:jc w:val="both"/>
      </w:pPr>
      <w:r>
        <w:rPr>
          <w:rFonts w:ascii="仿宋_GB2312" w:hAnsi="仿宋_GB2312" w:eastAsia="仿宋_GB2312"/>
          <w:b w:val="0"/>
          <w:sz w:val="32"/>
        </w:rPr>
        <w:t>1.公共安全支出(类)检察(款)行政运行(项):支出决算数为868.12万元，比上年决算增加63.50万元，增长7.89%,主要原因是：本年在职人员工资调薪，工资等相关人员经费增加。</w:t>
      </w:r>
    </w:p>
    <w:p w14:paraId="298EFAE8">
      <w:pPr>
        <w:spacing w:line="580" w:lineRule="exact"/>
        <w:ind w:firstLine="640"/>
        <w:jc w:val="both"/>
      </w:pPr>
      <w:r>
        <w:rPr>
          <w:rFonts w:ascii="仿宋_GB2312" w:hAnsi="仿宋_GB2312" w:eastAsia="仿宋_GB2312"/>
          <w:b w:val="0"/>
          <w:sz w:val="32"/>
        </w:rPr>
        <w:t>2.公共安全支出(类)检察(款)一般行政管理事务(项):支出决算数为89.08万元，比上年决算减少0.67万元，下降0.75%,主要原因是：提前下达自治区2024年司法绩效考核奖励经费项目较上年减少经费。</w:t>
      </w:r>
    </w:p>
    <w:p w14:paraId="12E121E9">
      <w:pPr>
        <w:spacing w:line="580" w:lineRule="exact"/>
        <w:ind w:firstLine="640"/>
        <w:jc w:val="both"/>
      </w:pPr>
      <w:r>
        <w:rPr>
          <w:rFonts w:ascii="仿宋_GB2312" w:hAnsi="仿宋_GB2312" w:eastAsia="仿宋_GB2312"/>
          <w:b w:val="0"/>
          <w:sz w:val="32"/>
        </w:rPr>
        <w:t>3.公共安全支出(类)检察(款)其他检察支出(项):支出决算数为255.17万元，比上年决算减少8.38万元，下降3.18%,主要原因是：本年上级转移支付项目资金减少，导致经费较上年减少。</w:t>
      </w:r>
    </w:p>
    <w:p w14:paraId="07C3A43D">
      <w:pPr>
        <w:spacing w:line="580" w:lineRule="exact"/>
        <w:ind w:firstLine="640"/>
        <w:jc w:val="both"/>
      </w:pPr>
      <w:r>
        <w:rPr>
          <w:rFonts w:ascii="仿宋_GB2312" w:hAnsi="仿宋_GB2312" w:eastAsia="仿宋_GB2312"/>
          <w:b w:val="0"/>
          <w:sz w:val="32"/>
        </w:rPr>
        <w:t>4.社会保障和就业支出(类)行政事业单位养老支出(款)行政单位离退休(项):支出决算数为37.41万元，比上年决算增加9.00万元，增长31.68%,主要原因是：本年退休人员增加，退休费支出增加。</w:t>
      </w:r>
    </w:p>
    <w:p w14:paraId="3CADB93C">
      <w:pPr>
        <w:spacing w:line="580" w:lineRule="exact"/>
        <w:ind w:firstLine="640"/>
        <w:jc w:val="both"/>
      </w:pPr>
      <w:r>
        <w:rPr>
          <w:rFonts w:ascii="仿宋_GB2312" w:hAnsi="仿宋_GB2312" w:eastAsia="仿宋_GB2312"/>
          <w:b w:val="0"/>
          <w:sz w:val="32"/>
        </w:rPr>
        <w:t>5.社会保障和就业支出(类)行政事业单位养老支出(款)机关事业单位基本养老保险缴费支出(项):支出决算数为79.77万元，比上年决算增加6.97万元，增长9.57%,主要原因是：本年在职人员工资基数调增，养老缴费基数上涨，相应支出增加。</w:t>
      </w:r>
    </w:p>
    <w:p w14:paraId="37E7D698">
      <w:pPr>
        <w:spacing w:line="580" w:lineRule="exact"/>
        <w:ind w:firstLine="640"/>
        <w:jc w:val="both"/>
      </w:pPr>
      <w:r>
        <w:rPr>
          <w:rFonts w:ascii="仿宋_GB2312" w:hAnsi="仿宋_GB2312" w:eastAsia="仿宋_GB2312"/>
          <w:b w:val="0"/>
          <w:sz w:val="32"/>
        </w:rPr>
        <w:t>6.社会保障和就业支出(类)行政事业单位养老支出(款)机关事业单位职业年金缴费支出(项):支出决算数为7.22万元，比上年决算增加3.06万元，增长73.56%,主要原因是：本年新增退休人员，职业年金缴费支出增加。</w:t>
      </w:r>
    </w:p>
    <w:p w14:paraId="3C14DBF4">
      <w:pPr>
        <w:spacing w:line="580" w:lineRule="exact"/>
        <w:ind w:firstLine="640"/>
        <w:jc w:val="both"/>
      </w:pPr>
      <w:r>
        <w:rPr>
          <w:rFonts w:ascii="仿宋_GB2312" w:hAnsi="仿宋_GB2312" w:eastAsia="仿宋_GB2312"/>
          <w:b w:val="0"/>
          <w:sz w:val="32"/>
        </w:rPr>
        <w:t>7.社会保障和就业支出(类)抚恤(款)死亡抚恤(项):支出决算数为0.00万元，比上年决算减少36.02万元，下降100.00%,主要原因是：本年无新增死亡人员，死亡抚恤支出较上年减少。</w:t>
      </w:r>
    </w:p>
    <w:p w14:paraId="044F9803">
      <w:pPr>
        <w:spacing w:line="580" w:lineRule="exact"/>
        <w:ind w:firstLine="640"/>
        <w:jc w:val="both"/>
      </w:pPr>
      <w:r>
        <w:rPr>
          <w:rFonts w:ascii="仿宋_GB2312" w:hAnsi="仿宋_GB2312" w:eastAsia="仿宋_GB2312"/>
          <w:b w:val="0"/>
          <w:sz w:val="32"/>
        </w:rPr>
        <w:t>8.卫生健康支出(类)行政事业单位医疗(款)行政单位医疗(项):支出决算数为33.90万元，比上年决算增加2.89万元，增长9.32%,主要原因是：本年在职人员工资基数调增，医疗缴费基数上涨，相应支出增加。</w:t>
      </w:r>
    </w:p>
    <w:p w14:paraId="5A0C3DAE">
      <w:pPr>
        <w:spacing w:line="580" w:lineRule="exact"/>
        <w:ind w:firstLine="640"/>
        <w:jc w:val="both"/>
      </w:pPr>
      <w:r>
        <w:rPr>
          <w:rFonts w:ascii="仿宋_GB2312" w:hAnsi="仿宋_GB2312" w:eastAsia="仿宋_GB2312"/>
          <w:b w:val="0"/>
          <w:sz w:val="32"/>
        </w:rPr>
        <w:t>9.卫生健康支出(类)行政事业单位医疗(款)公务员医疗补助(项):支出决算数为9.97万元，比上年决算增加0.85万元，增长9.32%,主要原因是：本年在职人员工资基数调增，医疗缴费基数上涨，相应支出增加。</w:t>
      </w:r>
    </w:p>
    <w:p w14:paraId="1F40958C">
      <w:pPr>
        <w:spacing w:line="580" w:lineRule="exact"/>
        <w:ind w:firstLine="640"/>
        <w:jc w:val="both"/>
      </w:pPr>
      <w:r>
        <w:rPr>
          <w:rFonts w:ascii="仿宋_GB2312" w:hAnsi="仿宋_GB2312" w:eastAsia="仿宋_GB2312"/>
          <w:b w:val="0"/>
          <w:sz w:val="32"/>
        </w:rPr>
        <w:t>10.住房保障支出(类)住房改革支出(款)住房公积金(项):支出决算数为65.41万元，比上年决算增加4.83万元，增长7.97%,主要原因是：本年在职人员工资基数调增，公积金缴费基数上涨，相应支出增加。</w:t>
      </w:r>
    </w:p>
    <w:p w14:paraId="1CADB03A">
      <w:pPr>
        <w:spacing w:line="640" w:lineRule="exact"/>
        <w:ind w:firstLine="640"/>
        <w:jc w:val="both"/>
        <w:outlineLvl w:val="2"/>
      </w:pPr>
      <w:r>
        <w:rPr>
          <w:rFonts w:ascii="黑体" w:hAnsi="黑体" w:eastAsia="黑体"/>
          <w:sz w:val="32"/>
        </w:rPr>
        <w:t>六、一般公共预算财政拨款基本支出决算情况说明</w:t>
      </w:r>
    </w:p>
    <w:p w14:paraId="33217696">
      <w:pPr>
        <w:spacing w:line="580" w:lineRule="exact"/>
        <w:ind w:firstLine="640"/>
        <w:jc w:val="both"/>
      </w:pPr>
      <w:r>
        <w:rPr>
          <w:rFonts w:ascii="仿宋_GB2312" w:hAnsi="仿宋_GB2312" w:eastAsia="仿宋_GB2312"/>
          <w:b w:val="0"/>
          <w:sz w:val="32"/>
        </w:rPr>
        <w:t>2024年度一般公共预算财政拨款基本支出1,101.80万元，其中：</w:t>
      </w:r>
      <w:r>
        <w:rPr>
          <w:rFonts w:ascii="仿宋_GB2312" w:hAnsi="仿宋_GB2312" w:eastAsia="仿宋_GB2312"/>
          <w:b/>
          <w:sz w:val="32"/>
        </w:rPr>
        <w:t>人员经费1,024.00万元，</w:t>
      </w:r>
      <w:r>
        <w:rPr>
          <w:rFonts w:ascii="仿宋_GB2312" w:hAnsi="仿宋_GB2312" w:eastAsia="仿宋_GB2312"/>
          <w:b w:val="0"/>
          <w:sz w:val="32"/>
        </w:rPr>
        <w:t>包括：基本工资、津贴补贴、奖金、机关事业单位基本养老保险缴费、职业年金缴费、职工基本医疗保险缴费、公务员医疗补助缴费、其他社会保障缴费、住房公积金、其他工资福利支出、退休费、生活补助。</w:t>
      </w:r>
    </w:p>
    <w:p w14:paraId="75473C75">
      <w:pPr>
        <w:spacing w:line="580" w:lineRule="exact"/>
        <w:ind w:firstLine="640"/>
        <w:jc w:val="both"/>
      </w:pPr>
      <w:r>
        <w:rPr>
          <w:rFonts w:ascii="仿宋_GB2312" w:hAnsi="仿宋_GB2312" w:eastAsia="仿宋_GB2312"/>
          <w:b/>
          <w:sz w:val="32"/>
        </w:rPr>
        <w:t>公用经费77.80万元，</w:t>
      </w:r>
      <w:r>
        <w:rPr>
          <w:rFonts w:ascii="仿宋_GB2312" w:hAnsi="仿宋_GB2312" w:eastAsia="仿宋_GB2312"/>
          <w:b w:val="0"/>
          <w:sz w:val="32"/>
        </w:rPr>
        <w:t>包括：印刷费、水费、电费、邮电费、取暖费、工会经费、公务用车运行维护费、其他商品和服务支出。</w:t>
      </w:r>
    </w:p>
    <w:p w14:paraId="2DF6765C">
      <w:pPr>
        <w:spacing w:line="640" w:lineRule="exact"/>
        <w:ind w:firstLine="640"/>
        <w:jc w:val="both"/>
        <w:outlineLvl w:val="2"/>
      </w:pPr>
      <w:r>
        <w:rPr>
          <w:rFonts w:ascii="黑体" w:hAnsi="黑体" w:eastAsia="黑体"/>
          <w:sz w:val="32"/>
        </w:rPr>
        <w:t>七、政府性基金预算财政拨款收入支出决算情况说明</w:t>
      </w:r>
    </w:p>
    <w:p w14:paraId="05BD01CE">
      <w:pPr>
        <w:spacing w:line="580" w:lineRule="exact"/>
        <w:ind w:firstLine="640"/>
        <w:jc w:val="both"/>
      </w:pPr>
      <w:r>
        <w:rPr>
          <w:rFonts w:ascii="仿宋_GB2312" w:hAnsi="仿宋_GB2312" w:eastAsia="仿宋_GB2312"/>
          <w:b w:val="0"/>
          <w:sz w:val="32"/>
        </w:rPr>
        <w:t>本部门本年度无政府性基金预算财政拨款收入、支出及结转和结余，政府性基金预算财政拨款收入支出决算表为空表。</w:t>
      </w:r>
    </w:p>
    <w:p w14:paraId="586C3501">
      <w:pPr>
        <w:spacing w:line="640" w:lineRule="exact"/>
        <w:ind w:firstLine="640"/>
        <w:jc w:val="both"/>
        <w:outlineLvl w:val="2"/>
      </w:pPr>
      <w:r>
        <w:rPr>
          <w:rFonts w:ascii="黑体" w:hAnsi="黑体" w:eastAsia="黑体"/>
          <w:sz w:val="32"/>
        </w:rPr>
        <w:t>八、国有资本经营预算财政拨款收入支出决算情况说明</w:t>
      </w:r>
    </w:p>
    <w:p w14:paraId="0EE01D69">
      <w:pPr>
        <w:spacing w:line="580" w:lineRule="exact"/>
        <w:ind w:firstLine="640"/>
        <w:jc w:val="both"/>
      </w:pPr>
      <w:r>
        <w:rPr>
          <w:rFonts w:ascii="仿宋_GB2312" w:hAnsi="仿宋_GB2312" w:eastAsia="仿宋_GB2312"/>
          <w:b w:val="0"/>
          <w:sz w:val="32"/>
        </w:rPr>
        <w:t>本部门本年度无国有资本经营预算财政拨款收入、支出及结转和结余，国有资本经营预算财政拨款收入支出决算表为空表。</w:t>
      </w:r>
    </w:p>
    <w:p w14:paraId="1626B1E8">
      <w:pPr>
        <w:spacing w:line="640" w:lineRule="exact"/>
        <w:ind w:firstLine="640"/>
        <w:jc w:val="both"/>
        <w:outlineLvl w:val="2"/>
      </w:pPr>
      <w:r>
        <w:rPr>
          <w:rFonts w:ascii="黑体" w:hAnsi="黑体" w:eastAsia="黑体"/>
          <w:sz w:val="32"/>
        </w:rPr>
        <w:t>九、财政拨款“三公”经费支出决算情况说明</w:t>
      </w:r>
    </w:p>
    <w:p w14:paraId="70F91FBC">
      <w:pPr>
        <w:spacing w:line="580" w:lineRule="exact"/>
        <w:ind w:firstLine="640"/>
        <w:jc w:val="both"/>
      </w:pPr>
      <w:r>
        <w:rPr>
          <w:rFonts w:ascii="仿宋_GB2312" w:hAnsi="仿宋_GB2312" w:eastAsia="仿宋_GB2312"/>
          <w:b/>
          <w:sz w:val="32"/>
        </w:rPr>
        <w:t>2024年度财政拨款“三公”经费支出23.00万元，</w:t>
      </w:r>
      <w:r>
        <w:rPr>
          <w:rFonts w:ascii="仿宋_GB2312" w:hAnsi="仿宋_GB2312" w:eastAsia="仿宋_GB2312"/>
          <w:b w:val="0"/>
          <w:sz w:val="32"/>
        </w:rPr>
        <w:t>比上年增加0.00万元，增长0.00%，主要原因是：</w:t>
      </w:r>
      <w:r>
        <w:rPr>
          <w:rFonts w:hint="eastAsia" w:ascii="仿宋_GB2312" w:hAnsi="仿宋_GB2312" w:eastAsia="仿宋_GB2312"/>
          <w:b w:val="0"/>
          <w:sz w:val="32"/>
          <w:lang w:eastAsia="zh-CN"/>
        </w:rPr>
        <w:t>本部门</w:t>
      </w:r>
      <w:r>
        <w:rPr>
          <w:rFonts w:ascii="仿宋_GB2312" w:hAnsi="仿宋_GB2312" w:eastAsia="仿宋_GB2312"/>
          <w:b w:val="0"/>
          <w:sz w:val="32"/>
        </w:rPr>
        <w:t>“三公”经费与上年一致无变化。其中：因公出国（境）费支出0.00万元，占0.00%，比上年增加0.00万元，增长0.00%，主要原因是：2023年与2024年均未安排因公出国（境）费支出。公务用车购置及运行维护费支出23.00万元，占100.00%，比上年增加0.00万元，增长0.00%，主要原因是：公务用车运行维护费与上年一致无变化。公务接待费支出0.00万元，占0.00%，比上年增加0.00万元，增长0.00%，主要原因是：2023年与2024年均未安排公务接待费支出。</w:t>
      </w:r>
    </w:p>
    <w:p w14:paraId="15073900">
      <w:pPr>
        <w:spacing w:line="580" w:lineRule="exact"/>
        <w:ind w:firstLine="640"/>
        <w:jc w:val="both"/>
      </w:pPr>
      <w:r>
        <w:rPr>
          <w:rFonts w:ascii="仿宋_GB2312" w:hAnsi="仿宋_GB2312" w:eastAsia="仿宋_GB2312"/>
          <w:b/>
          <w:sz w:val="32"/>
        </w:rPr>
        <w:t>具体情况如下：</w:t>
      </w:r>
    </w:p>
    <w:p w14:paraId="6FA65ABB">
      <w:pPr>
        <w:spacing w:line="580" w:lineRule="exact"/>
        <w:ind w:firstLine="640"/>
        <w:jc w:val="both"/>
      </w:pPr>
      <w:r>
        <w:rPr>
          <w:rFonts w:ascii="仿宋_GB2312" w:hAnsi="仿宋_GB2312" w:eastAsia="仿宋_GB2312"/>
          <w:b w:val="0"/>
          <w:sz w:val="32"/>
        </w:rPr>
        <w:t>因公出国（境）费支出0.00万元，开支内容包括本部门无因公出国（境）费。部门全年安排的因公出国（境）团组0个，因公出国（境）0人次。</w:t>
      </w:r>
    </w:p>
    <w:p w14:paraId="321BB466">
      <w:pPr>
        <w:spacing w:line="580" w:lineRule="exact"/>
        <w:ind w:firstLine="640"/>
        <w:jc w:val="both"/>
      </w:pPr>
      <w:r>
        <w:rPr>
          <w:rFonts w:ascii="仿宋_GB2312" w:hAnsi="仿宋_GB2312" w:eastAsia="仿宋_GB2312"/>
          <w:b w:val="0"/>
          <w:sz w:val="32"/>
        </w:rPr>
        <w:t>公务用车购置及运行维护费23.00万元，其中：公务用车购置费0.00万元，公务用车运行维护费23.00万元。公务用车运行维护费开支内容包括车辆燃油费、保险费、车辆年审费、维修维护费、过路费等。公务用车购置数0辆，公务用车保有量12辆。国有资产占用情况中固定资产车辆12辆，与公务用车保有量差异原因是：本部门固定资产车辆与公务用车保有量一致无差异。</w:t>
      </w:r>
    </w:p>
    <w:p w14:paraId="3C8D092F">
      <w:pPr>
        <w:spacing w:line="580" w:lineRule="exact"/>
        <w:ind w:firstLine="640"/>
        <w:jc w:val="both"/>
      </w:pPr>
      <w:r>
        <w:rPr>
          <w:rFonts w:ascii="仿宋_GB2312" w:hAnsi="仿宋_GB2312" w:eastAsia="仿宋_GB2312"/>
          <w:b w:val="0"/>
          <w:sz w:val="32"/>
        </w:rPr>
        <w:t>公务接待费0.00万元，开支内容包括本部门无公务接待费。部门全年安排的国内公务接待0批次，0人次。</w:t>
      </w:r>
    </w:p>
    <w:p w14:paraId="5470B681">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23.00万元，决算数23.00万元，预决算差异率0.00%，主要原因是：严格按照预算执行，预决算无差异。其中：因公出国（境）费全年预算数0.00万元，决算数0.00万元，预决算差异率0.00%，主要原因是：本部门无因公出国（境）费。公务用车购置费全年预算数0.00万元，决算数0.00万元，预决算差异率0.00%，主要原因是：本部门无公务用车购置费。公务用车运行维护费全年预算数23.00万元，决算数23.00万元，预决算差异率0.00%，主要原因是：严格按照预算执行，预决算无差异。公务接待费全年预算数0.00万元，决算数0.00万元，预决算差异率0.00%，主要原因是：本部门无公务接待费。</w:t>
      </w:r>
    </w:p>
    <w:p w14:paraId="7F16D039">
      <w:pPr>
        <w:spacing w:line="640" w:lineRule="exact"/>
        <w:ind w:firstLine="640"/>
        <w:jc w:val="both"/>
        <w:outlineLvl w:val="2"/>
      </w:pPr>
      <w:r>
        <w:rPr>
          <w:rFonts w:ascii="黑体" w:hAnsi="黑体" w:eastAsia="黑体"/>
          <w:sz w:val="32"/>
        </w:rPr>
        <w:t>十、其他重要事项的情况说明</w:t>
      </w:r>
    </w:p>
    <w:p w14:paraId="6ED8D079">
      <w:pPr>
        <w:spacing w:line="640" w:lineRule="exact"/>
        <w:ind w:firstLine="640"/>
        <w:jc w:val="both"/>
        <w:outlineLvl w:val="3"/>
      </w:pPr>
      <w:r>
        <w:rPr>
          <w:rFonts w:ascii="楷体_GB2312" w:hAnsi="楷体_GB2312" w:eastAsia="楷体_GB2312"/>
          <w:b/>
          <w:sz w:val="32"/>
        </w:rPr>
        <w:t>（一）机关运行经费及公用经费支出情况</w:t>
      </w:r>
    </w:p>
    <w:p w14:paraId="436027B1">
      <w:pPr>
        <w:spacing w:line="580" w:lineRule="exact"/>
        <w:ind w:firstLine="640"/>
        <w:jc w:val="both"/>
      </w:pPr>
      <w:r>
        <w:rPr>
          <w:rFonts w:ascii="仿宋_GB2312" w:hAnsi="仿宋_GB2312" w:eastAsia="仿宋_GB2312"/>
          <w:b w:val="0"/>
          <w:sz w:val="32"/>
        </w:rPr>
        <w:t>2024年度巴楚县人民检察院（行政单位和参照公务员法管理事业单位）机关运行经费支出77.80万元，比上年增加11.61万元，增长17.54%，主要原因是：本年增加活动经费，导致公用经费增加。</w:t>
      </w:r>
    </w:p>
    <w:p w14:paraId="7D82BF26">
      <w:pPr>
        <w:spacing w:line="640" w:lineRule="exact"/>
        <w:ind w:firstLine="640"/>
        <w:jc w:val="both"/>
        <w:outlineLvl w:val="3"/>
      </w:pPr>
      <w:r>
        <w:rPr>
          <w:rFonts w:ascii="楷体_GB2312" w:hAnsi="楷体_GB2312" w:eastAsia="楷体_GB2312"/>
          <w:b/>
          <w:sz w:val="32"/>
        </w:rPr>
        <w:t>（二）政府采购情况</w:t>
      </w:r>
    </w:p>
    <w:p w14:paraId="534AB4F2">
      <w:pPr>
        <w:spacing w:line="580" w:lineRule="exact"/>
        <w:ind w:firstLine="640"/>
        <w:jc w:val="both"/>
      </w:pPr>
      <w:r>
        <w:rPr>
          <w:rFonts w:ascii="仿宋_GB2312" w:hAnsi="仿宋_GB2312" w:eastAsia="仿宋_GB2312"/>
          <w:b w:val="0"/>
          <w:sz w:val="32"/>
        </w:rPr>
        <w:t>2024年度政府采购支出总额148.70万元，其中：政府采购货物支出48.11万元、政府采购工程支出0.00万元、政府采购服务支出100.60万元。</w:t>
      </w:r>
    </w:p>
    <w:p w14:paraId="422E5447">
      <w:pPr>
        <w:spacing w:line="580" w:lineRule="exact"/>
        <w:ind w:firstLine="640"/>
        <w:jc w:val="both"/>
      </w:pPr>
      <w:r>
        <w:rPr>
          <w:rFonts w:ascii="仿宋_GB2312" w:hAnsi="仿宋_GB2312" w:eastAsia="仿宋_GB2312"/>
          <w:b w:val="0"/>
          <w:sz w:val="32"/>
        </w:rPr>
        <w:t>授予中小企业合同金额148.70万元，占政府采购支出总额的100.00%，其中：授予小微企业合同金额96.76万元，占政府采购支出总额的65.07%。</w:t>
      </w:r>
    </w:p>
    <w:p w14:paraId="6CA40D92">
      <w:pPr>
        <w:spacing w:line="640" w:lineRule="exact"/>
        <w:ind w:firstLine="640"/>
        <w:jc w:val="both"/>
        <w:outlineLvl w:val="3"/>
      </w:pPr>
      <w:r>
        <w:rPr>
          <w:rFonts w:ascii="楷体_GB2312" w:hAnsi="楷体_GB2312" w:eastAsia="楷体_GB2312"/>
          <w:b/>
          <w:sz w:val="32"/>
        </w:rPr>
        <w:t>（三）国有资产占用情况说明</w:t>
      </w:r>
    </w:p>
    <w:p w14:paraId="76043EE2">
      <w:pPr>
        <w:spacing w:line="580" w:lineRule="exact"/>
        <w:ind w:firstLine="640"/>
        <w:jc w:val="both"/>
      </w:pPr>
      <w:r>
        <w:rPr>
          <w:rFonts w:ascii="仿宋_GB2312" w:hAnsi="仿宋_GB2312" w:eastAsia="仿宋_GB2312"/>
          <w:b w:val="0"/>
          <w:sz w:val="32"/>
        </w:rPr>
        <w:t>截至2024年12月31日，房屋5,232.89平方米，价值1,037.97万元。车辆12辆，价值184.79万元，其中：副部（省）级及以上领导用车0辆、主要负责人用车0辆、机要通信用车0辆、应急保障用车0辆、执法执勤用车12辆、特种专业技术用车0辆、离退休干部服务用车0辆、其他用车0辆，其他用车主要是：本部门无其他用车。单价100万元（含）以上设备（不含车辆）0台（套）。</w:t>
      </w:r>
    </w:p>
    <w:p w14:paraId="5482AB1F">
      <w:pPr>
        <w:spacing w:line="640" w:lineRule="exact"/>
        <w:ind w:firstLine="640"/>
        <w:jc w:val="both"/>
        <w:outlineLvl w:val="2"/>
      </w:pPr>
      <w:r>
        <w:rPr>
          <w:rFonts w:ascii="黑体" w:hAnsi="黑体" w:eastAsia="黑体"/>
          <w:sz w:val="32"/>
        </w:rPr>
        <w:t>十一、预算绩效的情况说明</w:t>
      </w:r>
    </w:p>
    <w:p w14:paraId="36F73FD9">
      <w:pPr>
        <w:spacing w:line="580" w:lineRule="exact"/>
        <w:ind w:firstLine="640"/>
        <w:jc w:val="both"/>
      </w:pPr>
      <w:r>
        <w:rPr>
          <w:rFonts w:ascii="仿宋_GB2312" w:hAnsi="仿宋_GB2312" w:eastAsia="仿宋_GB2312"/>
          <w:b w:val="0"/>
          <w:sz w:val="32"/>
        </w:rPr>
        <w:t>根据预算绩效管理要求，本部门2024年度预算绩效管理形成整体支出绩效自评表1个，全年预算总额1,446.05万元，实际执行总额1,446.05万元；预算绩效评价项目6个，全年预算数344.25万元，全年执行数344.25万元。预算绩效管理取得的成效：预算绩效项目不予公开。发现的问题及原因：预算绩效项目不予公开。下一步改进措施：预算绩效项目不予公开。具体附部门整体支出绩效自评表。</w:t>
      </w:r>
    </w:p>
    <w:p w14:paraId="1322A93A">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4A0E420E">
        <w:tblPrEx>
          <w:tblCellMar>
            <w:top w:w="0" w:type="dxa"/>
            <w:left w:w="108" w:type="dxa"/>
            <w:bottom w:w="0" w:type="dxa"/>
            <w:right w:w="108" w:type="dxa"/>
          </w:tblCellMar>
        </w:tblPrEx>
        <w:tc>
          <w:tcPr>
            <w:tcW w:w="8847" w:type="dxa"/>
            <w:gridSpan w:val="9"/>
            <w:vAlign w:val="center"/>
          </w:tcPr>
          <w:p w14:paraId="55C071CC">
            <w:pPr>
              <w:jc w:val="center"/>
            </w:pPr>
            <w:r>
              <w:rPr>
                <w:rFonts w:ascii="宋体" w:hAnsi="宋体" w:eastAsia="宋体"/>
                <w:sz w:val="24"/>
              </w:rPr>
              <w:t>部门整体支出绩效自评表</w:t>
            </w:r>
          </w:p>
        </w:tc>
      </w:tr>
      <w:tr w14:paraId="191EBA0D">
        <w:tblPrEx>
          <w:tblCellMar>
            <w:top w:w="0" w:type="dxa"/>
            <w:left w:w="108" w:type="dxa"/>
            <w:bottom w:w="0" w:type="dxa"/>
            <w:right w:w="108" w:type="dxa"/>
          </w:tblCellMar>
        </w:tblPrEx>
        <w:tc>
          <w:tcPr>
            <w:tcW w:w="8847" w:type="dxa"/>
            <w:gridSpan w:val="9"/>
            <w:vAlign w:val="center"/>
          </w:tcPr>
          <w:p w14:paraId="00739A25">
            <w:pPr>
              <w:jc w:val="center"/>
            </w:pPr>
            <w:r>
              <w:rPr>
                <w:rFonts w:ascii="宋体" w:hAnsi="宋体" w:eastAsia="宋体"/>
                <w:sz w:val="24"/>
              </w:rPr>
              <w:t>（2024年度）</w:t>
            </w:r>
          </w:p>
        </w:tc>
      </w:tr>
      <w:tr w14:paraId="4E85A3F6">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356DE8">
            <w:pPr>
              <w:jc w:val="center"/>
            </w:pPr>
            <w:r>
              <w:rPr>
                <w:rFonts w:ascii="宋体" w:hAnsi="宋体" w:eastAsia="宋体"/>
                <w:sz w:val="16"/>
              </w:rPr>
              <w:t>部门名称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0D746EFE">
            <w:pPr>
              <w:jc w:val="center"/>
            </w:pPr>
            <w:r>
              <w:rPr>
                <w:rFonts w:ascii="宋体" w:hAnsi="宋体" w:eastAsia="宋体"/>
                <w:sz w:val="16"/>
              </w:rPr>
              <w:t>巴楚县人民检察院</w:t>
            </w:r>
          </w:p>
        </w:tc>
      </w:tr>
      <w:tr w14:paraId="41B65BDA">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0955248">
            <w:pPr>
              <w:jc w:val="center"/>
            </w:pPr>
            <w:r>
              <w:rPr>
                <w:rFonts w:ascii="宋体" w:hAnsi="宋体" w:eastAsia="宋体"/>
                <w:sz w:val="16"/>
              </w:rPr>
              <w:t>部门资金（万元）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5A0244">
            <w:pPr>
              <w:jc w:val="center"/>
            </w:pPr>
            <w:r>
              <w:rPr>
                <w:rFonts w:ascii="宋体" w:hAnsi="宋体" w:eastAsia="宋体"/>
                <w:sz w:val="16"/>
              </w:rPr>
              <w:t>资金来源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A7FD90">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010D70">
            <w:pPr>
              <w:jc w:val="center"/>
            </w:pPr>
            <w:r>
              <w:rPr>
                <w:rFonts w:ascii="宋体" w:hAnsi="宋体" w:eastAsia="宋体"/>
                <w:sz w:val="16"/>
              </w:rPr>
              <w:t>预算数（调整后）</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DB322E">
            <w:pPr>
              <w:jc w:val="center"/>
            </w:pPr>
            <w:r>
              <w:rPr>
                <w:rFonts w:ascii="宋体" w:hAnsi="宋体" w:eastAsia="宋体"/>
                <w:sz w:val="16"/>
              </w:rPr>
              <w:t>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79D387">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E621B7">
            <w:pPr>
              <w:jc w:val="center"/>
            </w:pPr>
            <w:r>
              <w:rPr>
                <w:rFonts w:ascii="宋体" w:hAnsi="宋体" w:eastAsia="宋体"/>
                <w:sz w:val="16"/>
              </w:rPr>
              <w:t>执行率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639FAC">
            <w:pPr>
              <w:jc w:val="center"/>
            </w:pPr>
            <w:r>
              <w:rPr>
                <w:rFonts w:ascii="宋体" w:hAnsi="宋体" w:eastAsia="宋体"/>
                <w:sz w:val="16"/>
              </w:rPr>
              <w:t>得分</w:t>
            </w:r>
          </w:p>
        </w:tc>
      </w:tr>
      <w:tr w14:paraId="73D34CA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8AF4EA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441CF7">
            <w:pPr>
              <w:jc w:val="center"/>
            </w:pPr>
            <w:r>
              <w:rPr>
                <w:rFonts w:ascii="宋体" w:hAnsi="宋体" w:eastAsia="宋体"/>
                <w:sz w:val="16"/>
              </w:rPr>
              <w:t>年度总资金：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DB4FD9">
            <w:pPr>
              <w:jc w:val="center"/>
            </w:pPr>
            <w:r>
              <w:rPr>
                <w:rFonts w:ascii="宋体" w:hAnsi="宋体" w:eastAsia="宋体"/>
                <w:sz w:val="16"/>
              </w:rPr>
              <w:t>1,406.47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F2864E">
            <w:pPr>
              <w:jc w:val="center"/>
            </w:pPr>
            <w:r>
              <w:rPr>
                <w:rFonts w:ascii="宋体" w:hAnsi="宋体" w:eastAsia="宋体"/>
                <w:sz w:val="16"/>
              </w:rPr>
              <w:t>1,446.05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999242">
            <w:pPr>
              <w:jc w:val="center"/>
            </w:pPr>
            <w:r>
              <w:rPr>
                <w:rFonts w:ascii="宋体" w:hAnsi="宋体" w:eastAsia="宋体"/>
                <w:sz w:val="16"/>
              </w:rPr>
              <w:t>1,446.05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9506C9">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9B5037">
            <w:pPr>
              <w:jc w:val="center"/>
            </w:pPr>
            <w:r>
              <w:rPr>
                <w:rFonts w:ascii="宋体" w:hAnsi="宋体" w:eastAsia="宋体"/>
                <w:sz w:val="16"/>
              </w:rPr>
              <w:t>100.00%</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548AC4">
            <w:pPr>
              <w:jc w:val="center"/>
            </w:pPr>
            <w:r>
              <w:rPr>
                <w:rFonts w:ascii="宋体" w:hAnsi="宋体" w:eastAsia="宋体"/>
                <w:sz w:val="16"/>
              </w:rPr>
              <w:t>10</w:t>
            </w:r>
          </w:p>
        </w:tc>
      </w:tr>
      <w:tr w14:paraId="671260A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9D5573F"/>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59E06F">
            <w:pPr>
              <w:jc w:val="center"/>
            </w:pPr>
            <w:r>
              <w:rPr>
                <w:rFonts w:ascii="宋体" w:hAnsi="宋体" w:eastAsia="宋体"/>
                <w:sz w:val="16"/>
              </w:rPr>
              <w:t>上级资金：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5B2171">
            <w:pPr>
              <w:jc w:val="center"/>
            </w:pPr>
            <w:r>
              <w:rPr>
                <w:rFonts w:ascii="宋体" w:hAnsi="宋体" w:eastAsia="宋体"/>
                <w:sz w:val="16"/>
              </w:rPr>
              <w:t>302.20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B83317">
            <w:pPr>
              <w:jc w:val="center"/>
            </w:pPr>
            <w:r>
              <w:rPr>
                <w:rFonts w:ascii="宋体" w:hAnsi="宋体" w:eastAsia="宋体"/>
                <w:sz w:val="16"/>
              </w:rPr>
              <w:t>328.73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3DE12A">
            <w:pPr>
              <w:jc w:val="center"/>
            </w:pPr>
            <w:r>
              <w:rPr>
                <w:rFonts w:ascii="宋体" w:hAnsi="宋体" w:eastAsia="宋体"/>
                <w:sz w:val="16"/>
              </w:rPr>
              <w:t>328.73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D6289F">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9FB6B9">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E2E62B">
            <w:pPr>
              <w:jc w:val="center"/>
            </w:pPr>
            <w:r>
              <w:rPr>
                <w:rFonts w:ascii="宋体" w:hAnsi="宋体" w:eastAsia="宋体"/>
                <w:sz w:val="16"/>
              </w:rPr>
              <w:t>—</w:t>
            </w:r>
          </w:p>
        </w:tc>
      </w:tr>
      <w:tr w14:paraId="32CE28D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C1611C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EA9FEC">
            <w:pPr>
              <w:jc w:val="center"/>
            </w:pPr>
            <w:r>
              <w:rPr>
                <w:rFonts w:ascii="宋体" w:hAnsi="宋体" w:eastAsia="宋体"/>
                <w:sz w:val="16"/>
              </w:rPr>
              <w:t>本级资金：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BA6BF7">
            <w:pPr>
              <w:jc w:val="center"/>
            </w:pPr>
            <w:r>
              <w:rPr>
                <w:rFonts w:ascii="宋体" w:hAnsi="宋体" w:eastAsia="宋体"/>
                <w:sz w:val="16"/>
              </w:rPr>
              <w:t>1,104.27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F4B00D">
            <w:pPr>
              <w:jc w:val="center"/>
            </w:pPr>
            <w:r>
              <w:rPr>
                <w:rFonts w:ascii="宋体" w:hAnsi="宋体" w:eastAsia="宋体"/>
                <w:sz w:val="16"/>
              </w:rPr>
              <w:t>1,117.32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2FC993">
            <w:pPr>
              <w:jc w:val="center"/>
            </w:pPr>
            <w:r>
              <w:rPr>
                <w:rFonts w:ascii="宋体" w:hAnsi="宋体" w:eastAsia="宋体"/>
                <w:sz w:val="16"/>
              </w:rPr>
              <w:t>1,117.32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AC8875">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41BC7E">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E191CB">
            <w:pPr>
              <w:jc w:val="center"/>
            </w:pPr>
            <w:r>
              <w:rPr>
                <w:rFonts w:ascii="宋体" w:hAnsi="宋体" w:eastAsia="宋体"/>
                <w:sz w:val="16"/>
              </w:rPr>
              <w:t>—</w:t>
            </w:r>
          </w:p>
        </w:tc>
      </w:tr>
      <w:tr w14:paraId="0FFBD9B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1BACEA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06D087">
            <w:pPr>
              <w:jc w:val="center"/>
            </w:pPr>
            <w:r>
              <w:rPr>
                <w:rFonts w:ascii="宋体" w:hAnsi="宋体" w:eastAsia="宋体"/>
                <w:sz w:val="16"/>
              </w:rPr>
              <w:t>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D82DF0">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123DB3">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4C3673">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65CF13">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8C40AA">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FD51E6">
            <w:pPr>
              <w:jc w:val="center"/>
            </w:pPr>
            <w:r>
              <w:rPr>
                <w:rFonts w:ascii="宋体" w:hAnsi="宋体" w:eastAsia="宋体"/>
                <w:sz w:val="16"/>
              </w:rPr>
              <w:t>—</w:t>
            </w:r>
          </w:p>
        </w:tc>
      </w:tr>
      <w:tr w14:paraId="3B5EDEE5">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32D692E">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2F7F3DA">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1DEC0F9">
            <w:pPr>
              <w:jc w:val="center"/>
            </w:pPr>
            <w:r>
              <w:rPr>
                <w:rFonts w:ascii="宋体" w:hAnsi="宋体" w:eastAsia="宋体"/>
                <w:sz w:val="16"/>
              </w:rPr>
              <w:t>实际完成情况</w:t>
            </w:r>
          </w:p>
        </w:tc>
      </w:tr>
      <w:tr w14:paraId="7D548C5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56C1390"/>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F9872EA">
            <w:pPr>
              <w:jc w:val="both"/>
            </w:pPr>
            <w:r>
              <w:rPr>
                <w:rFonts w:ascii="宋体" w:hAnsi="宋体" w:eastAsia="宋体"/>
                <w:sz w:val="16"/>
              </w:rPr>
              <w:t>巴楚县人民检察院全年受理司法救助案件计划数为30件，受理各类审查逮捕案件计划数为300件，受理立案公益诉讼案件计划数为40件，检察建议采纳率为100%，群众信访案件满意度为95%。在县委和上级检察机关的正确领导下，在人大及其常委会的有力监督下，坚持以习近平新时代中国特色社会主义思想和党的二十大精神为指导，全面深入落实《中共中央关于加强新时代检察机关法律监督工作的意见》、第十六次全疆检察工作会议精神，以“务本、求实、提质、增效”为工作目标，以高度的政治自觉、法治自觉、检察自觉依法全面履行法律监督职责。</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573AF57">
            <w:pPr>
              <w:jc w:val="both"/>
            </w:pPr>
            <w:r>
              <w:rPr>
                <w:rFonts w:ascii="宋体" w:hAnsi="宋体" w:eastAsia="宋体"/>
                <w:sz w:val="16"/>
              </w:rPr>
              <w:t>始终坚持党对检察工作的绝对领导，紧紧围绕党的治疆方略，坚持按照“务本、求实、提质、增效”的工作目标，以高度的政治自觉、法治自觉、检察自觉依法全面履行法律监督职责和“一个统领、五个始终、八个坚持不懈”工作思路，忠诚履行各项检察职能，强化法律监督实效，全力服务发展大局。本年受理司法救助案件数量为32件，受理各类审查逮捕案件数量287件，受理立案公益诉讼案件数量76件，检察建议采纳率100%，群众信访案件满意度达到98%。</w:t>
            </w:r>
          </w:p>
        </w:tc>
      </w:tr>
      <w:tr w14:paraId="541E62DD">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9AAB52">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097284">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AB44A4">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4183B8">
            <w:pPr>
              <w:jc w:val="center"/>
            </w:pPr>
            <w:r>
              <w:rPr>
                <w:rFonts w:ascii="宋体" w:hAnsi="宋体" w:eastAsia="宋体"/>
                <w:sz w:val="16"/>
              </w:rPr>
              <w:t>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CE0CD7">
            <w:pPr>
              <w:jc w:val="center"/>
            </w:pPr>
            <w:r>
              <w:rPr>
                <w:rFonts w:ascii="宋体" w:hAnsi="宋体" w:eastAsia="宋体"/>
                <w:sz w:val="16"/>
              </w:rPr>
              <w:t>指标值设定依据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2D352B">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47FA9E">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527BBC">
            <w:pPr>
              <w:jc w:val="center"/>
            </w:pPr>
            <w:r>
              <w:rPr>
                <w:rFonts w:ascii="宋体" w:hAnsi="宋体" w:eastAsia="宋体"/>
                <w:sz w:val="16"/>
              </w:rPr>
              <w:t>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E2461E">
            <w:pPr>
              <w:jc w:val="center"/>
            </w:pPr>
            <w:r>
              <w:rPr>
                <w:rFonts w:ascii="宋体" w:hAnsi="宋体" w:eastAsia="宋体"/>
                <w:sz w:val="16"/>
              </w:rPr>
              <w:t>得分</w:t>
            </w:r>
          </w:p>
        </w:tc>
      </w:tr>
      <w:tr w14:paraId="556C6F92">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F4E7471">
            <w:pPr>
              <w:jc w:val="center"/>
            </w:pPr>
            <w:r>
              <w:rPr>
                <w:rFonts w:ascii="宋体" w:hAnsi="宋体" w:eastAsia="宋体"/>
                <w:sz w:val="16"/>
              </w:rPr>
              <w:t>履职效能</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611C903">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988D6F">
            <w:pPr>
              <w:jc w:val="center"/>
            </w:pPr>
            <w:r>
              <w:rPr>
                <w:rFonts w:ascii="宋体" w:hAnsi="宋体" w:eastAsia="宋体"/>
                <w:sz w:val="16"/>
              </w:rPr>
              <w:t>受理司法救助案件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3BE1CF">
            <w:pPr>
              <w:jc w:val="center"/>
            </w:pPr>
            <w:r>
              <w:rPr>
                <w:rFonts w:ascii="宋体" w:hAnsi="宋体" w:eastAsia="宋体"/>
                <w:sz w:val="16"/>
              </w:rPr>
              <w:t>&gt;=30件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8BDF65">
            <w:pPr>
              <w:jc w:val="center"/>
            </w:pPr>
            <w:r>
              <w:rPr>
                <w:rFonts w:ascii="宋体" w:hAnsi="宋体" w:eastAsia="宋体"/>
                <w:sz w:val="16"/>
              </w:rPr>
              <w:t>巴楚县人民检察院2023年工作总结及2024年工作计划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48097F">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4144A3">
            <w:pPr>
              <w:jc w:val="center"/>
            </w:pPr>
            <w:r>
              <w:rPr>
                <w:rFonts w:ascii="宋体" w:hAnsi="宋体" w:eastAsia="宋体"/>
                <w:sz w:val="16"/>
              </w:rPr>
              <w:t>32件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6A62C3">
            <w:pPr>
              <w:jc w:val="center"/>
            </w:pPr>
            <w:r>
              <w:rPr>
                <w:rFonts w:ascii="宋体" w:hAnsi="宋体" w:eastAsia="宋体"/>
                <w:sz w:val="16"/>
              </w:rPr>
              <w:t>106.67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F61C9E">
            <w:pPr>
              <w:jc w:val="center"/>
            </w:pPr>
            <w:r>
              <w:rPr>
                <w:rFonts w:ascii="宋体" w:hAnsi="宋体" w:eastAsia="宋体"/>
                <w:sz w:val="16"/>
              </w:rPr>
              <w:t>20</w:t>
            </w:r>
          </w:p>
        </w:tc>
      </w:tr>
      <w:tr w14:paraId="360AC01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55C47CD"/>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D8D3F9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4B9848">
            <w:pPr>
              <w:jc w:val="center"/>
            </w:pPr>
            <w:r>
              <w:rPr>
                <w:rFonts w:ascii="宋体" w:hAnsi="宋体" w:eastAsia="宋体"/>
                <w:sz w:val="16"/>
              </w:rPr>
              <w:t>受理各类审查逮捕案件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C9D545">
            <w:pPr>
              <w:jc w:val="center"/>
            </w:pPr>
            <w:r>
              <w:rPr>
                <w:rFonts w:ascii="宋体" w:hAnsi="宋体" w:eastAsia="宋体"/>
                <w:sz w:val="16"/>
              </w:rPr>
              <w:t>&gt;=300件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DF3B31">
            <w:pPr>
              <w:jc w:val="center"/>
            </w:pPr>
            <w:r>
              <w:rPr>
                <w:rFonts w:ascii="宋体" w:hAnsi="宋体" w:eastAsia="宋体"/>
                <w:sz w:val="16"/>
              </w:rPr>
              <w:t>巴楚县人民检察院2023年工作总结及2024年工作计划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9ADF60">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EBEFE6">
            <w:pPr>
              <w:jc w:val="center"/>
            </w:pPr>
            <w:r>
              <w:rPr>
                <w:rFonts w:ascii="宋体" w:hAnsi="宋体" w:eastAsia="宋体"/>
                <w:sz w:val="16"/>
              </w:rPr>
              <w:t>287件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5A3279">
            <w:pPr>
              <w:jc w:val="center"/>
            </w:pPr>
            <w:r>
              <w:rPr>
                <w:rFonts w:ascii="宋体" w:hAnsi="宋体" w:eastAsia="宋体"/>
                <w:sz w:val="16"/>
              </w:rPr>
              <w:t>95.67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EFC7C5">
            <w:pPr>
              <w:jc w:val="center"/>
            </w:pPr>
            <w:r>
              <w:rPr>
                <w:rFonts w:ascii="宋体" w:hAnsi="宋体" w:eastAsia="宋体"/>
                <w:sz w:val="16"/>
              </w:rPr>
              <w:t>19.2</w:t>
            </w:r>
          </w:p>
        </w:tc>
      </w:tr>
      <w:tr w14:paraId="1AF747A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366F4E9"/>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9B9FBD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98845D">
            <w:pPr>
              <w:jc w:val="center"/>
            </w:pPr>
            <w:r>
              <w:rPr>
                <w:rFonts w:ascii="宋体" w:hAnsi="宋体" w:eastAsia="宋体"/>
                <w:sz w:val="16"/>
              </w:rPr>
              <w:t>受理公益诉讼案件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B068F1">
            <w:pPr>
              <w:jc w:val="center"/>
            </w:pPr>
            <w:r>
              <w:rPr>
                <w:rFonts w:ascii="宋体" w:hAnsi="宋体" w:eastAsia="宋体"/>
                <w:sz w:val="16"/>
              </w:rPr>
              <w:t>&gt;=40件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304635">
            <w:pPr>
              <w:jc w:val="center"/>
            </w:pPr>
            <w:r>
              <w:rPr>
                <w:rFonts w:ascii="宋体" w:hAnsi="宋体" w:eastAsia="宋体"/>
                <w:sz w:val="16"/>
              </w:rPr>
              <w:t>巴楚县人民检察院2023年工作总结及2024年工作计划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E04949">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F46A85">
            <w:pPr>
              <w:jc w:val="center"/>
            </w:pPr>
            <w:r>
              <w:rPr>
                <w:rFonts w:ascii="宋体" w:hAnsi="宋体" w:eastAsia="宋体"/>
                <w:sz w:val="16"/>
              </w:rPr>
              <w:t>76件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592069">
            <w:pPr>
              <w:jc w:val="center"/>
            </w:pPr>
            <w:r>
              <w:rPr>
                <w:rFonts w:ascii="宋体" w:hAnsi="宋体" w:eastAsia="宋体"/>
                <w:sz w:val="16"/>
              </w:rPr>
              <w:t>190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F9875A">
            <w:pPr>
              <w:jc w:val="center"/>
            </w:pPr>
            <w:r>
              <w:rPr>
                <w:rFonts w:ascii="宋体" w:hAnsi="宋体" w:eastAsia="宋体"/>
                <w:sz w:val="16"/>
              </w:rPr>
              <w:t>15</w:t>
            </w:r>
          </w:p>
        </w:tc>
      </w:tr>
      <w:tr w14:paraId="66745C1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20092E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F93046">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415192">
            <w:pPr>
              <w:jc w:val="center"/>
            </w:pPr>
            <w:r>
              <w:rPr>
                <w:rFonts w:ascii="宋体" w:hAnsi="宋体" w:eastAsia="宋体"/>
                <w:sz w:val="16"/>
              </w:rPr>
              <w:t>检察建议采纳率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DC0193">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0C8C6C">
            <w:pPr>
              <w:jc w:val="center"/>
            </w:pPr>
            <w:r>
              <w:rPr>
                <w:rFonts w:ascii="宋体" w:hAnsi="宋体" w:eastAsia="宋体"/>
                <w:sz w:val="16"/>
              </w:rPr>
              <w:t>巴楚县人民检察院2023年工作总结及2024年工作计划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685AFE">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BEB02E">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2F1FE2">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3A3DB3">
            <w:pPr>
              <w:jc w:val="center"/>
            </w:pPr>
            <w:r>
              <w:rPr>
                <w:rFonts w:ascii="宋体" w:hAnsi="宋体" w:eastAsia="宋体"/>
                <w:sz w:val="16"/>
              </w:rPr>
              <w:t>15</w:t>
            </w:r>
          </w:p>
        </w:tc>
      </w:tr>
      <w:tr w14:paraId="36C9AE8F">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DAF647">
            <w:pPr>
              <w:jc w:val="center"/>
            </w:pPr>
            <w:r>
              <w:rPr>
                <w:rFonts w:ascii="宋体" w:hAnsi="宋体" w:eastAsia="宋体"/>
                <w:sz w:val="16"/>
              </w:rPr>
              <w:t>服务对象满意度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442517">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F08C48">
            <w:pPr>
              <w:jc w:val="center"/>
            </w:pPr>
            <w:r>
              <w:rPr>
                <w:rFonts w:ascii="宋体" w:hAnsi="宋体" w:eastAsia="宋体"/>
                <w:sz w:val="16"/>
              </w:rPr>
              <w:t>群众信访案件满意度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B5BA2A">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69C954">
            <w:pPr>
              <w:jc w:val="center"/>
            </w:pPr>
            <w:r>
              <w:rPr>
                <w:rFonts w:ascii="宋体" w:hAnsi="宋体" w:eastAsia="宋体"/>
                <w:sz w:val="16"/>
              </w:rPr>
              <w:t>《关于开展2023年事前评估和绩效目标编制工作的通知》（喀地财绩</w:t>
            </w:r>
            <w:r>
              <w:rPr>
                <w:rFonts w:hint="eastAsia" w:ascii="宋体" w:hAnsi="宋体"/>
                <w:sz w:val="16"/>
                <w:lang w:eastAsia="zh-CN"/>
              </w:rPr>
              <w:t>〔2023〕3号</w:t>
            </w: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AE7737">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7253B1">
            <w:pPr>
              <w:jc w:val="center"/>
            </w:pPr>
            <w:r>
              <w:rPr>
                <w:rFonts w:ascii="宋体" w:hAnsi="宋体" w:eastAsia="宋体"/>
                <w:sz w:val="16"/>
              </w:rPr>
              <w:t>98%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2D0E3F">
            <w:pPr>
              <w:jc w:val="center"/>
            </w:pPr>
            <w:r>
              <w:rPr>
                <w:rFonts w:ascii="宋体" w:hAnsi="宋体" w:eastAsia="宋体"/>
                <w:sz w:val="16"/>
              </w:rPr>
              <w:t>103.16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A782CB">
            <w:pPr>
              <w:jc w:val="center"/>
            </w:pPr>
            <w:r>
              <w:rPr>
                <w:rFonts w:ascii="宋体" w:hAnsi="宋体" w:eastAsia="宋体"/>
                <w:sz w:val="16"/>
              </w:rPr>
              <w:t>20</w:t>
            </w:r>
          </w:p>
        </w:tc>
      </w:tr>
    </w:tbl>
    <w:p w14:paraId="16A64A06">
      <w:r>
        <w:br w:type="page"/>
      </w:r>
    </w:p>
    <w:p w14:paraId="1DF151BD">
      <w:pPr>
        <w:spacing w:line="640" w:lineRule="exact"/>
        <w:ind w:firstLine="640"/>
        <w:jc w:val="both"/>
        <w:outlineLvl w:val="2"/>
      </w:pPr>
      <w:r>
        <w:rPr>
          <w:rFonts w:ascii="黑体" w:hAnsi="黑体" w:eastAsia="黑体"/>
          <w:sz w:val="32"/>
        </w:rPr>
        <w:t>十二、其他需说明的事项</w:t>
      </w:r>
    </w:p>
    <w:p w14:paraId="5A6D67C9">
      <w:pPr>
        <w:spacing w:line="580" w:lineRule="exact"/>
        <w:ind w:firstLine="640"/>
        <w:jc w:val="both"/>
      </w:pPr>
      <w:r>
        <w:rPr>
          <w:rFonts w:ascii="仿宋_GB2312" w:hAnsi="仿宋_GB2312" w:eastAsia="仿宋_GB2312"/>
          <w:b w:val="0"/>
          <w:sz w:val="32"/>
        </w:rPr>
        <w:t>本年本部门</w:t>
      </w:r>
      <w:r>
        <w:rPr>
          <w:rFonts w:hint="eastAsia" w:ascii="仿宋_GB2312" w:hAnsi="仿宋_GB2312" w:eastAsia="仿宋_GB2312"/>
          <w:b w:val="0"/>
          <w:sz w:val="32"/>
          <w:lang w:val="en-US" w:eastAsia="zh-CN"/>
        </w:rPr>
        <w:t>涉密</w:t>
      </w:r>
      <w:r>
        <w:rPr>
          <w:rFonts w:ascii="仿宋_GB2312" w:hAnsi="仿宋_GB2312" w:eastAsia="仿宋_GB2312"/>
          <w:b w:val="0"/>
          <w:sz w:val="32"/>
        </w:rPr>
        <w:t>项目6个，全年预算数344.25万元，全年执行数344.25万元。</w:t>
      </w:r>
      <w:bookmarkStart w:id="0" w:name="_GoBack"/>
      <w:bookmarkEnd w:id="0"/>
    </w:p>
    <w:p w14:paraId="3DF60D80">
      <w:r>
        <w:br w:type="page"/>
      </w:r>
    </w:p>
    <w:p w14:paraId="055BEC65">
      <w:pPr>
        <w:spacing w:line="240" w:lineRule="auto"/>
        <w:jc w:val="center"/>
        <w:outlineLvl w:val="1"/>
      </w:pPr>
      <w:r>
        <w:rPr>
          <w:rFonts w:ascii="黑体" w:hAnsi="黑体" w:eastAsia="黑体"/>
          <w:sz w:val="32"/>
        </w:rPr>
        <w:t>第三部分 专业名词解释</w:t>
      </w:r>
    </w:p>
    <w:p w14:paraId="1ED8F83E">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320FAD14">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1CC60EC0">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4671EE47">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4521144F">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166FA88F">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5CBBA926">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2EB641D7">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111541A5">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7CBCC2AA">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553C3817">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3FF5A8C2">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6A9FB929">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5D542DA7">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61853869">
      <w:r>
        <w:br w:type="page"/>
      </w:r>
    </w:p>
    <w:p w14:paraId="70604235">
      <w:pPr>
        <w:spacing w:line="240" w:lineRule="auto"/>
        <w:jc w:val="center"/>
        <w:outlineLvl w:val="1"/>
      </w:pPr>
      <w:r>
        <w:rPr>
          <w:rFonts w:ascii="黑体" w:hAnsi="黑体" w:eastAsia="黑体"/>
          <w:sz w:val="32"/>
        </w:rPr>
        <w:t>第四部分 部门决算报表（见附表）</w:t>
      </w:r>
    </w:p>
    <w:p w14:paraId="4F005276">
      <w:pPr>
        <w:spacing w:line="240" w:lineRule="auto"/>
        <w:ind w:firstLine="640"/>
        <w:jc w:val="both"/>
      </w:pPr>
      <w:r>
        <w:rPr>
          <w:rFonts w:ascii="仿宋_GB2312" w:hAnsi="仿宋_GB2312" w:eastAsia="仿宋_GB2312"/>
          <w:b w:val="0"/>
          <w:sz w:val="32"/>
        </w:rPr>
        <w:t>一、《收入支出决算总表》</w:t>
      </w:r>
    </w:p>
    <w:p w14:paraId="7B94A88E">
      <w:pPr>
        <w:spacing w:line="240" w:lineRule="auto"/>
        <w:ind w:firstLine="640"/>
        <w:jc w:val="both"/>
      </w:pPr>
      <w:r>
        <w:rPr>
          <w:rFonts w:ascii="仿宋_GB2312" w:hAnsi="仿宋_GB2312" w:eastAsia="仿宋_GB2312"/>
          <w:b w:val="0"/>
          <w:sz w:val="32"/>
        </w:rPr>
        <w:t>二、《收入决算表》</w:t>
      </w:r>
    </w:p>
    <w:p w14:paraId="561868FC">
      <w:pPr>
        <w:spacing w:line="240" w:lineRule="auto"/>
        <w:ind w:firstLine="640"/>
        <w:jc w:val="both"/>
      </w:pPr>
      <w:r>
        <w:rPr>
          <w:rFonts w:ascii="仿宋_GB2312" w:hAnsi="仿宋_GB2312" w:eastAsia="仿宋_GB2312"/>
          <w:b w:val="0"/>
          <w:sz w:val="32"/>
        </w:rPr>
        <w:t>三、《支出决算表》</w:t>
      </w:r>
    </w:p>
    <w:p w14:paraId="0B965E28">
      <w:pPr>
        <w:spacing w:line="240" w:lineRule="auto"/>
        <w:ind w:firstLine="640"/>
        <w:jc w:val="both"/>
      </w:pPr>
      <w:r>
        <w:rPr>
          <w:rFonts w:ascii="仿宋_GB2312" w:hAnsi="仿宋_GB2312" w:eastAsia="仿宋_GB2312"/>
          <w:b w:val="0"/>
          <w:sz w:val="32"/>
        </w:rPr>
        <w:t>四、《财政拨款收入支出决算总表》</w:t>
      </w:r>
    </w:p>
    <w:p w14:paraId="73EACDE1">
      <w:pPr>
        <w:spacing w:line="240" w:lineRule="auto"/>
        <w:ind w:firstLine="640"/>
        <w:jc w:val="both"/>
      </w:pPr>
      <w:r>
        <w:rPr>
          <w:rFonts w:ascii="仿宋_GB2312" w:hAnsi="仿宋_GB2312" w:eastAsia="仿宋_GB2312"/>
          <w:b w:val="0"/>
          <w:sz w:val="32"/>
        </w:rPr>
        <w:t>五、《一般公共预算财政拨款支出决算表》</w:t>
      </w:r>
    </w:p>
    <w:p w14:paraId="00C85252">
      <w:pPr>
        <w:spacing w:line="240" w:lineRule="auto"/>
        <w:ind w:firstLine="640"/>
        <w:jc w:val="both"/>
      </w:pPr>
      <w:r>
        <w:rPr>
          <w:rFonts w:ascii="仿宋_GB2312" w:hAnsi="仿宋_GB2312" w:eastAsia="仿宋_GB2312"/>
          <w:b w:val="0"/>
          <w:sz w:val="32"/>
        </w:rPr>
        <w:t>六、《一般公共预算财政拨款基本支出决算表》</w:t>
      </w:r>
    </w:p>
    <w:p w14:paraId="20AE6E72">
      <w:pPr>
        <w:spacing w:line="240" w:lineRule="auto"/>
        <w:ind w:firstLine="640"/>
        <w:jc w:val="both"/>
      </w:pPr>
      <w:r>
        <w:rPr>
          <w:rFonts w:ascii="仿宋_GB2312" w:hAnsi="仿宋_GB2312" w:eastAsia="仿宋_GB2312"/>
          <w:b w:val="0"/>
          <w:sz w:val="32"/>
        </w:rPr>
        <w:t>七、《政府性基金预算财政拨款收入支出决算表》</w:t>
      </w:r>
    </w:p>
    <w:p w14:paraId="2FD21E31">
      <w:pPr>
        <w:spacing w:line="240" w:lineRule="auto"/>
        <w:ind w:firstLine="640"/>
        <w:jc w:val="both"/>
      </w:pPr>
      <w:r>
        <w:rPr>
          <w:rFonts w:ascii="仿宋_GB2312" w:hAnsi="仿宋_GB2312" w:eastAsia="仿宋_GB2312"/>
          <w:b w:val="0"/>
          <w:sz w:val="32"/>
        </w:rPr>
        <w:t>八、《国有资本经营预算财政拨款收入支出决算表》</w:t>
      </w:r>
    </w:p>
    <w:p w14:paraId="17E974CA">
      <w:pPr>
        <w:spacing w:line="240" w:lineRule="auto"/>
        <w:ind w:firstLine="640"/>
        <w:jc w:val="both"/>
      </w:pPr>
      <w:r>
        <w:rPr>
          <w:rFonts w:ascii="仿宋_GB2312" w:hAnsi="仿宋_GB2312" w:eastAsia="仿宋_GB2312"/>
          <w:b w:val="0"/>
          <w:sz w:val="32"/>
        </w:rPr>
        <w:t>九、《财政拨款“三公”经费支出决算表》</w:t>
      </w:r>
    </w:p>
    <w:p w14:paraId="13F06439">
      <w:pPr>
        <w:spacing w:line="240" w:lineRule="auto"/>
        <w:ind w:firstLine="640"/>
        <w:jc w:val="both"/>
      </w:pPr>
    </w:p>
    <w:p w14:paraId="5D03ED03">
      <w:pPr>
        <w:spacing w:line="240" w:lineRule="auto"/>
        <w:ind w:firstLine="640"/>
        <w:jc w:val="both"/>
      </w:pPr>
    </w:p>
    <w:p w14:paraId="472993DC">
      <w:pPr>
        <w:spacing w:line="240" w:lineRule="auto"/>
        <w:ind w:firstLine="640"/>
        <w:jc w:val="both"/>
      </w:pPr>
    </w:p>
    <w:p w14:paraId="48362B90">
      <w:pPr>
        <w:spacing w:line="240" w:lineRule="auto"/>
        <w:ind w:firstLine="640"/>
        <w:jc w:val="both"/>
      </w:pPr>
    </w:p>
    <w:p w14:paraId="2A465B1B">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1F7CAA4E-BCC7-4A1A-A305-2F83C89AF6A8}"/>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embedRegular r:id="rId2" w:fontKey="{B4A8C672-74AD-4F92-AE4A-A7B0A457F59E}"/>
  </w:font>
  <w:font w:name="方正小标宋_GBK">
    <w:panose1 w:val="02000000000000000000"/>
    <w:charset w:val="86"/>
    <w:family w:val="script"/>
    <w:pitch w:val="default"/>
    <w:sig w:usb0="A00002BF" w:usb1="38CF7CFA" w:usb2="00082016" w:usb3="00000000" w:csb0="00040001" w:csb1="00000000"/>
    <w:embedRegular r:id="rId3" w:fontKey="{F6A11A31-2D8A-413E-A0DD-0607441A1858}"/>
  </w:font>
  <w:font w:name="楷体_GB2312">
    <w:altName w:val="楷体"/>
    <w:panose1 w:val="00000000000000000000"/>
    <w:charset w:val="00"/>
    <w:family w:val="auto"/>
    <w:pitch w:val="default"/>
    <w:sig w:usb0="00000000" w:usb1="00000000" w:usb2="00000000" w:usb3="00000000" w:csb0="00000000" w:csb1="00000000"/>
    <w:embedRegular r:id="rId4" w:fontKey="{4C3A370B-5D60-4B87-BF41-36EF6E948A09}"/>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EF1705"/>
    <w:rsid w:val="02F73D26"/>
    <w:rsid w:val="034D4FEF"/>
    <w:rsid w:val="043E5B56"/>
    <w:rsid w:val="06792773"/>
    <w:rsid w:val="09A729D8"/>
    <w:rsid w:val="0A3C58E8"/>
    <w:rsid w:val="0A7B4867"/>
    <w:rsid w:val="0ADB3CFA"/>
    <w:rsid w:val="0B8C3ECC"/>
    <w:rsid w:val="0C3613A3"/>
    <w:rsid w:val="0C7227A7"/>
    <w:rsid w:val="0DCA6EF7"/>
    <w:rsid w:val="0E4B1576"/>
    <w:rsid w:val="0EA04331"/>
    <w:rsid w:val="0F9811B3"/>
    <w:rsid w:val="11E15093"/>
    <w:rsid w:val="120E0809"/>
    <w:rsid w:val="18EC3806"/>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E1233D2"/>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19</Pages>
  <Words>6405</Words>
  <Characters>7349</Characters>
  <Lines>0</Lines>
  <Paragraphs>0</Paragraphs>
  <TotalTime>4</TotalTime>
  <ScaleCrop>false</ScaleCrop>
  <LinksUpToDate>false</LinksUpToDate>
  <CharactersWithSpaces>7359</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周丽君</cp:lastModifiedBy>
  <cp:lastPrinted>2024-07-22T11:58:00Z</cp:lastPrinted>
  <dcterms:modified xsi:type="dcterms:W3CDTF">2025-09-29T03:09:30Z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eyJoZGlkIjoiMjEwMjVmNmU3OTQwZDBjNjI0ZTM3MTBmNDI0OGIzYzIiLCJ1c2VySWQiOiIyMDM3MTI1NTkifQ==</vt:lpwstr>
  </property>
</Properties>
</file>