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BCAD8A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巴楚县人民法院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2EC4DD8">
      <w:r>
        <w:br w:type="page"/>
      </w:r>
    </w:p>
    <w:p w14:paraId="5BC98190">
      <w:pPr>
        <w:spacing w:line="640" w:lineRule="exact"/>
        <w:jc w:val="center"/>
        <w:outlineLvl w:val="1"/>
      </w:pPr>
      <w:r>
        <w:rPr>
          <w:rFonts w:ascii="黑体" w:hAnsi="黑体" w:eastAsia="黑体"/>
          <w:sz w:val="32"/>
        </w:rPr>
        <w:t>第一部分 部门概况</w:t>
      </w:r>
    </w:p>
    <w:p w14:paraId="0EEC079D">
      <w:pPr>
        <w:spacing w:line="640" w:lineRule="exact"/>
        <w:ind w:firstLine="640"/>
        <w:jc w:val="both"/>
        <w:outlineLvl w:val="2"/>
      </w:pPr>
      <w:r>
        <w:rPr>
          <w:rFonts w:ascii="黑体" w:hAnsi="黑体" w:eastAsia="黑体"/>
          <w:sz w:val="32"/>
        </w:rPr>
        <w:t>一、主要职能</w:t>
      </w:r>
    </w:p>
    <w:p w14:paraId="0075E16A">
      <w:pPr>
        <w:spacing w:line="580" w:lineRule="exact"/>
        <w:ind w:firstLine="640"/>
        <w:jc w:val="both"/>
      </w:pPr>
      <w:r>
        <w:rPr>
          <w:rFonts w:ascii="仿宋_GB2312" w:hAnsi="仿宋_GB2312" w:eastAsia="仿宋_GB2312"/>
          <w:sz w:val="32"/>
        </w:rPr>
        <w:t>1.审判法律规定应当由基层法院审判的刑事、民事和行政第一审案件。</w:t>
      </w:r>
    </w:p>
    <w:p w14:paraId="79B8C2E4">
      <w:pPr>
        <w:spacing w:line="580" w:lineRule="exact"/>
        <w:ind w:firstLine="640"/>
        <w:jc w:val="both"/>
      </w:pPr>
      <w:r>
        <w:rPr>
          <w:rFonts w:ascii="仿宋_GB2312" w:hAnsi="仿宋_GB2312" w:eastAsia="仿宋_GB2312"/>
          <w:sz w:val="32"/>
        </w:rPr>
        <w:t>2.审理喀什地区中级人民法院指令再审的案件，审理本院已经发生法律效力的判决、裁定提起再审的案件。</w:t>
      </w:r>
    </w:p>
    <w:p w14:paraId="275F894C">
      <w:pPr>
        <w:spacing w:line="580" w:lineRule="exact"/>
        <w:ind w:firstLine="640"/>
        <w:jc w:val="both"/>
      </w:pPr>
      <w:r>
        <w:rPr>
          <w:rFonts w:ascii="仿宋_GB2312" w:hAnsi="仿宋_GB2312" w:eastAsia="仿宋_GB2312"/>
          <w:sz w:val="32"/>
        </w:rPr>
        <w:t>3.审判由巴楚县检察院依照审判监督程序提出抗诉的案件。</w:t>
      </w:r>
    </w:p>
    <w:p w14:paraId="1D247308">
      <w:pPr>
        <w:spacing w:line="580" w:lineRule="exact"/>
        <w:ind w:firstLine="640"/>
        <w:jc w:val="both"/>
      </w:pPr>
      <w:r>
        <w:rPr>
          <w:rFonts w:ascii="仿宋_GB2312" w:hAnsi="仿宋_GB2312" w:eastAsia="仿宋_GB2312"/>
          <w:sz w:val="32"/>
        </w:rPr>
        <w:t>4.依法行使司法规定执行权和司法决定权。</w:t>
      </w:r>
    </w:p>
    <w:p w14:paraId="2373EDDA">
      <w:pPr>
        <w:spacing w:line="580" w:lineRule="exact"/>
        <w:ind w:firstLine="640"/>
        <w:jc w:val="both"/>
      </w:pPr>
      <w:r>
        <w:rPr>
          <w:rFonts w:ascii="仿宋_GB2312" w:hAnsi="仿宋_GB2312" w:eastAsia="仿宋_GB2312"/>
          <w:sz w:val="32"/>
        </w:rPr>
        <w:t>5.研究制定巴楚县人民法院工作的规章制度，针对案件审理中发现的问题提出司法建议。</w:t>
      </w:r>
    </w:p>
    <w:p w14:paraId="0AF95420">
      <w:pPr>
        <w:spacing w:line="580" w:lineRule="exact"/>
        <w:ind w:firstLine="640"/>
        <w:jc w:val="both"/>
      </w:pPr>
      <w:r>
        <w:rPr>
          <w:rFonts w:ascii="仿宋_GB2312" w:hAnsi="仿宋_GB2312" w:eastAsia="仿宋_GB2312"/>
          <w:sz w:val="32"/>
        </w:rPr>
        <w:t>6.做好法院的思想政治、宣传教育和培训工作；协同巴楚县委主管部门抓好本院领导班子和队伍建设；按照权限管理法官和其他工作人员。</w:t>
      </w:r>
    </w:p>
    <w:p w14:paraId="4D90876E">
      <w:pPr>
        <w:spacing w:line="580" w:lineRule="exact"/>
        <w:ind w:firstLine="640"/>
        <w:jc w:val="both"/>
      </w:pPr>
      <w:r>
        <w:rPr>
          <w:rFonts w:ascii="仿宋_GB2312" w:hAnsi="仿宋_GB2312" w:eastAsia="仿宋_GB2312"/>
          <w:sz w:val="32"/>
        </w:rPr>
        <w:t>7.负责法警教育、训练、管理及日常工作。</w:t>
      </w:r>
    </w:p>
    <w:p w14:paraId="3110E30C">
      <w:pPr>
        <w:spacing w:line="580" w:lineRule="exact"/>
        <w:ind w:firstLine="640"/>
        <w:jc w:val="both"/>
      </w:pPr>
      <w:r>
        <w:rPr>
          <w:rFonts w:ascii="仿宋_GB2312" w:hAnsi="仿宋_GB2312" w:eastAsia="仿宋_GB2312"/>
          <w:sz w:val="32"/>
        </w:rPr>
        <w:t>8.在审判工作中宣传法制，教育公民自觉遵守宪法、法律。</w:t>
      </w:r>
    </w:p>
    <w:p w14:paraId="31B75D76">
      <w:pPr>
        <w:spacing w:line="580" w:lineRule="exact"/>
        <w:ind w:firstLine="640"/>
        <w:jc w:val="both"/>
      </w:pPr>
      <w:r>
        <w:rPr>
          <w:rFonts w:ascii="仿宋_GB2312" w:hAnsi="仿宋_GB2312" w:eastAsia="仿宋_GB2312"/>
          <w:sz w:val="32"/>
        </w:rPr>
        <w:t>9.办理其他应由巴楚县人民法院负责的工作。</w:t>
      </w:r>
    </w:p>
    <w:p w14:paraId="5E05FA2A">
      <w:pPr>
        <w:spacing w:line="640" w:lineRule="exact"/>
        <w:ind w:firstLine="640"/>
        <w:jc w:val="both"/>
        <w:outlineLvl w:val="2"/>
      </w:pPr>
      <w:r>
        <w:rPr>
          <w:rFonts w:ascii="黑体" w:hAnsi="黑体" w:eastAsia="黑体"/>
          <w:sz w:val="32"/>
        </w:rPr>
        <w:t>二、机构设置及人员情况</w:t>
      </w:r>
    </w:p>
    <w:p w14:paraId="209AE105">
      <w:pPr>
        <w:spacing w:line="580" w:lineRule="exact"/>
        <w:ind w:firstLine="640"/>
        <w:jc w:val="both"/>
      </w:pPr>
      <w:r>
        <w:rPr>
          <w:rFonts w:ascii="仿宋_GB2312" w:hAnsi="仿宋_GB2312" w:eastAsia="仿宋_GB2312"/>
          <w:sz w:val="32"/>
        </w:rPr>
        <w:t>巴楚县人民法院2024年度，实有人数111人，其中：在职人员80人，减少1人；离休人员0人，增加0人；退休人员31人,减少1人。</w:t>
      </w:r>
    </w:p>
    <w:p w14:paraId="5AF08B22">
      <w:pPr>
        <w:spacing w:line="580" w:lineRule="exact"/>
        <w:ind w:firstLine="640"/>
        <w:jc w:val="both"/>
      </w:pPr>
      <w:r>
        <w:rPr>
          <w:rFonts w:ascii="仿宋_GB2312" w:hAnsi="仿宋_GB2312" w:eastAsia="仿宋_GB2312"/>
          <w:sz w:val="32"/>
        </w:rPr>
        <w:t>巴楚县人民法院无下属预算单位，下设9个科室，分别是：立案庭（诉讼服务中心）、刑事审判庭、民事审判庭、行政审判庭（综合审判庭）、执行局、审判管理办公室（研究室）、政治部、综合办公室（司法警察大队）、乡镇人民法庭。</w:t>
      </w:r>
    </w:p>
    <w:p w14:paraId="3B0A1AAC">
      <w:r>
        <w:br w:type="page"/>
      </w:r>
    </w:p>
    <w:p w14:paraId="7132CE61">
      <w:pPr>
        <w:spacing w:line="240" w:lineRule="auto"/>
        <w:jc w:val="center"/>
        <w:outlineLvl w:val="1"/>
      </w:pPr>
      <w:r>
        <w:rPr>
          <w:rFonts w:ascii="黑体" w:hAnsi="黑体" w:eastAsia="黑体"/>
          <w:sz w:val="32"/>
        </w:rPr>
        <w:t>第二部分 部门决算情况说明</w:t>
      </w:r>
    </w:p>
    <w:p w14:paraId="6963D619">
      <w:pPr>
        <w:spacing w:line="640" w:lineRule="exact"/>
        <w:ind w:firstLine="640"/>
        <w:jc w:val="both"/>
        <w:outlineLvl w:val="2"/>
      </w:pPr>
      <w:r>
        <w:rPr>
          <w:rFonts w:ascii="黑体" w:hAnsi="黑体" w:eastAsia="黑体"/>
          <w:sz w:val="32"/>
        </w:rPr>
        <w:t>一、收入支出决算总体情况说明</w:t>
      </w:r>
    </w:p>
    <w:p w14:paraId="296537ED">
      <w:pPr>
        <w:spacing w:line="580" w:lineRule="exact"/>
        <w:ind w:firstLine="640"/>
        <w:jc w:val="both"/>
      </w:pPr>
      <w:r>
        <w:rPr>
          <w:rFonts w:ascii="仿宋_GB2312" w:hAnsi="仿宋_GB2312" w:eastAsia="仿宋_GB2312"/>
          <w:b/>
          <w:sz w:val="32"/>
        </w:rPr>
        <w:t>2024年度收入总计2,736.90万元，</w:t>
      </w:r>
      <w:r>
        <w:rPr>
          <w:rFonts w:ascii="仿宋_GB2312" w:hAnsi="仿宋_GB2312" w:eastAsia="仿宋_GB2312"/>
          <w:b w:val="0"/>
          <w:sz w:val="32"/>
        </w:rPr>
        <w:t>其中：本年收入合计2,736.90万元，使用非财政拨款结余（含专用结余）0.00万元，年初结转和结余0.00万元。</w:t>
      </w:r>
    </w:p>
    <w:p w14:paraId="449C33AF">
      <w:pPr>
        <w:spacing w:line="580" w:lineRule="exact"/>
        <w:ind w:firstLine="640"/>
        <w:jc w:val="both"/>
      </w:pPr>
      <w:r>
        <w:rPr>
          <w:rFonts w:ascii="仿宋_GB2312" w:hAnsi="仿宋_GB2312" w:eastAsia="仿宋_GB2312"/>
          <w:b/>
          <w:sz w:val="32"/>
        </w:rPr>
        <w:t>2024年度支出总计2,736.90万元，</w:t>
      </w:r>
      <w:r>
        <w:rPr>
          <w:rFonts w:ascii="仿宋_GB2312" w:hAnsi="仿宋_GB2312" w:eastAsia="仿宋_GB2312"/>
          <w:b w:val="0"/>
          <w:sz w:val="32"/>
        </w:rPr>
        <w:t>其中：本年支出合计2,736.90万元，结余分配0.00万元，年末结转和结余0.00万元。</w:t>
      </w:r>
    </w:p>
    <w:p w14:paraId="224F46E3">
      <w:pPr>
        <w:spacing w:line="580" w:lineRule="exact"/>
        <w:ind w:firstLine="640"/>
        <w:jc w:val="both"/>
      </w:pPr>
      <w:r>
        <w:rPr>
          <w:rFonts w:ascii="仿宋_GB2312" w:hAnsi="仿宋_GB2312" w:eastAsia="仿宋_GB2312"/>
          <w:b w:val="0"/>
          <w:sz w:val="32"/>
        </w:rPr>
        <w:t>收入支出总体与上年相比，增加271.75万元，增长11.02%，主要原因是：本年度上级专项项目经费增加，公用经费增加、工资调资增加、正常晋升、社保及住房公积金增加，导致经费较上年增加。</w:t>
      </w:r>
    </w:p>
    <w:p w14:paraId="72D4CE5F">
      <w:pPr>
        <w:spacing w:line="640" w:lineRule="exact"/>
        <w:ind w:firstLine="640"/>
        <w:jc w:val="both"/>
        <w:outlineLvl w:val="2"/>
      </w:pPr>
      <w:r>
        <w:rPr>
          <w:rFonts w:ascii="黑体" w:hAnsi="黑体" w:eastAsia="黑体"/>
          <w:sz w:val="32"/>
        </w:rPr>
        <w:t>二、收入决算情况说明</w:t>
      </w:r>
    </w:p>
    <w:p w14:paraId="10AB3B6D">
      <w:pPr>
        <w:spacing w:line="580" w:lineRule="exact"/>
        <w:ind w:firstLine="640"/>
        <w:jc w:val="both"/>
      </w:pPr>
      <w:r>
        <w:rPr>
          <w:rFonts w:ascii="仿宋_GB2312" w:hAnsi="仿宋_GB2312" w:eastAsia="仿宋_GB2312"/>
          <w:b/>
          <w:sz w:val="32"/>
        </w:rPr>
        <w:t>本年收入2,736.90万元，</w:t>
      </w:r>
      <w:r>
        <w:rPr>
          <w:rFonts w:ascii="仿宋_GB2312" w:hAnsi="仿宋_GB2312" w:eastAsia="仿宋_GB2312"/>
          <w:b w:val="0"/>
          <w:sz w:val="32"/>
        </w:rPr>
        <w:t>其中：财政拨款收入2,736.90万元，占100.00%；上级补助收入0.00万元，占0.00%；事业收入0.00万元，占0.00%；经营收入0.00万元，占0.00%；附属单位上缴收入0.00万元，占0.00%；其他收入0.00万元，占0.00%。</w:t>
      </w:r>
    </w:p>
    <w:p w14:paraId="6E820E8A">
      <w:pPr>
        <w:spacing w:line="640" w:lineRule="exact"/>
        <w:ind w:firstLine="640"/>
        <w:jc w:val="both"/>
        <w:outlineLvl w:val="2"/>
      </w:pPr>
      <w:r>
        <w:rPr>
          <w:rFonts w:ascii="黑体" w:hAnsi="黑体" w:eastAsia="黑体"/>
          <w:sz w:val="32"/>
        </w:rPr>
        <w:t>三、支出决算情况说明</w:t>
      </w:r>
    </w:p>
    <w:p w14:paraId="17A28753">
      <w:pPr>
        <w:spacing w:line="580" w:lineRule="exact"/>
        <w:ind w:firstLine="640"/>
        <w:jc w:val="both"/>
      </w:pPr>
      <w:r>
        <w:rPr>
          <w:rFonts w:ascii="仿宋_GB2312" w:hAnsi="仿宋_GB2312" w:eastAsia="仿宋_GB2312"/>
          <w:b/>
          <w:sz w:val="32"/>
        </w:rPr>
        <w:t>本年支出2,736.90万元，</w:t>
      </w:r>
      <w:r>
        <w:rPr>
          <w:rFonts w:ascii="仿宋_GB2312" w:hAnsi="仿宋_GB2312" w:eastAsia="仿宋_GB2312"/>
          <w:b w:val="0"/>
          <w:sz w:val="32"/>
        </w:rPr>
        <w:t>其中：基本支出1,994.92万元，占72.89%；项目支出741.99万元，占27.11%；上缴上级支出0.00万元，占0.00%；经营支出0.00万元，占0.00%；对附属单位补助支出0.00万元，占0.00%。</w:t>
      </w:r>
    </w:p>
    <w:p w14:paraId="5FDE4531">
      <w:pPr>
        <w:spacing w:line="640" w:lineRule="exact"/>
        <w:ind w:firstLine="640"/>
        <w:jc w:val="both"/>
        <w:outlineLvl w:val="2"/>
      </w:pPr>
      <w:r>
        <w:rPr>
          <w:rFonts w:ascii="黑体" w:hAnsi="黑体" w:eastAsia="黑体"/>
          <w:sz w:val="32"/>
        </w:rPr>
        <w:t>四、财政拨款收入支出决算总体情况说明</w:t>
      </w:r>
    </w:p>
    <w:p w14:paraId="63E82FE9">
      <w:pPr>
        <w:spacing w:line="580" w:lineRule="exact"/>
        <w:ind w:firstLine="640"/>
        <w:jc w:val="both"/>
      </w:pPr>
      <w:r>
        <w:rPr>
          <w:rFonts w:ascii="仿宋_GB2312" w:hAnsi="仿宋_GB2312" w:eastAsia="仿宋_GB2312"/>
          <w:b/>
          <w:sz w:val="32"/>
        </w:rPr>
        <w:t>2024年度财政拨款收入总计2,736.90万元，</w:t>
      </w:r>
      <w:r>
        <w:rPr>
          <w:rFonts w:ascii="仿宋_GB2312" w:hAnsi="仿宋_GB2312" w:eastAsia="仿宋_GB2312"/>
          <w:b w:val="0"/>
          <w:sz w:val="32"/>
        </w:rPr>
        <w:t>其中：年初财政拨款结转和结余0.00万元，本年财政拨款收入2,736.90万元。</w:t>
      </w:r>
      <w:r>
        <w:rPr>
          <w:rFonts w:ascii="仿宋_GB2312" w:hAnsi="仿宋_GB2312" w:eastAsia="仿宋_GB2312"/>
          <w:b/>
          <w:sz w:val="32"/>
        </w:rPr>
        <w:t>财政拨款支出总计2,736.90万元，</w:t>
      </w:r>
      <w:r>
        <w:rPr>
          <w:rFonts w:ascii="仿宋_GB2312" w:hAnsi="仿宋_GB2312" w:eastAsia="仿宋_GB2312"/>
          <w:b w:val="0"/>
          <w:sz w:val="32"/>
        </w:rPr>
        <w:t>其中：年末财政拨款结转和结余0.00万元，本年财政拨款支出2,736.90万元。</w:t>
      </w:r>
    </w:p>
    <w:p w14:paraId="5D4BDFC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增加271.75万元，增长11.02%，主要原因是：本年度上级专项项目经费增加，公用经费增加、工资调资增加、正常晋升、社保及住房公积金增加，导致经费较上年增加。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年初预算数2,573.67万元，决算数2,736.90万元，预决算差异率6.34%，主要原因是：本年在职人员工资调薪，工资、社保、公积金等相关人员经费增加，年中追加人员经费，导致预决算存在差异。</w:t>
      </w:r>
    </w:p>
    <w:p w14:paraId="56EA7780">
      <w:pPr>
        <w:spacing w:line="640" w:lineRule="exact"/>
        <w:ind w:firstLine="640"/>
        <w:jc w:val="both"/>
        <w:outlineLvl w:val="2"/>
      </w:pPr>
      <w:r>
        <w:rPr>
          <w:rFonts w:ascii="黑体" w:hAnsi="黑体" w:eastAsia="黑体"/>
          <w:sz w:val="32"/>
        </w:rPr>
        <w:t>五、一般公共预算财政拨款支出决算情况说明</w:t>
      </w:r>
    </w:p>
    <w:p w14:paraId="7F0D2ABA">
      <w:pPr>
        <w:spacing w:line="640" w:lineRule="exact"/>
        <w:ind w:firstLine="640"/>
        <w:jc w:val="both"/>
        <w:outlineLvl w:val="3"/>
      </w:pPr>
      <w:r>
        <w:rPr>
          <w:rFonts w:ascii="楷体_GB2312" w:hAnsi="楷体_GB2312" w:eastAsia="楷体_GB2312"/>
          <w:b/>
          <w:sz w:val="32"/>
        </w:rPr>
        <w:t>（一）一般公共预算财政拨款支出决算总体情况</w:t>
      </w:r>
    </w:p>
    <w:p w14:paraId="5C14ADAA">
      <w:pPr>
        <w:spacing w:line="580" w:lineRule="exact"/>
        <w:ind w:firstLine="640"/>
        <w:jc w:val="both"/>
      </w:pPr>
      <w:r>
        <w:rPr>
          <w:rFonts w:ascii="仿宋_GB2312" w:hAnsi="仿宋_GB2312" w:eastAsia="仿宋_GB2312"/>
          <w:b/>
          <w:sz w:val="32"/>
        </w:rPr>
        <w:t>2024年度一般公共预算财政拨款支出2,736.90万元，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增加271.75万元，增长11.02%，主要原因是：本年度上级专项项目经费增加，公用经费增加、工资调资增加、正常晋升、社保及住房公积金增加，导致经费较上年增加。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年初预算数2,573.67万元，决算数2,736.90万元，预决算差异率6.34%，主要原因是：本年在职人员工资调薪，工资、社保、公积金等相关人员经费增加，年中追加人员经费，导致预决算存在差异。</w:t>
      </w:r>
    </w:p>
    <w:p w14:paraId="2EC04B25">
      <w:pPr>
        <w:spacing w:line="640" w:lineRule="exact"/>
        <w:ind w:firstLine="640"/>
        <w:jc w:val="both"/>
        <w:outlineLvl w:val="3"/>
      </w:pPr>
      <w:r>
        <w:rPr>
          <w:rFonts w:ascii="楷体_GB2312" w:hAnsi="楷体_GB2312" w:eastAsia="楷体_GB2312"/>
          <w:b/>
          <w:sz w:val="32"/>
        </w:rPr>
        <w:t>（二）一般公共预算财政拨款支出决算结构情况</w:t>
      </w:r>
    </w:p>
    <w:p w14:paraId="51BD4B0F">
      <w:pPr>
        <w:spacing w:line="580" w:lineRule="exact"/>
        <w:ind w:firstLine="640"/>
        <w:jc w:val="both"/>
      </w:pPr>
      <w:r>
        <w:rPr>
          <w:rFonts w:ascii="仿宋_GB2312" w:hAnsi="仿宋_GB2312" w:eastAsia="仿宋_GB2312"/>
          <w:b w:val="0"/>
          <w:sz w:val="32"/>
        </w:rPr>
        <w:t>1.公共安全支出(类)2,265.74万元,占82.78%。</w:t>
      </w:r>
    </w:p>
    <w:p w14:paraId="4CF2CAC3">
      <w:pPr>
        <w:spacing w:line="580" w:lineRule="exact"/>
        <w:ind w:firstLine="640"/>
        <w:jc w:val="both"/>
      </w:pPr>
      <w:r>
        <w:rPr>
          <w:rFonts w:ascii="仿宋_GB2312" w:hAnsi="仿宋_GB2312" w:eastAsia="仿宋_GB2312"/>
          <w:b w:val="0"/>
          <w:sz w:val="32"/>
        </w:rPr>
        <w:t>2.社会保障和就业支出(类)267.47万元,占9.77%。</w:t>
      </w:r>
    </w:p>
    <w:p w14:paraId="42F55BF8">
      <w:pPr>
        <w:spacing w:line="580" w:lineRule="exact"/>
        <w:ind w:firstLine="640"/>
        <w:jc w:val="both"/>
      </w:pPr>
      <w:r>
        <w:rPr>
          <w:rFonts w:ascii="仿宋_GB2312" w:hAnsi="仿宋_GB2312" w:eastAsia="仿宋_GB2312"/>
          <w:b w:val="0"/>
          <w:sz w:val="32"/>
        </w:rPr>
        <w:t>3.卫生健康支出(类)81.45万元,占2.98%。</w:t>
      </w:r>
    </w:p>
    <w:p w14:paraId="7EAA4F06">
      <w:pPr>
        <w:spacing w:line="580" w:lineRule="exact"/>
        <w:ind w:firstLine="640"/>
        <w:jc w:val="both"/>
      </w:pPr>
      <w:r>
        <w:rPr>
          <w:rFonts w:ascii="仿宋_GB2312" w:hAnsi="仿宋_GB2312" w:eastAsia="仿宋_GB2312"/>
          <w:b w:val="0"/>
          <w:sz w:val="32"/>
        </w:rPr>
        <w:t>4.住房保障支出(类)122.25万元,占4.47%。</w:t>
      </w:r>
    </w:p>
    <w:p w14:paraId="1CE21248">
      <w:pPr>
        <w:spacing w:line="640" w:lineRule="exact"/>
        <w:ind w:firstLine="640"/>
        <w:jc w:val="both"/>
        <w:outlineLvl w:val="3"/>
      </w:pPr>
      <w:r>
        <w:rPr>
          <w:rFonts w:ascii="楷体_GB2312" w:hAnsi="楷体_GB2312" w:eastAsia="楷体_GB2312"/>
          <w:b/>
          <w:sz w:val="32"/>
        </w:rPr>
        <w:t>（三）一般公共预算财政拨款支出决算具体情况</w:t>
      </w:r>
    </w:p>
    <w:p w14:paraId="4B0D1F45">
      <w:pPr>
        <w:spacing w:line="580" w:lineRule="exact"/>
        <w:ind w:firstLine="640"/>
        <w:jc w:val="both"/>
      </w:pPr>
      <w:r>
        <w:rPr>
          <w:rFonts w:ascii="仿宋_GB2312" w:hAnsi="仿宋_GB2312" w:eastAsia="仿宋_GB2312"/>
          <w:b w:val="0"/>
          <w:sz w:val="32"/>
        </w:rPr>
        <w:t>1.公共安全支出(类)法院(款)行政运行(项):支出决算数为1,523.75万元，比上年决算增加54.19万元，增长3.69%,主要原因是：本年在职人员工资调薪，工资等相关人员经费增加，本年增加公用经费，导致经费较上年增加。</w:t>
      </w:r>
    </w:p>
    <w:p w14:paraId="1405B830">
      <w:pPr>
        <w:spacing w:line="580" w:lineRule="exact"/>
        <w:ind w:firstLine="640"/>
        <w:jc w:val="both"/>
      </w:pPr>
      <w:r>
        <w:rPr>
          <w:rFonts w:ascii="仿宋_GB2312" w:hAnsi="仿宋_GB2312" w:eastAsia="仿宋_GB2312"/>
          <w:b w:val="0"/>
          <w:sz w:val="32"/>
        </w:rPr>
        <w:t>2.公共安全支出(类)法院(款)一般行政管理事务(项):支出决算数为210.99万元，比上年决算增加12.65万元，增长6.38%,主要原因是：本年综合业务保障项目资金增加。</w:t>
      </w:r>
    </w:p>
    <w:p w14:paraId="65C0AA7C">
      <w:pPr>
        <w:spacing w:line="580" w:lineRule="exact"/>
        <w:ind w:firstLine="640"/>
        <w:jc w:val="both"/>
      </w:pPr>
      <w:r>
        <w:rPr>
          <w:rFonts w:ascii="仿宋_GB2312" w:hAnsi="仿宋_GB2312" w:eastAsia="仿宋_GB2312"/>
          <w:b w:val="0"/>
          <w:sz w:val="32"/>
        </w:rPr>
        <w:t>3.公共安全支出(类)法院(款)其他法院支出(项):支出决算数为531.00万元，比上年决算增加100.00万元，增长23.20%,主要原因是：本年法院专项业务经费增加。</w:t>
      </w:r>
    </w:p>
    <w:p w14:paraId="5C0D4919">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4.社会保障和就业支出(类)行政事业单位养老支出(款)行政单位离退休(项):支出决算数为45.90万元，比上年决算增加7.81万元，增长20.50%,主要原因是：本年增加退休人员基础绩效奖，退休费支出增加。</w:t>
      </w:r>
    </w:p>
    <w:p w14:paraId="106047B7">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148.83万元，比上年决算增加11.14万元，增长8.09%,主要原因是：本年在职人员工资基数调增，缴费基数上涨，机关事业养老保险缴费增加。</w:t>
      </w:r>
    </w:p>
    <w:p w14:paraId="1F8D41CF">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4.61万元，比上年决算增加3.09万元，增长203.29%,主要原因是：本年度记实职业年金人数和金额增加，导致职业年金缴费支出较上年增加。</w:t>
      </w:r>
    </w:p>
    <w:p w14:paraId="0A588F31">
      <w:pPr>
        <w:spacing w:line="580" w:lineRule="exact"/>
        <w:ind w:firstLine="640"/>
        <w:jc w:val="both"/>
      </w:pPr>
      <w:r>
        <w:rPr>
          <w:rFonts w:ascii="仿宋_GB2312" w:hAnsi="仿宋_GB2312" w:eastAsia="仿宋_GB2312"/>
          <w:b w:val="0"/>
          <w:sz w:val="32"/>
        </w:rPr>
        <w:t>7.社会保障和就业支出(类)抚恤(款)死亡抚恤(项):支出决算数为68.13万元，比上年决算增加68.13万元，增长100.00%,主要原因是：本年度退休人员去世，增加了死亡抚恤金。</w:t>
      </w:r>
    </w:p>
    <w:p w14:paraId="11258FF2">
      <w:pPr>
        <w:spacing w:line="580" w:lineRule="exact"/>
        <w:ind w:firstLine="640"/>
        <w:jc w:val="both"/>
      </w:pPr>
      <w:r>
        <w:rPr>
          <w:rFonts w:ascii="仿宋_GB2312" w:hAnsi="仿宋_GB2312" w:eastAsia="仿宋_GB2312"/>
          <w:b w:val="0"/>
          <w:sz w:val="32"/>
        </w:rPr>
        <w:t>8.卫生健康支出(类)行政事业单位医疗(款)行政单位医疗(项):支出决算数为63.25万元，比上年决算增加4.73万元，增长8.08%,主要原因是：本年在职人员工资基数调增，缴费基数上涨，行政单位医疗缴费增加。</w:t>
      </w:r>
    </w:p>
    <w:p w14:paraId="30BF06A6">
      <w:pPr>
        <w:spacing w:line="580" w:lineRule="exact"/>
        <w:ind w:firstLine="640"/>
        <w:jc w:val="both"/>
      </w:pPr>
      <w:r>
        <w:rPr>
          <w:rFonts w:ascii="仿宋_GB2312" w:hAnsi="仿宋_GB2312" w:eastAsia="仿宋_GB2312"/>
          <w:b w:val="0"/>
          <w:sz w:val="32"/>
        </w:rPr>
        <w:t>9.卫生健康支出(类)行政事业单位医疗(款)公务员医疗补助(项):支出决算数为18.20万元，比上年决算增加1.35万元，增长8.01%,主要原因是：本年在职人员工资基数调增，缴费基数上涨，公务员医疗补助缴费增加。</w:t>
      </w:r>
    </w:p>
    <w:p w14:paraId="47227251">
      <w:pPr>
        <w:spacing w:line="580" w:lineRule="exact"/>
        <w:ind w:firstLine="640"/>
        <w:jc w:val="both"/>
      </w:pPr>
      <w:r>
        <w:rPr>
          <w:rFonts w:ascii="仿宋_GB2312" w:hAnsi="仿宋_GB2312" w:eastAsia="仿宋_GB2312"/>
          <w:b w:val="0"/>
          <w:sz w:val="32"/>
        </w:rPr>
        <w:t>10.住房保障支出(类)住房改革支出(款)住房公积金(项):支出决算数为122.25万元，比上年决算增加8.67万元，增长7.63%,主要原因是：本年在职人员工资基数调增，公积金缴费基数上涨，相应支出增加。</w:t>
      </w:r>
    </w:p>
    <w:p w14:paraId="3A3CAAD1">
      <w:pPr>
        <w:spacing w:line="640" w:lineRule="exact"/>
        <w:ind w:firstLine="640"/>
        <w:jc w:val="both"/>
        <w:outlineLvl w:val="2"/>
      </w:pPr>
      <w:r>
        <w:rPr>
          <w:rFonts w:ascii="黑体" w:hAnsi="黑体" w:eastAsia="黑体"/>
          <w:sz w:val="32"/>
        </w:rPr>
        <w:t>六、一般公共预算财政拨款基本支出决算情况说明</w:t>
      </w:r>
    </w:p>
    <w:p w14:paraId="08EB34B3">
      <w:pPr>
        <w:spacing w:line="580" w:lineRule="exact"/>
        <w:ind w:firstLine="640"/>
        <w:jc w:val="both"/>
      </w:pPr>
      <w:r>
        <w:rPr>
          <w:rFonts w:ascii="仿宋_GB2312" w:hAnsi="仿宋_GB2312" w:eastAsia="仿宋_GB2312"/>
          <w:b w:val="0"/>
          <w:sz w:val="32"/>
        </w:rPr>
        <w:t>2024年度一般公共预算财政拨款基本支出1,994.92万元，其中：</w:t>
      </w:r>
      <w:r>
        <w:rPr>
          <w:rFonts w:ascii="仿宋_GB2312" w:hAnsi="仿宋_GB2312" w:eastAsia="仿宋_GB2312"/>
          <w:b/>
          <w:sz w:val="32"/>
        </w:rPr>
        <w:t>人员经费1,845.58万元，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14:paraId="3455A12F">
      <w:pPr>
        <w:spacing w:line="580" w:lineRule="exact"/>
        <w:ind w:firstLine="640"/>
        <w:jc w:val="both"/>
      </w:pPr>
      <w:r>
        <w:rPr>
          <w:rFonts w:ascii="仿宋_GB2312" w:hAnsi="仿宋_GB2312" w:eastAsia="仿宋_GB2312"/>
          <w:b/>
          <w:sz w:val="32"/>
        </w:rPr>
        <w:t>公用经费149.33万元，</w:t>
      </w:r>
      <w:r>
        <w:rPr>
          <w:rFonts w:ascii="仿宋_GB2312" w:hAnsi="仿宋_GB2312" w:eastAsia="仿宋_GB2312"/>
          <w:b w:val="0"/>
          <w:sz w:val="32"/>
        </w:rPr>
        <w:t>包括：水费、电费、邮电费、取暖费、专用材料费、工会经费、公务用车运行维护费、其他商品和服务支出。</w:t>
      </w:r>
    </w:p>
    <w:p w14:paraId="251D9A71">
      <w:pPr>
        <w:spacing w:line="640" w:lineRule="exact"/>
        <w:ind w:firstLine="640"/>
        <w:jc w:val="both"/>
        <w:outlineLvl w:val="2"/>
      </w:pPr>
      <w:r>
        <w:rPr>
          <w:rFonts w:ascii="黑体" w:hAnsi="黑体" w:eastAsia="黑体"/>
          <w:sz w:val="32"/>
        </w:rPr>
        <w:t>七、政府性基金预算财政拨款收入支出决算情况说明</w:t>
      </w:r>
    </w:p>
    <w:p w14:paraId="347DFDEF">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8E8F361">
      <w:pPr>
        <w:spacing w:line="640" w:lineRule="exact"/>
        <w:ind w:firstLine="640"/>
        <w:jc w:val="both"/>
        <w:outlineLvl w:val="2"/>
      </w:pPr>
      <w:r>
        <w:rPr>
          <w:rFonts w:ascii="黑体" w:hAnsi="黑体" w:eastAsia="黑体"/>
          <w:sz w:val="32"/>
        </w:rPr>
        <w:t>八、国有资本经营预算财政拨款收入支出决算情况说明</w:t>
      </w:r>
    </w:p>
    <w:p w14:paraId="74D2400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38FB44C">
      <w:pPr>
        <w:spacing w:line="640" w:lineRule="exact"/>
        <w:ind w:firstLine="640"/>
        <w:jc w:val="both"/>
        <w:outlineLvl w:val="2"/>
      </w:pPr>
      <w:r>
        <w:rPr>
          <w:rFonts w:ascii="黑体" w:hAnsi="黑体" w:eastAsia="黑体"/>
          <w:sz w:val="32"/>
        </w:rPr>
        <w:t>九、财政拨款“三公”经费支出决算情况说明</w:t>
      </w:r>
    </w:p>
    <w:p w14:paraId="107CA168">
      <w:pPr>
        <w:spacing w:line="580" w:lineRule="exact"/>
        <w:ind w:firstLine="640"/>
        <w:jc w:val="both"/>
      </w:pPr>
      <w:r>
        <w:rPr>
          <w:rFonts w:ascii="仿宋_GB2312" w:hAnsi="仿宋_GB2312" w:eastAsia="仿宋_GB2312"/>
          <w:b/>
          <w:sz w:val="32"/>
        </w:rPr>
        <w:t>2024年度财政拨款“三公”经费支出32.20万元，</w:t>
      </w:r>
      <w:r>
        <w:rPr>
          <w:rFonts w:ascii="仿宋_GB2312" w:hAnsi="仿宋_GB2312" w:eastAsia="仿宋_GB2312"/>
          <w:b w:val="0"/>
          <w:sz w:val="32"/>
        </w:rPr>
        <w:t>比上年减少11.50万元，下降26.32%，主要原因是：2023年5辆车报废，2024年实有车辆减少，“三公”经费支出减少。其中：因公出国（境）费支出0.00万元，占0.00%，比上年增加0.00万元，增长0.00%，主要原因是：2023年与2024年均未安排因公出国（境）费支出。公务用车购置及运行维护费支出32.20万元，占100.00%，比上年减少11.50万元，下降26.32%，主要原因是：2023年5辆车报废，2024年实有车辆减少，公务用车购置及运行维护费支出减少。公务接待费支出0.00万元，占0.00%，比上年增加0.00万元，增长0.00%，主要原因是：2023年与2024年均未安排公务接待费支出。</w:t>
      </w:r>
    </w:p>
    <w:p w14:paraId="6BAE150C">
      <w:pPr>
        <w:spacing w:line="580" w:lineRule="exact"/>
        <w:ind w:firstLine="640"/>
        <w:jc w:val="both"/>
      </w:pPr>
      <w:r>
        <w:rPr>
          <w:rFonts w:ascii="仿宋_GB2312" w:hAnsi="仿宋_GB2312" w:eastAsia="仿宋_GB2312"/>
          <w:b/>
          <w:sz w:val="32"/>
        </w:rPr>
        <w:t>具体情况如下：</w:t>
      </w:r>
    </w:p>
    <w:p w14:paraId="096339F9">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2FE18AA">
      <w:pPr>
        <w:spacing w:line="580" w:lineRule="exact"/>
        <w:ind w:firstLine="640"/>
        <w:jc w:val="both"/>
      </w:pPr>
      <w:r>
        <w:rPr>
          <w:rFonts w:ascii="仿宋_GB2312" w:hAnsi="仿宋_GB2312" w:eastAsia="仿宋_GB2312"/>
          <w:b w:val="0"/>
          <w:sz w:val="32"/>
        </w:rPr>
        <w:t>公务用车购置及运行维护费32.20万元，其中：公务用车购置费0.00万元，公务用车运行维护费32.20万元。公务用车运行维护费开支内容包括车辆加油费、维修费、保险费、审车费、过路费等。公务用车购置数0辆，公务用车保有量14辆。国有资产占用情况中固定资产车辆14辆，与公务用车保有量差异原因是：本部门固定资产车辆与公务用车保有量一致无差异。</w:t>
      </w:r>
    </w:p>
    <w:p w14:paraId="2EB0DCC6">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F7A6BB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32.20万元，决算数32.20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32.20万元，决算数32.20万元，预决算差异率0.00%，主要原因是：严格按照预算执行，预决算无差异。公务接待费全年预算数0.00万元，决算数0.00万元，预决算差异率0.00%，主要原因是：本部门无公务接待费。</w:t>
      </w:r>
    </w:p>
    <w:p w14:paraId="04632FCA">
      <w:pPr>
        <w:spacing w:line="640" w:lineRule="exact"/>
        <w:ind w:firstLine="640"/>
        <w:jc w:val="both"/>
        <w:outlineLvl w:val="2"/>
      </w:pPr>
      <w:r>
        <w:rPr>
          <w:rFonts w:ascii="黑体" w:hAnsi="黑体" w:eastAsia="黑体"/>
          <w:sz w:val="32"/>
        </w:rPr>
        <w:t>十、其他重要事项的情况说明</w:t>
      </w:r>
    </w:p>
    <w:p w14:paraId="6D169294">
      <w:pPr>
        <w:spacing w:line="640" w:lineRule="exact"/>
        <w:ind w:firstLine="640"/>
        <w:jc w:val="both"/>
        <w:outlineLvl w:val="3"/>
      </w:pPr>
      <w:r>
        <w:rPr>
          <w:rFonts w:ascii="楷体_GB2312" w:hAnsi="楷体_GB2312" w:eastAsia="楷体_GB2312"/>
          <w:b/>
          <w:sz w:val="32"/>
        </w:rPr>
        <w:t>（一）机关运行经费及公用经费支出情况</w:t>
      </w:r>
    </w:p>
    <w:p w14:paraId="25E95F23">
      <w:pPr>
        <w:spacing w:line="580" w:lineRule="exact"/>
        <w:ind w:firstLine="640"/>
        <w:jc w:val="both"/>
      </w:pPr>
      <w:r>
        <w:rPr>
          <w:rFonts w:ascii="仿宋_GB2312" w:hAnsi="仿宋_GB2312" w:eastAsia="仿宋_GB2312"/>
          <w:b w:val="0"/>
          <w:sz w:val="32"/>
        </w:rPr>
        <w:t>2024年度巴楚县人民法院（行政单位和参照公务员法管理事业单位）机关运行经费支出149.33万元，比上年增加24.40万元，增长19.53%，主要原因是：本年活动费、工会经费增加。</w:t>
      </w:r>
    </w:p>
    <w:p w14:paraId="393FA624">
      <w:pPr>
        <w:spacing w:line="640" w:lineRule="exact"/>
        <w:ind w:firstLine="640"/>
        <w:jc w:val="both"/>
        <w:outlineLvl w:val="3"/>
      </w:pPr>
      <w:r>
        <w:rPr>
          <w:rFonts w:ascii="楷体_GB2312" w:hAnsi="楷体_GB2312" w:eastAsia="楷体_GB2312"/>
          <w:b/>
          <w:sz w:val="32"/>
        </w:rPr>
        <w:t>（二）政府采购情况</w:t>
      </w:r>
    </w:p>
    <w:p w14:paraId="739653CF">
      <w:pPr>
        <w:spacing w:line="580" w:lineRule="exact"/>
        <w:ind w:firstLine="640"/>
        <w:jc w:val="both"/>
      </w:pPr>
      <w:r>
        <w:rPr>
          <w:rFonts w:ascii="仿宋_GB2312" w:hAnsi="仿宋_GB2312" w:eastAsia="仿宋_GB2312"/>
          <w:b w:val="0"/>
          <w:sz w:val="32"/>
        </w:rPr>
        <w:t>2024年度政府采购支出总额375.18万元，其中：政府采购货物支出126.46万元、政府采购工程支出0.00万元、政府采购服务支出248.73万元。</w:t>
      </w:r>
    </w:p>
    <w:p w14:paraId="52EE9F3E">
      <w:pPr>
        <w:spacing w:line="580" w:lineRule="exact"/>
        <w:ind w:firstLine="640"/>
        <w:jc w:val="both"/>
      </w:pPr>
      <w:r>
        <w:rPr>
          <w:rFonts w:ascii="仿宋_GB2312" w:hAnsi="仿宋_GB2312" w:eastAsia="仿宋_GB2312"/>
          <w:b w:val="0"/>
          <w:sz w:val="32"/>
        </w:rPr>
        <w:t>授予中小企业合同金额367.98万元，占政府采购支出总额的98.08%，其中：授予小微企业合同金额221.13万元，占政府采购支出总额的58.94%。</w:t>
      </w:r>
    </w:p>
    <w:p w14:paraId="516C5C91">
      <w:pPr>
        <w:spacing w:line="640" w:lineRule="exact"/>
        <w:ind w:firstLine="640"/>
        <w:jc w:val="both"/>
        <w:outlineLvl w:val="3"/>
      </w:pPr>
      <w:r>
        <w:rPr>
          <w:rFonts w:ascii="楷体_GB2312" w:hAnsi="楷体_GB2312" w:eastAsia="楷体_GB2312"/>
          <w:b/>
          <w:sz w:val="32"/>
        </w:rPr>
        <w:t>（三）国有资产占用情况说明</w:t>
      </w:r>
    </w:p>
    <w:p w14:paraId="1361A9C5">
      <w:pPr>
        <w:spacing w:line="580" w:lineRule="exact"/>
        <w:ind w:firstLine="640"/>
        <w:jc w:val="both"/>
      </w:pPr>
      <w:r>
        <w:rPr>
          <w:rFonts w:ascii="仿宋_GB2312" w:hAnsi="仿宋_GB2312" w:eastAsia="仿宋_GB2312"/>
          <w:b w:val="0"/>
          <w:sz w:val="32"/>
        </w:rPr>
        <w:t>截至2024年12月31日，房屋13,632.01平方米，价值2,440.14万元。车辆14辆，价值204.52万元，其中：副部（省）级及以上领导用车0辆、主要负责人用车0辆、机要通信用车0辆、应急保障用车0辆、执法执勤用车12辆、特种专业技术用车1辆、离退休干部服务用车0辆、其他用车1辆，其他用车主要是：一般公务用车。单价100万元（含）以上设备（不含车辆）3台（套）。</w:t>
      </w:r>
    </w:p>
    <w:p w14:paraId="347E781A">
      <w:pPr>
        <w:spacing w:line="640" w:lineRule="exact"/>
        <w:ind w:firstLine="640"/>
        <w:jc w:val="both"/>
        <w:outlineLvl w:val="2"/>
      </w:pPr>
      <w:r>
        <w:rPr>
          <w:rFonts w:ascii="黑体" w:hAnsi="黑体" w:eastAsia="黑体"/>
          <w:sz w:val="32"/>
        </w:rPr>
        <w:t>十一、预算绩效的情况说明</w:t>
      </w:r>
    </w:p>
    <w:p w14:paraId="76B9684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根据预算绩效管理要求，本部门2024年度预算绩效管理形成整体支出绩效自评表1个，全年预算总额2,736.90万元，实际执行总额2,736.90万元；预算绩效评价项目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741.99</w:t>
      </w:r>
      <w:r>
        <w:rPr>
          <w:rFonts w:ascii="仿宋_GB2312" w:hAnsi="仿宋_GB2312" w:eastAsia="仿宋_GB2312"/>
          <w:b w:val="0"/>
          <w:sz w:val="32"/>
        </w:rPr>
        <w:t>万元，全年执行数</w:t>
      </w:r>
      <w:r>
        <w:rPr>
          <w:rFonts w:hint="eastAsia" w:ascii="仿宋_GB2312" w:hAnsi="仿宋_GB2312" w:eastAsia="仿宋_GB2312"/>
          <w:b w:val="0"/>
          <w:sz w:val="32"/>
        </w:rPr>
        <w:t>741.99</w:t>
      </w:r>
      <w:r>
        <w:rPr>
          <w:rFonts w:ascii="仿宋_GB2312" w:hAnsi="仿宋_GB2312" w:eastAsia="仿宋_GB2312"/>
          <w:b w:val="0"/>
          <w:sz w:val="32"/>
        </w:rPr>
        <w:t>万元。预算绩效管理取得的成效：一是提高了财政资金配置效率和使用效益，通过绩效评价能够更早地发现资金使用中的问题，避免财政资金的浪费；二是提升了政府治理效能和公共服务质量，绩效评价结果为政府决策提供了更加客观、量化的依据，有助于提高项目规划的科学性、精准性。发现的问题及原因：一是项目各项指标和指标值设置不够优化、完善，主要是在结合我院审判业务方面没有细化、量化精准，使指标设置存在差异；二是单位对全面实施绩效管理认识不够，绩效水平不高，绩效监督管理不完善。下一步改进措施：一是进一步加强预算资金项目目标设置的科学化、合理化，绩效管理能力和工作水平，为预算绩效管理相关工作的顺利开展提供保障；二是加强业务人员绩效管理相关业务知识的学习，加强单位绩效监督管理体质，促进预算资金分配更加合理化，发挥资金最大效益。具体附部门整体支出绩效自评表，项目支出绩效自评表。</w:t>
      </w:r>
    </w:p>
    <w:p w14:paraId="422CFF4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EC0D4A7">
        <w:tblPrEx>
          <w:tblCellMar>
            <w:top w:w="0" w:type="dxa"/>
            <w:left w:w="108" w:type="dxa"/>
            <w:bottom w:w="0" w:type="dxa"/>
            <w:right w:w="108" w:type="dxa"/>
          </w:tblCellMar>
        </w:tblPrEx>
        <w:tc>
          <w:tcPr>
            <w:tcW w:w="8847" w:type="dxa"/>
            <w:gridSpan w:val="9"/>
            <w:vAlign w:val="center"/>
          </w:tcPr>
          <w:p w14:paraId="271CDB81">
            <w:pPr>
              <w:jc w:val="center"/>
            </w:pPr>
            <w:r>
              <w:rPr>
                <w:rFonts w:ascii="宋体" w:hAnsi="宋体" w:eastAsia="宋体"/>
                <w:sz w:val="24"/>
              </w:rPr>
              <w:t>部门整体支出绩效自评表</w:t>
            </w:r>
          </w:p>
        </w:tc>
      </w:tr>
      <w:tr w14:paraId="3B9155D9">
        <w:tblPrEx>
          <w:tblCellMar>
            <w:top w:w="0" w:type="dxa"/>
            <w:left w:w="108" w:type="dxa"/>
            <w:bottom w:w="0" w:type="dxa"/>
            <w:right w:w="108" w:type="dxa"/>
          </w:tblCellMar>
        </w:tblPrEx>
        <w:tc>
          <w:tcPr>
            <w:tcW w:w="8847" w:type="dxa"/>
            <w:gridSpan w:val="9"/>
            <w:vAlign w:val="center"/>
          </w:tcPr>
          <w:p w14:paraId="14C398D2">
            <w:pPr>
              <w:jc w:val="center"/>
            </w:pPr>
            <w:r>
              <w:rPr>
                <w:rFonts w:ascii="宋体" w:hAnsi="宋体" w:eastAsia="宋体"/>
                <w:sz w:val="24"/>
              </w:rPr>
              <w:t>（2024年度）</w:t>
            </w:r>
          </w:p>
        </w:tc>
      </w:tr>
      <w:tr w14:paraId="3F39EEF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2DDA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B836D2">
            <w:pPr>
              <w:jc w:val="center"/>
            </w:pPr>
            <w:r>
              <w:rPr>
                <w:rFonts w:ascii="宋体" w:hAnsi="宋体" w:eastAsia="宋体"/>
                <w:sz w:val="16"/>
              </w:rPr>
              <w:t>巴楚县人民法院</w:t>
            </w:r>
          </w:p>
        </w:tc>
      </w:tr>
      <w:tr w14:paraId="7CFE1AD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8955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26BE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4FE6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227F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1CA8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B170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65F8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28658">
            <w:pPr>
              <w:jc w:val="center"/>
            </w:pPr>
            <w:r>
              <w:rPr>
                <w:rFonts w:ascii="宋体" w:hAnsi="宋体" w:eastAsia="宋体"/>
                <w:sz w:val="16"/>
              </w:rPr>
              <w:t>得分</w:t>
            </w:r>
          </w:p>
        </w:tc>
      </w:tr>
      <w:tr w14:paraId="16621E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2C98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EB24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ED645">
            <w:pPr>
              <w:jc w:val="center"/>
            </w:pPr>
            <w:r>
              <w:rPr>
                <w:rFonts w:ascii="宋体" w:hAnsi="宋体" w:eastAsia="宋体"/>
                <w:sz w:val="16"/>
              </w:rPr>
              <w:t>2,573.67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2251D">
            <w:pPr>
              <w:jc w:val="center"/>
            </w:pPr>
            <w:r>
              <w:rPr>
                <w:rFonts w:ascii="宋体" w:hAnsi="宋体" w:eastAsia="宋体"/>
                <w:sz w:val="16"/>
              </w:rPr>
              <w:t>2,736.90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8B4C5">
            <w:pPr>
              <w:jc w:val="center"/>
            </w:pPr>
            <w:r>
              <w:rPr>
                <w:rFonts w:ascii="宋体" w:hAnsi="宋体" w:eastAsia="宋体"/>
                <w:sz w:val="16"/>
              </w:rPr>
              <w:t>2,736.90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A19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237A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FC1E1">
            <w:pPr>
              <w:jc w:val="center"/>
            </w:pPr>
            <w:r>
              <w:rPr>
                <w:rFonts w:ascii="宋体" w:hAnsi="宋体" w:eastAsia="宋体"/>
                <w:sz w:val="16"/>
              </w:rPr>
              <w:t>10</w:t>
            </w:r>
          </w:p>
        </w:tc>
      </w:tr>
      <w:tr w14:paraId="327457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D2F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4B76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F2749">
            <w:pPr>
              <w:jc w:val="center"/>
            </w:pPr>
            <w:r>
              <w:rPr>
                <w:rFonts w:ascii="宋体" w:hAnsi="宋体" w:eastAsia="宋体"/>
                <w:sz w:val="16"/>
              </w:rPr>
              <w:t>591.11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F187D">
            <w:pPr>
              <w:jc w:val="center"/>
            </w:pPr>
            <w:r>
              <w:rPr>
                <w:rFonts w:ascii="宋体" w:hAnsi="宋体" w:eastAsia="宋体"/>
                <w:sz w:val="16"/>
              </w:rPr>
              <w:t>695.47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369A4">
            <w:pPr>
              <w:jc w:val="center"/>
            </w:pPr>
            <w:r>
              <w:rPr>
                <w:rFonts w:ascii="宋体" w:hAnsi="宋体" w:eastAsia="宋体"/>
                <w:sz w:val="16"/>
              </w:rPr>
              <w:t>695.47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6BD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48A6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147FA">
            <w:pPr>
              <w:jc w:val="center"/>
            </w:pPr>
            <w:r>
              <w:rPr>
                <w:rFonts w:ascii="宋体" w:hAnsi="宋体" w:eastAsia="宋体"/>
                <w:sz w:val="16"/>
              </w:rPr>
              <w:t>—</w:t>
            </w:r>
          </w:p>
        </w:tc>
      </w:tr>
      <w:tr w14:paraId="1AF325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1F6E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5278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363A7">
            <w:pPr>
              <w:jc w:val="center"/>
            </w:pPr>
            <w:r>
              <w:rPr>
                <w:rFonts w:ascii="宋体" w:hAnsi="宋体" w:eastAsia="宋体"/>
                <w:sz w:val="16"/>
              </w:rPr>
              <w:t>1,982.56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CBE38">
            <w:pPr>
              <w:jc w:val="center"/>
            </w:pPr>
            <w:r>
              <w:rPr>
                <w:rFonts w:ascii="宋体" w:hAnsi="宋体" w:eastAsia="宋体"/>
                <w:sz w:val="16"/>
              </w:rPr>
              <w:t>2,041.43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BD3DA">
            <w:pPr>
              <w:jc w:val="center"/>
            </w:pPr>
            <w:r>
              <w:rPr>
                <w:rFonts w:ascii="宋体" w:hAnsi="宋体" w:eastAsia="宋体"/>
                <w:sz w:val="16"/>
              </w:rPr>
              <w:t>2,041.43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767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2A62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10EEB">
            <w:pPr>
              <w:jc w:val="center"/>
            </w:pPr>
            <w:r>
              <w:rPr>
                <w:rFonts w:ascii="宋体" w:hAnsi="宋体" w:eastAsia="宋体"/>
                <w:sz w:val="16"/>
              </w:rPr>
              <w:t>—</w:t>
            </w:r>
          </w:p>
        </w:tc>
      </w:tr>
      <w:tr w14:paraId="318A0F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45AE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CF68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286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44D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A8E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8D2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A79A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71CD2">
            <w:pPr>
              <w:jc w:val="center"/>
            </w:pPr>
            <w:r>
              <w:rPr>
                <w:rFonts w:ascii="宋体" w:hAnsi="宋体" w:eastAsia="宋体"/>
                <w:sz w:val="16"/>
              </w:rPr>
              <w:t>—</w:t>
            </w:r>
          </w:p>
        </w:tc>
      </w:tr>
      <w:tr w14:paraId="1B3425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997C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D4FA2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4EB485">
            <w:pPr>
              <w:jc w:val="center"/>
            </w:pPr>
            <w:r>
              <w:rPr>
                <w:rFonts w:ascii="宋体" w:hAnsi="宋体" w:eastAsia="宋体"/>
                <w:sz w:val="16"/>
              </w:rPr>
              <w:t>实际完成情况</w:t>
            </w:r>
          </w:p>
        </w:tc>
      </w:tr>
      <w:tr w14:paraId="3FC85D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2018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B12067">
            <w:pPr>
              <w:jc w:val="both"/>
            </w:pPr>
            <w:r>
              <w:rPr>
                <w:rFonts w:ascii="宋体" w:hAnsi="宋体" w:eastAsia="宋体"/>
                <w:sz w:val="16"/>
              </w:rPr>
              <w:t>深入贯彻习近平法治思想，坚持全面从严管党治院，不断提高干警履职能力，做实为大局服务、为人民司法，做实从政治上看、从法治上办，紧扣推进审判质效履职尽责，努力践行人民至上、为人民司法服务，坚持司法为民、公正司法，能动履职完成2024年审判质效指标目标，依法受理案件9400件，审结案件9300件，执行案件1800件，努力完成案件执行执结率达95%，案件受理结案率达96%，案件审限内结案率完成100%。坚持稳中求进、守正创新，深入开展主题教育，聚焦“公正与效率”工作主题，贯彻执行“讲政治、顾大局、促公正、提效率、重自律、强队伍”总体要求，以理念上的“能动司法”和工作上的“提质增效”双管齐下促进审判工作，提高司法服务水平，努力让人民群众在每一件司法案件中感受到公平正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3F3EB0">
            <w:pPr>
              <w:jc w:val="both"/>
            </w:pPr>
            <w:r>
              <w:rPr>
                <w:rFonts w:ascii="宋体" w:hAnsi="宋体" w:eastAsia="宋体"/>
                <w:sz w:val="16"/>
              </w:rPr>
              <w:t>紧紧围绕促进新疆社会长治久安的总目标，充分发挥法院的审判执行工作职能，坚持以党的政治建设为统领，深入学习宣传贯彻党的二十大精神，完整、准确、全面贯彻新发展理念，优化法治化营商环境，为经济社会高质量发展提供有力司法服务。坚持全面从严管党治院，不断提高干警履职能力，强化</w:t>
            </w:r>
            <w:r>
              <w:rPr>
                <w:rFonts w:hint="eastAsia" w:ascii="宋体" w:hAnsi="宋体"/>
                <w:sz w:val="16"/>
                <w:lang w:eastAsia="zh-CN"/>
              </w:rPr>
              <w:t>思想淬炼、政治历练、实践锻炼、专业训练</w:t>
            </w:r>
            <w:r>
              <w:rPr>
                <w:rFonts w:ascii="宋体" w:hAnsi="宋体" w:eastAsia="宋体"/>
                <w:sz w:val="16"/>
              </w:rPr>
              <w:t>，培养一支堪当时代重任的过硬队伍，保</w:t>
            </w:r>
            <w:r>
              <w:rPr>
                <w:rFonts w:hint="eastAsia" w:ascii="宋体" w:hAnsi="宋体"/>
                <w:sz w:val="16"/>
                <w:lang w:eastAsia="zh-CN"/>
              </w:rPr>
              <w:t>障和</w:t>
            </w:r>
            <w:r>
              <w:rPr>
                <w:rFonts w:ascii="宋体" w:hAnsi="宋体" w:eastAsia="宋体"/>
                <w:sz w:val="16"/>
              </w:rPr>
              <w:t>维护案件审判执行的公平正义，提升法官队伍职业素养，提高司法服务水平，努力让人民群众在每一件司法案件中感受到公平正义。                      2024年全年完成依法审理案件数9513件，审结案件9007件，结案率达94.68%，受理执行案件数2834件，执结2594件，案件执行执结率达91.53%，案件审理结案率94.68%，案件审限内结案率99.98%。</w:t>
            </w:r>
          </w:p>
        </w:tc>
      </w:tr>
      <w:tr w14:paraId="51F3F54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AF55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F7C9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C2BF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88F9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F9C9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EDB3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5722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6CB2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13DA5">
            <w:pPr>
              <w:jc w:val="center"/>
            </w:pPr>
            <w:r>
              <w:rPr>
                <w:rFonts w:ascii="宋体" w:hAnsi="宋体" w:eastAsia="宋体"/>
                <w:sz w:val="16"/>
              </w:rPr>
              <w:t>得分</w:t>
            </w:r>
          </w:p>
        </w:tc>
      </w:tr>
      <w:tr w14:paraId="39CBB0C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7186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AD3A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14B0D">
            <w:pPr>
              <w:jc w:val="center"/>
            </w:pPr>
            <w:r>
              <w:rPr>
                <w:rFonts w:ascii="宋体" w:hAnsi="宋体" w:eastAsia="宋体"/>
                <w:sz w:val="16"/>
              </w:rPr>
              <w:t>依法审理案件数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BAC1C">
            <w:pPr>
              <w:jc w:val="center"/>
            </w:pPr>
            <w:r>
              <w:rPr>
                <w:rFonts w:ascii="宋体" w:hAnsi="宋体" w:eastAsia="宋体"/>
                <w:sz w:val="16"/>
              </w:rPr>
              <w:t>&gt;=9400件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0AA6F">
            <w:pPr>
              <w:jc w:val="center"/>
            </w:pPr>
            <w:r>
              <w:rPr>
                <w:rFonts w:ascii="宋体" w:hAnsi="宋体" w:eastAsia="宋体"/>
                <w:sz w:val="16"/>
              </w:rPr>
              <w:t>巴楚县人民法院工作报告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DBB3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B3BF3">
            <w:pPr>
              <w:jc w:val="center"/>
            </w:pPr>
            <w:r>
              <w:rPr>
                <w:rFonts w:ascii="宋体" w:hAnsi="宋体" w:eastAsia="宋体"/>
                <w:sz w:val="16"/>
              </w:rPr>
              <w:t>9513件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18D12">
            <w:pPr>
              <w:jc w:val="center"/>
            </w:pPr>
            <w:r>
              <w:rPr>
                <w:rFonts w:ascii="宋体" w:hAnsi="宋体" w:eastAsia="宋体"/>
                <w:sz w:val="16"/>
              </w:rPr>
              <w:t>101.2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C70CC">
            <w:pPr>
              <w:jc w:val="center"/>
            </w:pPr>
            <w:r>
              <w:rPr>
                <w:rFonts w:ascii="宋体" w:hAnsi="宋体" w:eastAsia="宋体"/>
                <w:sz w:val="16"/>
              </w:rPr>
              <w:t>20</w:t>
            </w:r>
          </w:p>
        </w:tc>
      </w:tr>
      <w:tr w14:paraId="6DE4BD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D4C4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D96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197F5">
            <w:pPr>
              <w:jc w:val="center"/>
            </w:pPr>
            <w:r>
              <w:rPr>
                <w:rFonts w:ascii="宋体" w:hAnsi="宋体" w:eastAsia="宋体"/>
                <w:sz w:val="16"/>
              </w:rPr>
              <w:t>审结案件数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0F6A4">
            <w:pPr>
              <w:jc w:val="center"/>
            </w:pPr>
            <w:r>
              <w:rPr>
                <w:rFonts w:ascii="宋体" w:hAnsi="宋体" w:eastAsia="宋体"/>
                <w:sz w:val="16"/>
              </w:rPr>
              <w:t>&gt;=9300件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FFF7F">
            <w:pPr>
              <w:jc w:val="center"/>
            </w:pPr>
            <w:r>
              <w:rPr>
                <w:rFonts w:ascii="宋体" w:hAnsi="宋体" w:eastAsia="宋体"/>
                <w:sz w:val="16"/>
              </w:rPr>
              <w:t>巴楚县人民法院工作报告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EFC5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5A77A">
            <w:pPr>
              <w:jc w:val="center"/>
            </w:pPr>
            <w:r>
              <w:rPr>
                <w:rFonts w:ascii="宋体" w:hAnsi="宋体" w:eastAsia="宋体"/>
                <w:sz w:val="16"/>
              </w:rPr>
              <w:t>9007件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B8E89">
            <w:pPr>
              <w:jc w:val="center"/>
            </w:pPr>
            <w:r>
              <w:rPr>
                <w:rFonts w:ascii="宋体" w:hAnsi="宋体" w:eastAsia="宋体"/>
                <w:sz w:val="16"/>
              </w:rPr>
              <w:t>96.85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E2A2A">
            <w:pPr>
              <w:jc w:val="center"/>
            </w:pPr>
            <w:r>
              <w:rPr>
                <w:rFonts w:ascii="宋体" w:hAnsi="宋体" w:eastAsia="宋体"/>
                <w:sz w:val="16"/>
              </w:rPr>
              <w:t>19.37</w:t>
            </w:r>
          </w:p>
        </w:tc>
      </w:tr>
      <w:tr w14:paraId="7ECC2E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0AB6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60A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F742E">
            <w:pPr>
              <w:jc w:val="center"/>
            </w:pPr>
            <w:r>
              <w:rPr>
                <w:rFonts w:ascii="宋体" w:hAnsi="宋体" w:eastAsia="宋体"/>
                <w:sz w:val="16"/>
              </w:rPr>
              <w:t>受理执行案件数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AB1A9">
            <w:pPr>
              <w:jc w:val="center"/>
            </w:pPr>
            <w:r>
              <w:rPr>
                <w:rFonts w:ascii="宋体" w:hAnsi="宋体" w:eastAsia="宋体"/>
                <w:sz w:val="16"/>
              </w:rPr>
              <w:t>&gt;=1800件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714D3">
            <w:pPr>
              <w:jc w:val="center"/>
            </w:pPr>
            <w:r>
              <w:rPr>
                <w:rFonts w:ascii="宋体" w:hAnsi="宋体" w:eastAsia="宋体"/>
                <w:sz w:val="16"/>
              </w:rPr>
              <w:t>巴楚县人民法院工作报告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896B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E4BBB">
            <w:pPr>
              <w:jc w:val="center"/>
            </w:pPr>
            <w:r>
              <w:rPr>
                <w:rFonts w:ascii="宋体" w:hAnsi="宋体" w:eastAsia="宋体"/>
                <w:sz w:val="16"/>
              </w:rPr>
              <w:t>2834件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9569D">
            <w:pPr>
              <w:jc w:val="center"/>
            </w:pPr>
            <w:r>
              <w:rPr>
                <w:rFonts w:ascii="宋体" w:hAnsi="宋体" w:eastAsia="宋体"/>
                <w:sz w:val="16"/>
              </w:rPr>
              <w:t>157.44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DB1CC">
            <w:pPr>
              <w:jc w:val="center"/>
            </w:pPr>
            <w:r>
              <w:rPr>
                <w:rFonts w:ascii="宋体" w:hAnsi="宋体" w:eastAsia="宋体"/>
                <w:sz w:val="16"/>
              </w:rPr>
              <w:t>20</w:t>
            </w:r>
          </w:p>
        </w:tc>
      </w:tr>
      <w:tr w14:paraId="0E5A98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D40A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C971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C377B">
            <w:pPr>
              <w:jc w:val="center"/>
            </w:pPr>
            <w:r>
              <w:rPr>
                <w:rFonts w:ascii="宋体" w:hAnsi="宋体" w:eastAsia="宋体"/>
                <w:sz w:val="16"/>
              </w:rPr>
              <w:t>案件执行执结率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C3C5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432BD">
            <w:pPr>
              <w:jc w:val="center"/>
            </w:pPr>
            <w:r>
              <w:rPr>
                <w:rFonts w:ascii="宋体" w:hAnsi="宋体" w:eastAsia="宋体"/>
                <w:sz w:val="16"/>
              </w:rPr>
              <w:t>巴楚县人民法院工作报告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6D6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DF4B7">
            <w:pPr>
              <w:jc w:val="center"/>
            </w:pPr>
            <w:r>
              <w:rPr>
                <w:rFonts w:ascii="宋体" w:hAnsi="宋体" w:eastAsia="宋体"/>
                <w:sz w:val="16"/>
              </w:rPr>
              <w:t>91.53%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6CF0C">
            <w:pPr>
              <w:jc w:val="center"/>
            </w:pPr>
            <w:r>
              <w:rPr>
                <w:rFonts w:ascii="宋体" w:hAnsi="宋体" w:eastAsia="宋体"/>
                <w:sz w:val="16"/>
              </w:rPr>
              <w:t>96.35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2AEAB">
            <w:pPr>
              <w:jc w:val="center"/>
            </w:pPr>
            <w:r>
              <w:rPr>
                <w:rFonts w:ascii="宋体" w:hAnsi="宋体" w:eastAsia="宋体"/>
                <w:sz w:val="16"/>
              </w:rPr>
              <w:t>9.63</w:t>
            </w:r>
          </w:p>
        </w:tc>
      </w:tr>
      <w:tr w14:paraId="6FE9BF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160B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42D1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1BFD3">
            <w:pPr>
              <w:jc w:val="center"/>
            </w:pPr>
            <w:r>
              <w:rPr>
                <w:rFonts w:ascii="宋体" w:hAnsi="宋体" w:eastAsia="宋体"/>
                <w:sz w:val="16"/>
              </w:rPr>
              <w:t>案件审理结案率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74994">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B1D51">
            <w:pPr>
              <w:jc w:val="center"/>
            </w:pPr>
            <w:r>
              <w:rPr>
                <w:rFonts w:ascii="宋体" w:hAnsi="宋体" w:eastAsia="宋体"/>
                <w:sz w:val="16"/>
              </w:rPr>
              <w:t>巴楚县人民法院工作报告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D26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A8A0A">
            <w:pPr>
              <w:jc w:val="center"/>
            </w:pPr>
            <w:r>
              <w:rPr>
                <w:rFonts w:ascii="宋体" w:hAnsi="宋体" w:eastAsia="宋体"/>
                <w:sz w:val="16"/>
              </w:rPr>
              <w:t>94.68%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4A77A">
            <w:pPr>
              <w:jc w:val="center"/>
            </w:pPr>
            <w:r>
              <w:rPr>
                <w:rFonts w:ascii="宋体" w:hAnsi="宋体" w:eastAsia="宋体"/>
                <w:sz w:val="16"/>
              </w:rPr>
              <w:t>98.63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AD52F">
            <w:pPr>
              <w:jc w:val="center"/>
            </w:pPr>
            <w:r>
              <w:rPr>
                <w:rFonts w:ascii="宋体" w:hAnsi="宋体" w:eastAsia="宋体"/>
                <w:sz w:val="16"/>
              </w:rPr>
              <w:t>9.86</w:t>
            </w:r>
          </w:p>
        </w:tc>
      </w:tr>
      <w:tr w14:paraId="3458E4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76E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E529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4309B">
            <w:pPr>
              <w:jc w:val="center"/>
            </w:pPr>
            <w:r>
              <w:rPr>
                <w:rFonts w:ascii="宋体" w:hAnsi="宋体" w:eastAsia="宋体"/>
                <w:sz w:val="16"/>
              </w:rPr>
              <w:t>案件审限内结案率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44AFC">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22CDE">
            <w:pPr>
              <w:jc w:val="center"/>
            </w:pPr>
            <w:r>
              <w:rPr>
                <w:rFonts w:ascii="宋体" w:hAnsi="宋体" w:eastAsia="宋体"/>
                <w:sz w:val="16"/>
              </w:rPr>
              <w:t>巴楚县人民法院工作报告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9F7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98FD0">
            <w:pPr>
              <w:jc w:val="center"/>
            </w:pPr>
            <w:r>
              <w:rPr>
                <w:rFonts w:ascii="宋体" w:hAnsi="宋体" w:eastAsia="宋体"/>
                <w:sz w:val="16"/>
              </w:rPr>
              <w:t>99.98%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81D3A">
            <w:pPr>
              <w:jc w:val="center"/>
            </w:pPr>
            <w:r>
              <w:rPr>
                <w:rFonts w:ascii="宋体" w:hAnsi="宋体" w:eastAsia="宋体"/>
                <w:sz w:val="16"/>
              </w:rPr>
              <w:t>99.98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3BFC7">
            <w:pPr>
              <w:jc w:val="center"/>
            </w:pPr>
            <w:r>
              <w:rPr>
                <w:rFonts w:ascii="宋体" w:hAnsi="宋体" w:eastAsia="宋体"/>
                <w:sz w:val="16"/>
              </w:rPr>
              <w:t>10</w:t>
            </w:r>
          </w:p>
        </w:tc>
      </w:tr>
    </w:tbl>
    <w:p w14:paraId="50601E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346628A">
        <w:tblPrEx>
          <w:tblCellMar>
            <w:top w:w="0" w:type="dxa"/>
            <w:left w:w="108" w:type="dxa"/>
            <w:bottom w:w="0" w:type="dxa"/>
            <w:right w:w="108" w:type="dxa"/>
          </w:tblCellMar>
        </w:tblPrEx>
        <w:tc>
          <w:tcPr>
            <w:tcW w:w="8848" w:type="dxa"/>
            <w:gridSpan w:val="14"/>
            <w:vAlign w:val="center"/>
          </w:tcPr>
          <w:p w14:paraId="34D73272">
            <w:pPr>
              <w:jc w:val="center"/>
            </w:pPr>
            <w:r>
              <w:rPr>
                <w:rFonts w:ascii="宋体" w:hAnsi="宋体" w:eastAsia="宋体"/>
                <w:sz w:val="24"/>
              </w:rPr>
              <w:t>项目支出绩效自评表</w:t>
            </w:r>
          </w:p>
        </w:tc>
      </w:tr>
      <w:tr w14:paraId="6BFF9C7D">
        <w:tblPrEx>
          <w:tblCellMar>
            <w:top w:w="0" w:type="dxa"/>
            <w:left w:w="108" w:type="dxa"/>
            <w:bottom w:w="0" w:type="dxa"/>
            <w:right w:w="108" w:type="dxa"/>
          </w:tblCellMar>
        </w:tblPrEx>
        <w:tc>
          <w:tcPr>
            <w:tcW w:w="8848" w:type="dxa"/>
            <w:gridSpan w:val="14"/>
            <w:vAlign w:val="center"/>
          </w:tcPr>
          <w:p w14:paraId="1C2C0B46">
            <w:pPr>
              <w:jc w:val="center"/>
            </w:pPr>
            <w:r>
              <w:rPr>
                <w:rFonts w:ascii="宋体" w:hAnsi="宋体" w:eastAsia="宋体"/>
                <w:sz w:val="24"/>
              </w:rPr>
              <w:t>(2024年度)</w:t>
            </w:r>
          </w:p>
        </w:tc>
      </w:tr>
      <w:tr w14:paraId="7FCD08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AA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0DB22E">
            <w:pPr>
              <w:jc w:val="center"/>
            </w:pPr>
            <w:r>
              <w:rPr>
                <w:rFonts w:ascii="宋体" w:hAnsi="宋体" w:eastAsia="宋体"/>
                <w:sz w:val="16"/>
              </w:rPr>
              <w:t>综合业务保障项目</w:t>
            </w:r>
          </w:p>
        </w:tc>
      </w:tr>
      <w:tr w14:paraId="42C052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39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3C784F">
            <w:pPr>
              <w:jc w:val="center"/>
            </w:pPr>
            <w:r>
              <w:rPr>
                <w:rFonts w:ascii="宋体" w:hAnsi="宋体" w:eastAsia="宋体"/>
                <w:sz w:val="16"/>
              </w:rPr>
              <w:t>喀什地区中级人民法院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06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D672F2">
            <w:pPr>
              <w:jc w:val="center"/>
            </w:pPr>
            <w:r>
              <w:rPr>
                <w:rFonts w:ascii="宋体" w:hAnsi="宋体" w:eastAsia="宋体"/>
                <w:sz w:val="16"/>
              </w:rPr>
              <w:t>巴楚县人民法院</w:t>
            </w:r>
          </w:p>
        </w:tc>
      </w:tr>
      <w:tr w14:paraId="419A08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9C5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EF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A43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9D1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AA5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F55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53D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66B4">
            <w:pPr>
              <w:jc w:val="center"/>
            </w:pPr>
            <w:r>
              <w:rPr>
                <w:rFonts w:ascii="宋体" w:hAnsi="宋体" w:eastAsia="宋体"/>
                <w:sz w:val="16"/>
              </w:rPr>
              <w:t>得分</w:t>
            </w:r>
          </w:p>
        </w:tc>
      </w:tr>
      <w:tr w14:paraId="01A82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A6E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F94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A1A48">
            <w:pPr>
              <w:jc w:val="center"/>
            </w:pPr>
            <w:r>
              <w:rPr>
                <w:rFonts w:ascii="宋体" w:hAnsi="宋体" w:eastAsia="宋体"/>
                <w:sz w:val="16"/>
              </w:rPr>
              <w:t>59.85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425E4">
            <w:pPr>
              <w:jc w:val="center"/>
            </w:pPr>
            <w:r>
              <w:rPr>
                <w:rFonts w:ascii="宋体" w:hAnsi="宋体" w:eastAsia="宋体"/>
                <w:sz w:val="16"/>
              </w:rPr>
              <w:t>59.85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CE1EA">
            <w:pPr>
              <w:jc w:val="center"/>
            </w:pPr>
            <w:r>
              <w:rPr>
                <w:rFonts w:ascii="宋体" w:hAnsi="宋体" w:eastAsia="宋体"/>
                <w:sz w:val="16"/>
              </w:rPr>
              <w:t>59.85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5EF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4B82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C7BA">
            <w:pPr>
              <w:jc w:val="center"/>
            </w:pPr>
            <w:r>
              <w:rPr>
                <w:rFonts w:ascii="宋体" w:hAnsi="宋体" w:eastAsia="宋体"/>
                <w:sz w:val="16"/>
              </w:rPr>
              <w:t>10.00分</w:t>
            </w:r>
          </w:p>
        </w:tc>
      </w:tr>
      <w:tr w14:paraId="09B4A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9D0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3B2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44274">
            <w:pPr>
              <w:jc w:val="center"/>
            </w:pPr>
            <w:r>
              <w:rPr>
                <w:rFonts w:ascii="宋体" w:hAnsi="宋体" w:eastAsia="宋体"/>
                <w:sz w:val="16"/>
              </w:rPr>
              <w:t>59.85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CE09C">
            <w:pPr>
              <w:jc w:val="center"/>
            </w:pPr>
            <w:r>
              <w:rPr>
                <w:rFonts w:ascii="宋体" w:hAnsi="宋体" w:eastAsia="宋体"/>
                <w:sz w:val="16"/>
              </w:rPr>
              <w:t>59.85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EF7C">
            <w:pPr>
              <w:jc w:val="center"/>
            </w:pPr>
            <w:r>
              <w:rPr>
                <w:rFonts w:ascii="宋体" w:hAnsi="宋体" w:eastAsia="宋体"/>
                <w:sz w:val="16"/>
              </w:rPr>
              <w:t>59.85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4C3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0A8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4546">
            <w:pPr>
              <w:jc w:val="center"/>
            </w:pPr>
            <w:r>
              <w:rPr>
                <w:rFonts w:ascii="宋体" w:hAnsi="宋体" w:eastAsia="宋体"/>
                <w:sz w:val="16"/>
              </w:rPr>
              <w:t>—</w:t>
            </w:r>
          </w:p>
        </w:tc>
      </w:tr>
      <w:tr w14:paraId="4EED6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2E5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463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A36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506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E76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89F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BD2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89C8">
            <w:pPr>
              <w:jc w:val="center"/>
            </w:pPr>
            <w:r>
              <w:rPr>
                <w:rFonts w:ascii="宋体" w:hAnsi="宋体" w:eastAsia="宋体"/>
                <w:sz w:val="16"/>
              </w:rPr>
              <w:t>—</w:t>
            </w:r>
          </w:p>
        </w:tc>
      </w:tr>
      <w:tr w14:paraId="54408D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0C69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EB55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7861E8">
            <w:pPr>
              <w:jc w:val="center"/>
            </w:pPr>
            <w:r>
              <w:rPr>
                <w:rFonts w:ascii="宋体" w:hAnsi="宋体" w:eastAsia="宋体"/>
                <w:sz w:val="16"/>
              </w:rPr>
              <w:t>实际完成情况</w:t>
            </w:r>
          </w:p>
        </w:tc>
      </w:tr>
      <w:tr w14:paraId="76974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913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D9CADF">
            <w:pPr>
              <w:jc w:val="both"/>
            </w:pPr>
            <w:r>
              <w:rPr>
                <w:rFonts w:ascii="宋体" w:hAnsi="宋体" w:eastAsia="宋体"/>
                <w:sz w:val="16"/>
              </w:rPr>
              <w:t>本项目资金59.85万元，主要用于保障2024年审判业务办公费、邮电费、维修费等，促进审判执行业务顺利开展，旨在提高办案质量、审判效率，全面推进我院各项司法工作开展，努力打造人民满意的司法机关。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E88BFF">
            <w:pPr>
              <w:jc w:val="both"/>
            </w:pPr>
            <w:r>
              <w:rPr>
                <w:rFonts w:ascii="宋体" w:hAnsi="宋体" w:eastAsia="宋体"/>
                <w:sz w:val="16"/>
              </w:rPr>
              <w:t>本项目资金59.85万元，已使用59.85万元，用于</w:t>
            </w:r>
            <w:r>
              <w:rPr>
                <w:rFonts w:hint="eastAsia" w:ascii="宋体" w:hAnsi="宋体"/>
                <w:sz w:val="16"/>
                <w:lang w:eastAsia="zh-CN"/>
              </w:rPr>
              <w:t>本部门</w:t>
            </w:r>
            <w:r>
              <w:rPr>
                <w:rFonts w:ascii="宋体" w:hAnsi="宋体" w:eastAsia="宋体"/>
                <w:sz w:val="16"/>
              </w:rPr>
              <w:t>审判楼水电暖、消防设备维修，4个乡镇人民法庭上下水维修，干警出差补助，支付办公资料费、宣传广告制作费等，有效提高了我院办案能力，保障了我院各项审判业务正常开展。</w:t>
            </w:r>
          </w:p>
        </w:tc>
      </w:tr>
      <w:tr w14:paraId="5CD52E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4D89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84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7E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45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60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56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B1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61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D3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070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34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4A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63E05">
            <w:pPr>
              <w:jc w:val="center"/>
            </w:pPr>
            <w:r>
              <w:rPr>
                <w:rFonts w:ascii="宋体" w:hAnsi="宋体" w:eastAsia="宋体"/>
                <w:sz w:val="16"/>
              </w:rPr>
              <w:t>偏差原因分析及改进措施</w:t>
            </w:r>
          </w:p>
        </w:tc>
      </w:tr>
      <w:tr w14:paraId="4AC09C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B93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36BC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44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E2F8">
            <w:pPr>
              <w:jc w:val="center"/>
            </w:pPr>
            <w:r>
              <w:rPr>
                <w:rFonts w:ascii="宋体" w:hAnsi="宋体" w:eastAsia="宋体"/>
                <w:sz w:val="16"/>
              </w:rPr>
              <w:t>保障人员数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7A06">
            <w:pPr>
              <w:jc w:val="center"/>
            </w:pPr>
            <w:r>
              <w:rPr>
                <w:rFonts w:ascii="宋体" w:hAnsi="宋体" w:eastAsia="宋体"/>
                <w:sz w:val="16"/>
              </w:rPr>
              <w:t>=81人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52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5322">
            <w:pPr>
              <w:jc w:val="center"/>
            </w:pPr>
            <w:r>
              <w:rPr>
                <w:rFonts w:ascii="宋体" w:hAnsi="宋体" w:eastAsia="宋体"/>
                <w:sz w:val="16"/>
              </w:rPr>
              <w:t>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5C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F2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2B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8D83">
            <w:pPr>
              <w:jc w:val="center"/>
            </w:pPr>
            <w:r>
              <w:rPr>
                <w:rFonts w:ascii="宋体" w:hAnsi="宋体" w:eastAsia="宋体"/>
                <w:sz w:val="16"/>
              </w:rPr>
              <w:t>=81人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86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79662">
            <w:pPr>
              <w:jc w:val="center"/>
            </w:pPr>
          </w:p>
        </w:tc>
      </w:tr>
      <w:tr w14:paraId="20C90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EE4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F71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6D2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F2E5">
            <w:pPr>
              <w:jc w:val="center"/>
            </w:pPr>
            <w:r>
              <w:rPr>
                <w:rFonts w:ascii="宋体" w:hAnsi="宋体" w:eastAsia="宋体"/>
                <w:sz w:val="16"/>
              </w:rPr>
              <w:t>执行案件结案率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F5A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75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10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A1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92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6C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CA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EB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8AB02">
            <w:pPr>
              <w:jc w:val="center"/>
            </w:pPr>
          </w:p>
        </w:tc>
      </w:tr>
      <w:tr w14:paraId="435ED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888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CB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62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A23F">
            <w:pPr>
              <w:jc w:val="center"/>
            </w:pPr>
            <w:r>
              <w:rPr>
                <w:rFonts w:ascii="宋体" w:hAnsi="宋体" w:eastAsia="宋体"/>
                <w:sz w:val="16"/>
              </w:rPr>
              <w:t>受理民事刑事行政案件结案率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D3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71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9CA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7D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A7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0F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D77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4E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7BFFB">
            <w:pPr>
              <w:jc w:val="center"/>
            </w:pPr>
          </w:p>
        </w:tc>
      </w:tr>
      <w:tr w14:paraId="30915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D8B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E80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43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96B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FAC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D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B4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9B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63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09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3FE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80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8BBD1">
            <w:pPr>
              <w:jc w:val="center"/>
            </w:pPr>
          </w:p>
        </w:tc>
      </w:tr>
      <w:tr w14:paraId="1FD83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238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3FD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76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5D98">
            <w:pPr>
              <w:jc w:val="center"/>
            </w:pPr>
            <w:r>
              <w:rPr>
                <w:rFonts w:ascii="宋体" w:hAnsi="宋体" w:eastAsia="宋体"/>
                <w:sz w:val="16"/>
              </w:rPr>
              <w:t>经费人均成本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F942">
            <w:pPr>
              <w:jc w:val="center"/>
            </w:pPr>
            <w:r>
              <w:rPr>
                <w:rFonts w:ascii="宋体" w:hAnsi="宋体" w:eastAsia="宋体"/>
                <w:sz w:val="16"/>
              </w:rPr>
              <w:t>&lt;=0.74万元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6A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BA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3B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D7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8D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CED9">
            <w:pPr>
              <w:jc w:val="center"/>
            </w:pPr>
            <w:r>
              <w:rPr>
                <w:rFonts w:ascii="宋体" w:hAnsi="宋体" w:eastAsia="宋体"/>
                <w:sz w:val="16"/>
              </w:rPr>
              <w:t>=0.74万元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ABC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907DC">
            <w:pPr>
              <w:jc w:val="center"/>
            </w:pPr>
          </w:p>
        </w:tc>
      </w:tr>
      <w:tr w14:paraId="7125E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835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51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91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5039">
            <w:pPr>
              <w:jc w:val="center"/>
            </w:pPr>
            <w:r>
              <w:rPr>
                <w:rFonts w:ascii="宋体" w:hAnsi="宋体" w:eastAsia="宋体"/>
                <w:sz w:val="16"/>
              </w:rPr>
              <w:t>提高依法审理各类民事、刑事案件能力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C2D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8E5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C93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26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15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F0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0B4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8F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585DA">
            <w:pPr>
              <w:jc w:val="center"/>
            </w:pPr>
          </w:p>
        </w:tc>
      </w:tr>
      <w:tr w14:paraId="0E3336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0A9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10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99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60DC">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37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C6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382C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9E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4EB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3C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B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69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95D39">
            <w:pPr>
              <w:jc w:val="center"/>
            </w:pPr>
            <w:r>
              <w:rPr>
                <w:rFonts w:ascii="宋体" w:hAnsi="宋体" w:eastAsia="宋体"/>
                <w:sz w:val="16"/>
              </w:rPr>
              <w:t>本年全部办案人员对综合业务保障项目满意，满意人员超过预期人数。</w:t>
            </w:r>
          </w:p>
        </w:tc>
      </w:tr>
      <w:tr w14:paraId="22FC9D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51E7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9CA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759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749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0666CD"/>
        </w:tc>
      </w:tr>
    </w:tbl>
    <w:p w14:paraId="0FDC8162">
      <w:r>
        <w:br w:type="page"/>
      </w:r>
    </w:p>
    <w:p w14:paraId="0DFA22FE">
      <w:pPr>
        <w:spacing w:line="640" w:lineRule="exact"/>
        <w:ind w:firstLine="640"/>
        <w:jc w:val="both"/>
        <w:outlineLvl w:val="2"/>
      </w:pPr>
      <w:r>
        <w:rPr>
          <w:rFonts w:ascii="黑体" w:hAnsi="黑体" w:eastAsia="黑体"/>
          <w:sz w:val="32"/>
        </w:rPr>
        <w:t>十二、其他需说明的事项</w:t>
      </w:r>
    </w:p>
    <w:p w14:paraId="3C807AD4">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涉密</w:t>
      </w:r>
      <w:r>
        <w:rPr>
          <w:rFonts w:ascii="仿宋_GB2312" w:hAnsi="仿宋_GB2312" w:eastAsia="仿宋_GB2312"/>
          <w:b w:val="0"/>
          <w:sz w:val="32"/>
        </w:rPr>
        <w:t>项目6个，全年预算数682.14万元，全年执行数682.14万元。</w:t>
      </w:r>
      <w:bookmarkStart w:id="0" w:name="_GoBack"/>
      <w:bookmarkEnd w:id="0"/>
    </w:p>
    <w:p w14:paraId="5E70A093">
      <w:r>
        <w:br w:type="page"/>
      </w:r>
    </w:p>
    <w:p w14:paraId="313097D6">
      <w:pPr>
        <w:spacing w:line="240" w:lineRule="auto"/>
        <w:jc w:val="center"/>
        <w:outlineLvl w:val="1"/>
      </w:pPr>
      <w:r>
        <w:rPr>
          <w:rFonts w:ascii="黑体" w:hAnsi="黑体" w:eastAsia="黑体"/>
          <w:sz w:val="32"/>
        </w:rPr>
        <w:t>第三部分 专业名词解释</w:t>
      </w:r>
    </w:p>
    <w:p w14:paraId="292D6B3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D450C9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0BAB80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A53D81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F8068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4A9A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A96E97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6CFDA6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84FB2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EA410F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E37E74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F0505B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BE023F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C1D9D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003639A">
      <w:r>
        <w:br w:type="page"/>
      </w:r>
    </w:p>
    <w:p w14:paraId="1CE797E6">
      <w:pPr>
        <w:spacing w:line="240" w:lineRule="auto"/>
        <w:jc w:val="center"/>
        <w:outlineLvl w:val="1"/>
      </w:pPr>
      <w:r>
        <w:rPr>
          <w:rFonts w:ascii="黑体" w:hAnsi="黑体" w:eastAsia="黑体"/>
          <w:sz w:val="32"/>
        </w:rPr>
        <w:t>第四部分 部门决算报表（见附表）</w:t>
      </w:r>
    </w:p>
    <w:p w14:paraId="6B2C09DE">
      <w:pPr>
        <w:spacing w:line="240" w:lineRule="auto"/>
        <w:ind w:firstLine="640"/>
        <w:jc w:val="both"/>
      </w:pPr>
      <w:r>
        <w:rPr>
          <w:rFonts w:ascii="仿宋_GB2312" w:hAnsi="仿宋_GB2312" w:eastAsia="仿宋_GB2312"/>
          <w:b w:val="0"/>
          <w:sz w:val="32"/>
        </w:rPr>
        <w:t>一、《收入支出决算总表》</w:t>
      </w:r>
    </w:p>
    <w:p w14:paraId="0029E9D3">
      <w:pPr>
        <w:spacing w:line="240" w:lineRule="auto"/>
        <w:ind w:firstLine="640"/>
        <w:jc w:val="both"/>
      </w:pPr>
      <w:r>
        <w:rPr>
          <w:rFonts w:ascii="仿宋_GB2312" w:hAnsi="仿宋_GB2312" w:eastAsia="仿宋_GB2312"/>
          <w:b w:val="0"/>
          <w:sz w:val="32"/>
        </w:rPr>
        <w:t>二、《收入决算表》</w:t>
      </w:r>
    </w:p>
    <w:p w14:paraId="6F7BC8EB">
      <w:pPr>
        <w:spacing w:line="240" w:lineRule="auto"/>
        <w:ind w:firstLine="640"/>
        <w:jc w:val="both"/>
      </w:pPr>
      <w:r>
        <w:rPr>
          <w:rFonts w:ascii="仿宋_GB2312" w:hAnsi="仿宋_GB2312" w:eastAsia="仿宋_GB2312"/>
          <w:b w:val="0"/>
          <w:sz w:val="32"/>
        </w:rPr>
        <w:t>三、《支出决算表》</w:t>
      </w:r>
    </w:p>
    <w:p w14:paraId="48358A4B">
      <w:pPr>
        <w:spacing w:line="240" w:lineRule="auto"/>
        <w:ind w:firstLine="640"/>
        <w:jc w:val="both"/>
      </w:pPr>
      <w:r>
        <w:rPr>
          <w:rFonts w:ascii="仿宋_GB2312" w:hAnsi="仿宋_GB2312" w:eastAsia="仿宋_GB2312"/>
          <w:b w:val="0"/>
          <w:sz w:val="32"/>
        </w:rPr>
        <w:t>四、《财政拨款收入支出决算总表》</w:t>
      </w:r>
    </w:p>
    <w:p w14:paraId="3238A771">
      <w:pPr>
        <w:spacing w:line="240" w:lineRule="auto"/>
        <w:ind w:firstLine="640"/>
        <w:jc w:val="both"/>
      </w:pPr>
      <w:r>
        <w:rPr>
          <w:rFonts w:ascii="仿宋_GB2312" w:hAnsi="仿宋_GB2312" w:eastAsia="仿宋_GB2312"/>
          <w:b w:val="0"/>
          <w:sz w:val="32"/>
        </w:rPr>
        <w:t>五、《一般公共预算财政拨款支出决算表》</w:t>
      </w:r>
    </w:p>
    <w:p w14:paraId="53C1F027">
      <w:pPr>
        <w:spacing w:line="240" w:lineRule="auto"/>
        <w:ind w:firstLine="640"/>
        <w:jc w:val="both"/>
      </w:pPr>
      <w:r>
        <w:rPr>
          <w:rFonts w:ascii="仿宋_GB2312" w:hAnsi="仿宋_GB2312" w:eastAsia="仿宋_GB2312"/>
          <w:b w:val="0"/>
          <w:sz w:val="32"/>
        </w:rPr>
        <w:t>六、《一般公共预算财政拨款基本支出决算表》</w:t>
      </w:r>
    </w:p>
    <w:p w14:paraId="77333745">
      <w:pPr>
        <w:spacing w:line="240" w:lineRule="auto"/>
        <w:ind w:firstLine="640"/>
        <w:jc w:val="both"/>
      </w:pPr>
      <w:r>
        <w:rPr>
          <w:rFonts w:ascii="仿宋_GB2312" w:hAnsi="仿宋_GB2312" w:eastAsia="仿宋_GB2312"/>
          <w:b w:val="0"/>
          <w:sz w:val="32"/>
        </w:rPr>
        <w:t>七、《政府性基金预算财政拨款收入支出决算表》</w:t>
      </w:r>
    </w:p>
    <w:p w14:paraId="199A4E50">
      <w:pPr>
        <w:spacing w:line="240" w:lineRule="auto"/>
        <w:ind w:firstLine="640"/>
        <w:jc w:val="both"/>
      </w:pPr>
      <w:r>
        <w:rPr>
          <w:rFonts w:ascii="仿宋_GB2312" w:hAnsi="仿宋_GB2312" w:eastAsia="仿宋_GB2312"/>
          <w:b w:val="0"/>
          <w:sz w:val="32"/>
        </w:rPr>
        <w:t>八、《国有资本经营预算财政拨款收入支出决算表》</w:t>
      </w:r>
    </w:p>
    <w:p w14:paraId="237BEB52">
      <w:pPr>
        <w:spacing w:line="240" w:lineRule="auto"/>
        <w:ind w:firstLine="640"/>
        <w:jc w:val="both"/>
      </w:pPr>
      <w:r>
        <w:rPr>
          <w:rFonts w:ascii="仿宋_GB2312" w:hAnsi="仿宋_GB2312" w:eastAsia="仿宋_GB2312"/>
          <w:b w:val="0"/>
          <w:sz w:val="32"/>
        </w:rPr>
        <w:t>九、《财政拨款“三公”经费支出决算表》</w:t>
      </w:r>
    </w:p>
    <w:p w14:paraId="288B5D7A">
      <w:pPr>
        <w:spacing w:line="240" w:lineRule="auto"/>
        <w:ind w:firstLine="640"/>
        <w:jc w:val="both"/>
      </w:pPr>
    </w:p>
    <w:p w14:paraId="4D0C4019">
      <w:pPr>
        <w:spacing w:line="240" w:lineRule="auto"/>
        <w:ind w:firstLine="640"/>
        <w:jc w:val="both"/>
      </w:pPr>
    </w:p>
    <w:p w14:paraId="4E2077C8">
      <w:pPr>
        <w:spacing w:line="240" w:lineRule="auto"/>
        <w:ind w:firstLine="640"/>
        <w:jc w:val="both"/>
      </w:pPr>
    </w:p>
    <w:p w14:paraId="0C2F17F3">
      <w:pPr>
        <w:spacing w:line="240" w:lineRule="auto"/>
        <w:ind w:firstLine="640"/>
        <w:jc w:val="both"/>
      </w:pPr>
    </w:p>
    <w:p w14:paraId="367DA00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E42BC5-FA4B-4892-BF9C-2D51F3E6CA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C25124F-6AFA-4A61-BFFF-5E8DE6C85ED1}"/>
  </w:font>
  <w:font w:name="方正小标宋_GBK">
    <w:panose1 w:val="02000000000000000000"/>
    <w:charset w:val="86"/>
    <w:family w:val="script"/>
    <w:pitch w:val="default"/>
    <w:sig w:usb0="A00002BF" w:usb1="38CF7CFA" w:usb2="00082016" w:usb3="00000000" w:csb0="00040001" w:csb1="00000000"/>
    <w:embedRegular r:id="rId3" w:fontKey="{AB4DE205-CE0C-4BCD-94D4-015E5CAFBBFC}"/>
  </w:font>
  <w:font w:name="楷体_GB2312">
    <w:altName w:val="楷体"/>
    <w:panose1 w:val="00000000000000000000"/>
    <w:charset w:val="00"/>
    <w:family w:val="auto"/>
    <w:pitch w:val="default"/>
    <w:sig w:usb0="00000000" w:usb1="00000000" w:usb2="00000000" w:usb3="00000000" w:csb0="00000000" w:csb1="00000000"/>
    <w:embedRegular r:id="rId4" w:fontKey="{AA890CCD-D700-4926-B5FF-E5D917058285}"/>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B36A5"/>
    <w:rsid w:val="326F0A17"/>
    <w:rsid w:val="3277581B"/>
    <w:rsid w:val="38006E2C"/>
    <w:rsid w:val="3914510A"/>
    <w:rsid w:val="3B1220C9"/>
    <w:rsid w:val="3D5275AC"/>
    <w:rsid w:val="3EA7725F"/>
    <w:rsid w:val="3EC014A1"/>
    <w:rsid w:val="3FDE669D"/>
    <w:rsid w:val="40834692"/>
    <w:rsid w:val="423A32B2"/>
    <w:rsid w:val="423C0CB4"/>
    <w:rsid w:val="427B5743"/>
    <w:rsid w:val="42E64542"/>
    <w:rsid w:val="45797C45"/>
    <w:rsid w:val="464B7E04"/>
    <w:rsid w:val="464F7E64"/>
    <w:rsid w:val="46901EEE"/>
    <w:rsid w:val="469C74D2"/>
    <w:rsid w:val="47445515"/>
    <w:rsid w:val="4A8C30E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164F2F"/>
    <w:rsid w:val="65D97752"/>
    <w:rsid w:val="664C500C"/>
    <w:rsid w:val="67D111AB"/>
    <w:rsid w:val="68DB0208"/>
    <w:rsid w:val="68DF36D5"/>
    <w:rsid w:val="69846A0E"/>
    <w:rsid w:val="69AD798C"/>
    <w:rsid w:val="6B68175F"/>
    <w:rsid w:val="6B8B5C99"/>
    <w:rsid w:val="6CA7198F"/>
    <w:rsid w:val="6D8919A8"/>
    <w:rsid w:val="6E0F7A08"/>
    <w:rsid w:val="6E801ABC"/>
    <w:rsid w:val="71473612"/>
    <w:rsid w:val="714E234E"/>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5872</Words>
  <Characters>6893</Characters>
  <Lines>0</Lines>
  <Paragraphs>0</Paragraphs>
  <TotalTime>0</TotalTime>
  <ScaleCrop>false</ScaleCrop>
  <LinksUpToDate>false</LinksUpToDate>
  <CharactersWithSpaces>6923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