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政协新疆维吾尔自治区委员会喀什地区工作委员会2024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60D0FDC">
      <w:r>
        <w:br w:type="page"/>
      </w:r>
    </w:p>
    <w:p w14:paraId="34A650F6">
      <w:pPr>
        <w:spacing w:line="640" w:lineRule="exact"/>
        <w:jc w:val="center"/>
        <w:outlineLvl w:val="1"/>
      </w:pPr>
      <w:r>
        <w:rPr>
          <w:rFonts w:ascii="黑体" w:hAnsi="黑体" w:eastAsia="黑体"/>
          <w:sz w:val="32"/>
        </w:rPr>
        <w:t>第一部分 单位概况</w:t>
      </w:r>
    </w:p>
    <w:p w14:paraId="4004F155">
      <w:pPr>
        <w:spacing w:line="640" w:lineRule="exact"/>
        <w:ind w:firstLine="640"/>
        <w:jc w:val="both"/>
        <w:outlineLvl w:val="2"/>
      </w:pPr>
      <w:r>
        <w:rPr>
          <w:rFonts w:ascii="黑体" w:hAnsi="黑体" w:eastAsia="黑体"/>
          <w:sz w:val="32"/>
        </w:rPr>
        <w:t>一、主要职能</w:t>
      </w:r>
    </w:p>
    <w:p w14:paraId="176A23B1">
      <w:pPr>
        <w:spacing w:line="580" w:lineRule="exact"/>
        <w:ind w:firstLine="640"/>
        <w:jc w:val="both"/>
      </w:pPr>
      <w:r>
        <w:rPr>
          <w:rFonts w:ascii="仿宋_GB2312" w:hAnsi="仿宋_GB2312" w:eastAsia="仿宋_GB2312"/>
          <w:sz w:val="32"/>
        </w:rPr>
        <w:t>中国人民政治协商会议新疆维吾尔自治区喀什地区工作委员会，其主要职责：发挥专门协商机构作用，扎实履行政治协商、民主监督、参政议政职能。</w:t>
      </w:r>
    </w:p>
    <w:p w14:paraId="275D1FEF">
      <w:pPr>
        <w:spacing w:line="640" w:lineRule="exact"/>
        <w:ind w:firstLine="640"/>
        <w:jc w:val="both"/>
        <w:outlineLvl w:val="2"/>
      </w:pPr>
      <w:r>
        <w:rPr>
          <w:rFonts w:ascii="黑体" w:hAnsi="黑体" w:eastAsia="黑体"/>
          <w:sz w:val="32"/>
        </w:rPr>
        <w:t>二、机构设置及人员情况</w:t>
      </w:r>
    </w:p>
    <w:p w14:paraId="3F31082A">
      <w:pPr>
        <w:spacing w:line="580" w:lineRule="exact"/>
        <w:ind w:firstLine="640"/>
        <w:jc w:val="both"/>
      </w:pPr>
      <w:r>
        <w:rPr>
          <w:rFonts w:ascii="仿宋_GB2312" w:hAnsi="仿宋_GB2312" w:eastAsia="仿宋_GB2312"/>
          <w:sz w:val="32"/>
        </w:rPr>
        <w:t>政协新疆维吾尔自治区委员会喀什地区工作委员会2024年度，实有人数60人，其中：在职人员26人，减少1人；离休人员1人，增加0人；退休人员33人,增加3人。</w:t>
      </w:r>
    </w:p>
    <w:p w14:paraId="67408E01">
      <w:pPr>
        <w:spacing w:line="580" w:lineRule="exact"/>
        <w:ind w:firstLine="640"/>
        <w:jc w:val="both"/>
      </w:pPr>
      <w:r>
        <w:rPr>
          <w:rFonts w:ascii="仿宋_GB2312" w:hAnsi="仿宋_GB2312" w:eastAsia="仿宋_GB2312"/>
          <w:sz w:val="32"/>
        </w:rPr>
        <w:t>政协新疆维吾尔自治区委员会喀什地区工作委员会无下属预算单位，下设2个科室，分别是：办公室、委员工作处。</w:t>
      </w:r>
    </w:p>
    <w:p w14:paraId="0A9B46CD">
      <w:r>
        <w:br w:type="page"/>
      </w:r>
    </w:p>
    <w:p w14:paraId="747FEBCE">
      <w:pPr>
        <w:spacing w:line="240" w:lineRule="auto"/>
        <w:jc w:val="center"/>
        <w:outlineLvl w:val="1"/>
      </w:pPr>
      <w:r>
        <w:rPr>
          <w:rFonts w:ascii="黑体" w:hAnsi="黑体" w:eastAsia="黑体"/>
          <w:sz w:val="32"/>
        </w:rPr>
        <w:t>第二部分 部门决算情况说明</w:t>
      </w:r>
    </w:p>
    <w:p w14:paraId="3F37C9E2">
      <w:pPr>
        <w:spacing w:line="640" w:lineRule="exact"/>
        <w:ind w:firstLine="640"/>
        <w:jc w:val="both"/>
        <w:outlineLvl w:val="2"/>
      </w:pPr>
      <w:r>
        <w:rPr>
          <w:rFonts w:ascii="黑体" w:hAnsi="黑体" w:eastAsia="黑体"/>
          <w:sz w:val="32"/>
        </w:rPr>
        <w:t>一、收入支出决算总体情况说明</w:t>
      </w:r>
    </w:p>
    <w:p w14:paraId="2AB87FA4">
      <w:pPr>
        <w:spacing w:line="580" w:lineRule="exact"/>
        <w:ind w:firstLine="640"/>
        <w:jc w:val="both"/>
      </w:pPr>
      <w:r>
        <w:rPr>
          <w:rFonts w:ascii="仿宋_GB2312" w:hAnsi="仿宋_GB2312" w:eastAsia="仿宋_GB2312"/>
          <w:b/>
          <w:sz w:val="32"/>
        </w:rPr>
        <w:t>2024年度收入总计1,018.15万元，</w:t>
      </w:r>
      <w:r>
        <w:rPr>
          <w:rFonts w:ascii="仿宋_GB2312" w:hAnsi="仿宋_GB2312" w:eastAsia="仿宋_GB2312"/>
          <w:b w:val="0"/>
          <w:sz w:val="32"/>
        </w:rPr>
        <w:t>其中：本年收入合计998.71万元，使用非财政拨款结余（含专用结余）0.00万元，年初结转和结余19.44万元。</w:t>
      </w:r>
    </w:p>
    <w:p w14:paraId="751AD8DD">
      <w:pPr>
        <w:spacing w:line="580" w:lineRule="exact"/>
        <w:ind w:firstLine="640"/>
        <w:jc w:val="both"/>
      </w:pPr>
      <w:r>
        <w:rPr>
          <w:rFonts w:ascii="仿宋_GB2312" w:hAnsi="仿宋_GB2312" w:eastAsia="仿宋_GB2312"/>
          <w:b/>
          <w:sz w:val="32"/>
        </w:rPr>
        <w:t>2024年度支出总计1,018.15万元，</w:t>
      </w:r>
      <w:r>
        <w:rPr>
          <w:rFonts w:ascii="仿宋_GB2312" w:hAnsi="仿宋_GB2312" w:eastAsia="仿宋_GB2312"/>
          <w:b w:val="0"/>
          <w:sz w:val="32"/>
        </w:rPr>
        <w:t>其中：本年支出合计1,012.96万元，结余分配0.00万元，年末结转和结余5.19万元。</w:t>
      </w:r>
    </w:p>
    <w:p w14:paraId="2E8C9D4B">
      <w:pPr>
        <w:spacing w:line="580" w:lineRule="exact"/>
        <w:ind w:firstLine="640"/>
        <w:jc w:val="both"/>
      </w:pPr>
      <w:r>
        <w:rPr>
          <w:rFonts w:ascii="仿宋_GB2312" w:hAnsi="仿宋_GB2312" w:eastAsia="仿宋_GB2312"/>
          <w:b w:val="0"/>
          <w:sz w:val="32"/>
        </w:rPr>
        <w:t>收入支出总体与上年相比，减少19.59万元，下降1.89%，主要原因是：本年减少政协收山东援疆</w:t>
      </w:r>
      <w:r>
        <w:rPr>
          <w:rFonts w:hint="eastAsia" w:ascii="仿宋_GB2312" w:hAnsi="仿宋_GB2312" w:eastAsia="仿宋_GB2312"/>
          <w:b w:val="0"/>
          <w:sz w:val="32"/>
          <w:lang w:eastAsia="zh-CN"/>
        </w:rPr>
        <w:t>拨付</w:t>
      </w:r>
      <w:r>
        <w:rPr>
          <w:rFonts w:ascii="仿宋_GB2312" w:hAnsi="仿宋_GB2312" w:eastAsia="仿宋_GB2312"/>
          <w:b w:val="0"/>
          <w:sz w:val="32"/>
        </w:rPr>
        <w:t>政协工委组织干部和委员赴山东学习培训</w:t>
      </w:r>
      <w:r>
        <w:rPr>
          <w:rFonts w:hint="eastAsia" w:ascii="仿宋_GB2312" w:hAnsi="仿宋_GB2312" w:eastAsia="仿宋_GB2312"/>
          <w:b w:val="0"/>
          <w:sz w:val="32"/>
          <w:lang w:eastAsia="zh-CN"/>
        </w:rPr>
        <w:t>的费用</w:t>
      </w:r>
      <w:r>
        <w:rPr>
          <w:rFonts w:ascii="仿宋_GB2312" w:hAnsi="仿宋_GB2312" w:eastAsia="仿宋_GB2312"/>
          <w:b w:val="0"/>
          <w:sz w:val="32"/>
        </w:rPr>
        <w:t>。</w:t>
      </w:r>
    </w:p>
    <w:p w14:paraId="1986BBB1">
      <w:pPr>
        <w:spacing w:line="640" w:lineRule="exact"/>
        <w:ind w:firstLine="640"/>
        <w:jc w:val="both"/>
        <w:outlineLvl w:val="2"/>
      </w:pPr>
      <w:r>
        <w:rPr>
          <w:rFonts w:ascii="黑体" w:hAnsi="黑体" w:eastAsia="黑体"/>
          <w:sz w:val="32"/>
        </w:rPr>
        <w:t>二、收入决算情况说明</w:t>
      </w:r>
    </w:p>
    <w:p w14:paraId="5ACE85BD">
      <w:pPr>
        <w:spacing w:line="580" w:lineRule="exact"/>
        <w:ind w:firstLine="640"/>
        <w:jc w:val="both"/>
      </w:pPr>
      <w:r>
        <w:rPr>
          <w:rFonts w:ascii="仿宋_GB2312" w:hAnsi="仿宋_GB2312" w:eastAsia="仿宋_GB2312"/>
          <w:b/>
          <w:sz w:val="32"/>
        </w:rPr>
        <w:t>本年收入998.71万元，</w:t>
      </w:r>
      <w:r>
        <w:rPr>
          <w:rFonts w:ascii="仿宋_GB2312" w:hAnsi="仿宋_GB2312" w:eastAsia="仿宋_GB2312"/>
          <w:b w:val="0"/>
          <w:sz w:val="32"/>
        </w:rPr>
        <w:t>其中：财政拨款收入994.87万元，占99.62%；上级补助收入0.00万元，占0.00%；事业收入0.00万元，占0.00%；经营收入0.00万元，占0.00%；附属单位上缴收入0.00万元，占0.00%；其他收入3.84万元，占0.38%。</w:t>
      </w:r>
    </w:p>
    <w:p w14:paraId="17D415C8">
      <w:pPr>
        <w:spacing w:line="640" w:lineRule="exact"/>
        <w:ind w:firstLine="640"/>
        <w:jc w:val="both"/>
        <w:outlineLvl w:val="2"/>
      </w:pPr>
      <w:r>
        <w:rPr>
          <w:rFonts w:ascii="黑体" w:hAnsi="黑体" w:eastAsia="黑体"/>
          <w:sz w:val="32"/>
        </w:rPr>
        <w:t>三、支出决算情况说明</w:t>
      </w:r>
    </w:p>
    <w:p w14:paraId="299180C1">
      <w:pPr>
        <w:spacing w:line="580" w:lineRule="exact"/>
        <w:ind w:firstLine="640"/>
        <w:jc w:val="both"/>
      </w:pPr>
      <w:r>
        <w:rPr>
          <w:rFonts w:ascii="仿宋_GB2312" w:hAnsi="仿宋_GB2312" w:eastAsia="仿宋_GB2312"/>
          <w:b/>
          <w:sz w:val="32"/>
        </w:rPr>
        <w:t>本年支出1,012.96万元，</w:t>
      </w:r>
      <w:r>
        <w:rPr>
          <w:rFonts w:ascii="仿宋_GB2312" w:hAnsi="仿宋_GB2312" w:eastAsia="仿宋_GB2312"/>
          <w:b w:val="0"/>
          <w:sz w:val="32"/>
        </w:rPr>
        <w:t>其中：基本支出884.68万元，占87.34%；项目支出128.28万元，占12.66%；上缴上级支出0.00万元，占0.00%；经营支出0.00万元，占0.00%；对附属单位补助支出0.00万元，占0.00%。</w:t>
      </w:r>
    </w:p>
    <w:p w14:paraId="6696AE94">
      <w:pPr>
        <w:spacing w:line="640" w:lineRule="exact"/>
        <w:ind w:firstLine="640"/>
        <w:jc w:val="both"/>
        <w:outlineLvl w:val="2"/>
      </w:pPr>
      <w:r>
        <w:rPr>
          <w:rFonts w:ascii="黑体" w:hAnsi="黑体" w:eastAsia="黑体"/>
          <w:sz w:val="32"/>
        </w:rPr>
        <w:t>四、财政拨款收入支出决算总体情况说明</w:t>
      </w:r>
    </w:p>
    <w:p w14:paraId="1A4D93A3">
      <w:pPr>
        <w:spacing w:line="580" w:lineRule="exact"/>
        <w:ind w:firstLine="640"/>
        <w:jc w:val="both"/>
      </w:pPr>
      <w:r>
        <w:rPr>
          <w:rFonts w:ascii="仿宋_GB2312" w:hAnsi="仿宋_GB2312" w:eastAsia="仿宋_GB2312"/>
          <w:b/>
          <w:sz w:val="32"/>
        </w:rPr>
        <w:t>2024年度财政拨款收入总计994.87万元，</w:t>
      </w:r>
      <w:r>
        <w:rPr>
          <w:rFonts w:ascii="仿宋_GB2312" w:hAnsi="仿宋_GB2312" w:eastAsia="仿宋_GB2312"/>
          <w:b w:val="0"/>
          <w:sz w:val="32"/>
        </w:rPr>
        <w:t>其中：年初财政拨款结转和结余0.00万元，本年财政拨款收入994.87万元。</w:t>
      </w:r>
      <w:r>
        <w:rPr>
          <w:rFonts w:ascii="仿宋_GB2312" w:hAnsi="仿宋_GB2312" w:eastAsia="仿宋_GB2312"/>
          <w:b/>
          <w:sz w:val="32"/>
        </w:rPr>
        <w:t>财政拨款支出总计994.87万元，</w:t>
      </w:r>
      <w:r>
        <w:rPr>
          <w:rFonts w:ascii="仿宋_GB2312" w:hAnsi="仿宋_GB2312" w:eastAsia="仿宋_GB2312"/>
          <w:b w:val="0"/>
          <w:sz w:val="32"/>
        </w:rPr>
        <w:t>其中：年末财政拨款结转和结余0.00万元，本年财政拨款支出994.87万元。</w:t>
      </w:r>
    </w:p>
    <w:p w14:paraId="5359C5A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增加55.06万元，增长5.86%，主要原因是：1.本年在职人员工资调增，社保、公积金基数调增，人员经费增加。2.本年增加业务工作项目、基层政协补助项目经费。</w:t>
      </w:r>
      <w:r>
        <w:rPr>
          <w:rFonts w:ascii="仿宋_GB2312" w:hAnsi="仿宋_GB2312" w:eastAsia="仿宋_GB2312"/>
          <w:b/>
          <w:sz w:val="32"/>
        </w:rPr>
        <w:t>与年初预算相比，</w:t>
      </w:r>
      <w:r>
        <w:rPr>
          <w:rFonts w:ascii="仿宋_GB2312" w:hAnsi="仿宋_GB2312" w:eastAsia="仿宋_GB2312"/>
          <w:b w:val="0"/>
          <w:sz w:val="32"/>
        </w:rPr>
        <w:t>年初预算数908.30万元，决算数994.87万元，预决算差异率9.53%，主要原因是：年中追加人员工资、社保、公积金基数调增部分资金；年中追加民族团结联谊活动经费及交通费，导致预决算存在差异。</w:t>
      </w:r>
    </w:p>
    <w:p w14:paraId="5B6CEBA0">
      <w:pPr>
        <w:spacing w:line="640" w:lineRule="exact"/>
        <w:ind w:firstLine="640"/>
        <w:jc w:val="both"/>
        <w:outlineLvl w:val="2"/>
      </w:pPr>
      <w:r>
        <w:rPr>
          <w:rFonts w:ascii="黑体" w:hAnsi="黑体" w:eastAsia="黑体"/>
          <w:sz w:val="32"/>
        </w:rPr>
        <w:t>五、一般公共预算财政拨款支出决算情况说明</w:t>
      </w:r>
    </w:p>
    <w:p w14:paraId="4A7652C0">
      <w:pPr>
        <w:spacing w:line="640" w:lineRule="exact"/>
        <w:ind w:firstLine="640"/>
        <w:jc w:val="both"/>
        <w:outlineLvl w:val="3"/>
      </w:pPr>
      <w:r>
        <w:rPr>
          <w:rFonts w:ascii="楷体_GB2312" w:hAnsi="楷体_GB2312" w:eastAsia="楷体_GB2312"/>
          <w:b/>
          <w:sz w:val="32"/>
        </w:rPr>
        <w:t>（一）一般公共预算财政拨款支出决算总体情况</w:t>
      </w:r>
    </w:p>
    <w:p w14:paraId="17CC1D2F">
      <w:pPr>
        <w:spacing w:line="580" w:lineRule="exact"/>
        <w:ind w:firstLine="640"/>
        <w:jc w:val="both"/>
      </w:pPr>
      <w:r>
        <w:rPr>
          <w:rFonts w:ascii="仿宋_GB2312" w:hAnsi="仿宋_GB2312" w:eastAsia="仿宋_GB2312"/>
          <w:b/>
          <w:sz w:val="32"/>
        </w:rPr>
        <w:t>2024年度一般公共预算财政拨款支出994.87万元，</w:t>
      </w:r>
      <w:r>
        <w:rPr>
          <w:rFonts w:ascii="仿宋_GB2312" w:hAnsi="仿宋_GB2312" w:eastAsia="仿宋_GB2312"/>
          <w:b w:val="0"/>
          <w:sz w:val="32"/>
        </w:rPr>
        <w:t>占本年支出合计的98.21%。</w:t>
      </w:r>
      <w:r>
        <w:rPr>
          <w:rFonts w:ascii="仿宋_GB2312" w:hAnsi="仿宋_GB2312" w:eastAsia="仿宋_GB2312"/>
          <w:b/>
          <w:sz w:val="32"/>
        </w:rPr>
        <w:t>与上年相比，</w:t>
      </w:r>
      <w:r>
        <w:rPr>
          <w:rFonts w:ascii="仿宋_GB2312" w:hAnsi="仿宋_GB2312" w:eastAsia="仿宋_GB2312"/>
          <w:b w:val="0"/>
          <w:sz w:val="32"/>
        </w:rPr>
        <w:t>增加55.06万元，增长5.86%，主要原因是：1.本年在职人员工资调增，社保、公积金基数调增，人员经费增加。2.本年增加业务工作项目、基层政协补助项目经费。</w:t>
      </w:r>
      <w:r>
        <w:rPr>
          <w:rFonts w:ascii="仿宋_GB2312" w:hAnsi="仿宋_GB2312" w:eastAsia="仿宋_GB2312"/>
          <w:b/>
          <w:sz w:val="32"/>
        </w:rPr>
        <w:t>与年初预算相比,</w:t>
      </w:r>
      <w:r>
        <w:rPr>
          <w:rFonts w:ascii="仿宋_GB2312" w:hAnsi="仿宋_GB2312" w:eastAsia="仿宋_GB2312"/>
          <w:b w:val="0"/>
          <w:sz w:val="32"/>
        </w:rPr>
        <w:t>年初预算数908.30万元，决算数994.87万元，预决算差异率9.53%，主要原因是：年中追加人员工资、社保、公积金基数调增部分资金；年中追加民族团结联谊活动经费及交通费，导致预决算存在差异。</w:t>
      </w:r>
    </w:p>
    <w:p w14:paraId="5CA87A4F">
      <w:pPr>
        <w:spacing w:line="640" w:lineRule="exact"/>
        <w:ind w:firstLine="640"/>
        <w:jc w:val="both"/>
        <w:outlineLvl w:val="3"/>
      </w:pPr>
      <w:r>
        <w:rPr>
          <w:rFonts w:ascii="楷体_GB2312" w:hAnsi="楷体_GB2312" w:eastAsia="楷体_GB2312"/>
          <w:b/>
          <w:sz w:val="32"/>
        </w:rPr>
        <w:t>（二）一般公共预算财政拨款支出决算结构情况</w:t>
      </w:r>
    </w:p>
    <w:p w14:paraId="2A800F0F">
      <w:pPr>
        <w:spacing w:line="580" w:lineRule="exact"/>
        <w:ind w:firstLine="640"/>
        <w:jc w:val="both"/>
      </w:pPr>
      <w:r>
        <w:rPr>
          <w:rFonts w:ascii="仿宋_GB2312" w:hAnsi="仿宋_GB2312" w:eastAsia="仿宋_GB2312"/>
          <w:b w:val="0"/>
          <w:sz w:val="32"/>
        </w:rPr>
        <w:t>1.一般公共服务支出(类)680.99万元,占68.45%。</w:t>
      </w:r>
    </w:p>
    <w:p w14:paraId="6730CB9C">
      <w:pPr>
        <w:spacing w:line="580" w:lineRule="exact"/>
        <w:ind w:firstLine="640"/>
        <w:jc w:val="both"/>
      </w:pPr>
      <w:r>
        <w:rPr>
          <w:rFonts w:ascii="仿宋_GB2312" w:hAnsi="仿宋_GB2312" w:eastAsia="仿宋_GB2312"/>
          <w:b w:val="0"/>
          <w:sz w:val="32"/>
        </w:rPr>
        <w:t>2.社会保障和就业支出(类)223.36万元,占22.45%。</w:t>
      </w:r>
    </w:p>
    <w:p w14:paraId="1E7F3E1B">
      <w:pPr>
        <w:spacing w:line="580" w:lineRule="exact"/>
        <w:ind w:firstLine="640"/>
        <w:jc w:val="both"/>
      </w:pPr>
      <w:r>
        <w:rPr>
          <w:rFonts w:ascii="仿宋_GB2312" w:hAnsi="仿宋_GB2312" w:eastAsia="仿宋_GB2312"/>
          <w:b w:val="0"/>
          <w:sz w:val="32"/>
        </w:rPr>
        <w:t>3.卫生健康支出(类)35.02万元,占3.52%。</w:t>
      </w:r>
    </w:p>
    <w:p w14:paraId="1E9FB00E">
      <w:pPr>
        <w:spacing w:line="580" w:lineRule="exact"/>
        <w:ind w:firstLine="640"/>
        <w:jc w:val="both"/>
      </w:pPr>
      <w:r>
        <w:rPr>
          <w:rFonts w:ascii="仿宋_GB2312" w:hAnsi="仿宋_GB2312" w:eastAsia="仿宋_GB2312"/>
          <w:b w:val="0"/>
          <w:sz w:val="32"/>
        </w:rPr>
        <w:t>4.住房保障支出(类)55.50万元,占5.58%。</w:t>
      </w:r>
    </w:p>
    <w:p w14:paraId="6B3D0ABC">
      <w:pPr>
        <w:spacing w:line="640" w:lineRule="exact"/>
        <w:ind w:firstLine="640"/>
        <w:jc w:val="both"/>
        <w:outlineLvl w:val="3"/>
      </w:pPr>
      <w:r>
        <w:rPr>
          <w:rFonts w:ascii="楷体_GB2312" w:hAnsi="楷体_GB2312" w:eastAsia="楷体_GB2312"/>
          <w:b/>
          <w:sz w:val="32"/>
        </w:rPr>
        <w:t>（三）一般公共预算财政拨款支出决算具体情况</w:t>
      </w:r>
    </w:p>
    <w:p w14:paraId="2A394777">
      <w:pPr>
        <w:spacing w:line="580" w:lineRule="exact"/>
        <w:ind w:firstLine="640"/>
        <w:jc w:val="both"/>
      </w:pPr>
      <w:r>
        <w:rPr>
          <w:rFonts w:ascii="仿宋_GB2312" w:hAnsi="仿宋_GB2312" w:eastAsia="仿宋_GB2312"/>
          <w:b w:val="0"/>
          <w:sz w:val="32"/>
        </w:rPr>
        <w:t>1.一般公共服务支出(类)政协事务(款)行政运行(项):支出决算数为570.80万元，比上年决算增加12.47万元，增长2.23%,主要原因是：本年在职人员工资调增，导致相关人员经费较上年有所增加。</w:t>
      </w:r>
    </w:p>
    <w:p w14:paraId="51F582A9">
      <w:pPr>
        <w:spacing w:line="580" w:lineRule="exact"/>
        <w:ind w:firstLine="640"/>
        <w:jc w:val="both"/>
      </w:pPr>
      <w:r>
        <w:rPr>
          <w:rFonts w:ascii="仿宋_GB2312" w:hAnsi="仿宋_GB2312" w:eastAsia="仿宋_GB2312"/>
          <w:b w:val="0"/>
          <w:sz w:val="32"/>
        </w:rPr>
        <w:t>2.一般公共服务支出(类)政协事务(款)一般行政管理事务(项):支出决算数为80.39万元，比上年决算增加7.88万元，增长10.87%,主要原因是：本年综合保障工作项目经费增加。</w:t>
      </w:r>
    </w:p>
    <w:p w14:paraId="73BA6578">
      <w:pPr>
        <w:spacing w:line="580" w:lineRule="exact"/>
        <w:ind w:firstLine="640"/>
        <w:jc w:val="both"/>
      </w:pPr>
      <w:r>
        <w:rPr>
          <w:rFonts w:ascii="仿宋_GB2312" w:hAnsi="仿宋_GB2312" w:eastAsia="仿宋_GB2312"/>
          <w:b w:val="0"/>
          <w:sz w:val="32"/>
        </w:rPr>
        <w:t>3.一般公共服务支出(类)政协事务(款)其他政协事务支出(项):支出决算数为29.80万元，比上年决算增加19.08万元，增长177.99%,主要原因是：本年增加业务工作项目、基层政协补助项目经费。</w:t>
      </w:r>
    </w:p>
    <w:p w14:paraId="5E06CE8D">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4.社会保障和就业支出(类)行政事业单位养老支出(款)行政单位离退休(项):支出决算数为83.03万元，比上年决算增加14.95万元，增长21.96%,主要原因是：本年退休人员增加，退休费支出增加。</w:t>
      </w:r>
    </w:p>
    <w:p w14:paraId="40CC8EDA">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65.53万元，比上年决算增加3.58万元，增长5.78%,主要原因是：本年在职人员工资基数调增，养老缴费基数上涨，相应支出增加。</w:t>
      </w:r>
    </w:p>
    <w:p w14:paraId="5C95743C">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6.社会保障和就业支出(类)行政事业单位养老支出(款)机关事业单位职业年金缴费支出(项):支出决算数为49.50万元，比上年决算增加21.84万元，增长78.96%,主要原因是：本年新增退休人员，职业年金缴费支出增加。</w:t>
      </w:r>
    </w:p>
    <w:p w14:paraId="2B4DAED7">
      <w:pPr>
        <w:spacing w:line="580" w:lineRule="exact"/>
        <w:ind w:firstLine="640"/>
        <w:jc w:val="both"/>
      </w:pPr>
      <w:r>
        <w:rPr>
          <w:rFonts w:ascii="仿宋_GB2312" w:hAnsi="仿宋_GB2312" w:eastAsia="仿宋_GB2312"/>
          <w:b w:val="0"/>
          <w:sz w:val="32"/>
        </w:rPr>
        <w:t>7.社会保障和就业支出(类)抚恤(款)死亡抚恤(项):支出决算数为25.30万元，比上年决算减少28.54万元，下降53.01%,主要原因是：本年新增死亡人员较上年减少，死亡抚恤支出较上年减少。</w:t>
      </w:r>
    </w:p>
    <w:p w14:paraId="4E12B00E">
      <w:pPr>
        <w:spacing w:line="580" w:lineRule="exact"/>
        <w:ind w:firstLine="640"/>
        <w:jc w:val="both"/>
      </w:pPr>
      <w:r>
        <w:rPr>
          <w:rFonts w:ascii="仿宋_GB2312" w:hAnsi="仿宋_GB2312" w:eastAsia="仿宋_GB2312"/>
          <w:b w:val="0"/>
          <w:sz w:val="32"/>
        </w:rPr>
        <w:t>8.卫生健康支出(类)行政事业单位医疗(款)行政单位医疗(项):支出决算数为27.85万元，比上年决算增加0.30万元，增长1.09%,主要原因是：本年在职人员工资基数调增，医疗缴费基数上涨，相应支出增加。</w:t>
      </w:r>
    </w:p>
    <w:p w14:paraId="610045C7">
      <w:pPr>
        <w:spacing w:line="580" w:lineRule="exact"/>
        <w:ind w:firstLine="640"/>
        <w:jc w:val="both"/>
      </w:pPr>
      <w:r>
        <w:rPr>
          <w:rFonts w:ascii="仿宋_GB2312" w:hAnsi="仿宋_GB2312" w:eastAsia="仿宋_GB2312"/>
          <w:b w:val="0"/>
          <w:sz w:val="32"/>
        </w:rPr>
        <w:t>9.卫生健康支出(类)行政事业单位医疗(款)公务员医疗补助(项):支出决算数为7.17万元，比上年决算减少0.01万元，下降0.14%,主要原因是：本年在职人员减少，公务员医疗补助较上年减少。</w:t>
      </w:r>
    </w:p>
    <w:p w14:paraId="40E90D1E">
      <w:pPr>
        <w:spacing w:line="580" w:lineRule="exact"/>
        <w:ind w:firstLine="640"/>
        <w:jc w:val="both"/>
      </w:pPr>
      <w:r>
        <w:rPr>
          <w:rFonts w:ascii="仿宋_GB2312" w:hAnsi="仿宋_GB2312" w:eastAsia="仿宋_GB2312"/>
          <w:b w:val="0"/>
          <w:sz w:val="32"/>
        </w:rPr>
        <w:t>10.住房保障支出(类)住房改革支出(款)住房公积金(项):支出决算数为55.50万元，比上年决算增加4.45万元，增长8.72%,主要原因是：本年在职人员工资基数调增，公积金缴费基数上涨，相应支出增加。</w:t>
      </w:r>
    </w:p>
    <w:p w14:paraId="7928F687">
      <w:pPr>
        <w:spacing w:line="580" w:lineRule="exact"/>
        <w:ind w:firstLine="640"/>
        <w:jc w:val="both"/>
      </w:pPr>
      <w:r>
        <w:rPr>
          <w:rFonts w:ascii="仿宋_GB2312" w:hAnsi="仿宋_GB2312" w:eastAsia="仿宋_GB2312"/>
          <w:b w:val="0"/>
          <w:sz w:val="32"/>
        </w:rPr>
        <w:t>11.其他支出(类)其他支出(款)其他支出(项):支出决算数为0.00万元，比上年决算减少0.93万元，下降100.00%,主要原因是：上年国产替代化质保金专项项目已执行完毕，本年度未安排该项支出。</w:t>
      </w:r>
    </w:p>
    <w:p w14:paraId="2C767384">
      <w:pPr>
        <w:spacing w:line="640" w:lineRule="exact"/>
        <w:ind w:firstLine="640"/>
        <w:jc w:val="both"/>
        <w:outlineLvl w:val="2"/>
      </w:pPr>
      <w:r>
        <w:rPr>
          <w:rFonts w:ascii="黑体" w:hAnsi="黑体" w:eastAsia="黑体"/>
          <w:sz w:val="32"/>
        </w:rPr>
        <w:t>六、一般公共预算财政拨款基本支出决算情况说明</w:t>
      </w:r>
    </w:p>
    <w:p w14:paraId="3B0BB05D">
      <w:pPr>
        <w:spacing w:line="580" w:lineRule="exact"/>
        <w:ind w:firstLine="640"/>
        <w:jc w:val="both"/>
      </w:pPr>
      <w:r>
        <w:rPr>
          <w:rFonts w:ascii="仿宋_GB2312" w:hAnsi="仿宋_GB2312" w:eastAsia="仿宋_GB2312"/>
          <w:b w:val="0"/>
          <w:sz w:val="32"/>
        </w:rPr>
        <w:t>2024年度一般公共预算财政拨款基本支出884.68万元，其中：</w:t>
      </w:r>
      <w:r>
        <w:rPr>
          <w:rFonts w:ascii="仿宋_GB2312" w:hAnsi="仿宋_GB2312" w:eastAsia="仿宋_GB2312"/>
          <w:b/>
          <w:sz w:val="32"/>
        </w:rPr>
        <w:t>人员经费841.85万元，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离休费、退休费、抚恤金、生活补助、其他对个人和家庭的补助。</w:t>
      </w:r>
    </w:p>
    <w:p w14:paraId="184D77D4">
      <w:pPr>
        <w:spacing w:line="580" w:lineRule="exact"/>
        <w:ind w:firstLine="640"/>
        <w:jc w:val="both"/>
      </w:pPr>
      <w:r>
        <w:rPr>
          <w:rFonts w:ascii="仿宋_GB2312" w:hAnsi="仿宋_GB2312" w:eastAsia="仿宋_GB2312"/>
          <w:b/>
          <w:sz w:val="32"/>
        </w:rPr>
        <w:t>公用经费42.83万元，</w:t>
      </w:r>
      <w:r>
        <w:rPr>
          <w:rFonts w:ascii="仿宋_GB2312" w:hAnsi="仿宋_GB2312" w:eastAsia="仿宋_GB2312"/>
          <w:b w:val="0"/>
          <w:sz w:val="32"/>
        </w:rPr>
        <w:t>包括：办公费、水费、电费、邮电费、维修（护）费、专用材料费、劳务费、工会经费、公务用车运行维护费、其他交通费用、其他商品和服务支出。</w:t>
      </w:r>
    </w:p>
    <w:p w14:paraId="78BFC39F">
      <w:pPr>
        <w:spacing w:line="640" w:lineRule="exact"/>
        <w:ind w:firstLine="640"/>
        <w:jc w:val="both"/>
        <w:outlineLvl w:val="2"/>
      </w:pPr>
      <w:r>
        <w:rPr>
          <w:rFonts w:ascii="黑体" w:hAnsi="黑体" w:eastAsia="黑体"/>
          <w:sz w:val="32"/>
        </w:rPr>
        <w:t>七、政府性基金预算财政拨款收入支出决算情况说明</w:t>
      </w:r>
    </w:p>
    <w:p w14:paraId="545DDDD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7D4924B">
      <w:pPr>
        <w:spacing w:line="640" w:lineRule="exact"/>
        <w:ind w:firstLine="640"/>
        <w:jc w:val="both"/>
        <w:outlineLvl w:val="2"/>
      </w:pPr>
      <w:r>
        <w:rPr>
          <w:rFonts w:ascii="黑体" w:hAnsi="黑体" w:eastAsia="黑体"/>
          <w:sz w:val="32"/>
        </w:rPr>
        <w:t>八、国有资本经营预算财政拨款收入支出决算情况说明</w:t>
      </w:r>
    </w:p>
    <w:p w14:paraId="2028194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5585F0E">
      <w:pPr>
        <w:spacing w:line="640" w:lineRule="exact"/>
        <w:ind w:firstLine="640"/>
        <w:jc w:val="both"/>
        <w:outlineLvl w:val="2"/>
      </w:pPr>
      <w:r>
        <w:rPr>
          <w:rFonts w:ascii="黑体" w:hAnsi="黑体" w:eastAsia="黑体"/>
          <w:sz w:val="32"/>
        </w:rPr>
        <w:t>九、财政拨款“三公”经费支出决算情况说明</w:t>
      </w:r>
    </w:p>
    <w:p w14:paraId="4C5AF021">
      <w:pPr>
        <w:spacing w:line="580" w:lineRule="exact"/>
        <w:ind w:firstLine="640"/>
        <w:jc w:val="both"/>
      </w:pPr>
      <w:r>
        <w:rPr>
          <w:rFonts w:ascii="仿宋_GB2312" w:hAnsi="仿宋_GB2312" w:eastAsia="仿宋_GB2312"/>
          <w:b/>
          <w:sz w:val="32"/>
        </w:rPr>
        <w:t>2024年度财政拨款“三公”经费支出18.88万元，</w:t>
      </w:r>
      <w:r>
        <w:rPr>
          <w:rFonts w:ascii="仿宋_GB2312" w:hAnsi="仿宋_GB2312" w:eastAsia="仿宋_GB2312"/>
          <w:b w:val="0"/>
          <w:sz w:val="32"/>
        </w:rPr>
        <w:t>比上年减少0.02万元，下降0.11%，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18.88万元，占100.00%，比上年减少0.02万元，下降0.11%，主要原因是：严格落实中央八项规定精神，厉行节约，减少公务用车运行维护费。公务接待费支出0.00万元，占0.00%，比上年增加0.00万元，增长0.00%，主要原因是：2023年与2024年均未安排公务接待费支出。</w:t>
      </w:r>
    </w:p>
    <w:p w14:paraId="52B84BB2">
      <w:pPr>
        <w:spacing w:line="580" w:lineRule="exact"/>
        <w:ind w:firstLine="640"/>
        <w:jc w:val="both"/>
      </w:pPr>
      <w:r>
        <w:rPr>
          <w:rFonts w:ascii="仿宋_GB2312" w:hAnsi="仿宋_GB2312" w:eastAsia="仿宋_GB2312"/>
          <w:b/>
          <w:sz w:val="32"/>
        </w:rPr>
        <w:t>具体情况如下：</w:t>
      </w:r>
    </w:p>
    <w:p w14:paraId="31ABFC6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AFC13DA">
      <w:pPr>
        <w:spacing w:line="580" w:lineRule="exact"/>
        <w:ind w:firstLine="640"/>
        <w:jc w:val="both"/>
      </w:pPr>
      <w:r>
        <w:rPr>
          <w:rFonts w:ascii="仿宋_GB2312" w:hAnsi="仿宋_GB2312" w:eastAsia="仿宋_GB2312"/>
          <w:b w:val="0"/>
          <w:sz w:val="32"/>
        </w:rPr>
        <w:t>公务用车购置及运行维护费18.88万元，其中：公务用车购置费0.00万元，公务用车运行维护费18.88万元。公务用车运行维护费开支内容包括车辆加油费、维修费、保险费、审车费、过路费等。公务用车购置数0辆，公务用车保有量7辆。国有资产占用情况中固定资产车辆7辆，与公务用车保有量差异原因是：本单位固定资产车辆与公务用车保有量一致无差异。</w:t>
      </w:r>
    </w:p>
    <w:p w14:paraId="42D0B60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F4E5FA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18.88万元，决算数18.88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18.88万元，决算数18.88万元，预决算差异率0.00%，主要原因是：严格按照预算执行，预决算无差异。公务接待费全年预算数0.00万元，决算数0.00万元，预决算差异率0.00%，主要原因是：本单位无公务接待费。</w:t>
      </w:r>
    </w:p>
    <w:p w14:paraId="7A93C948">
      <w:pPr>
        <w:spacing w:line="640" w:lineRule="exact"/>
        <w:ind w:firstLine="640"/>
        <w:jc w:val="both"/>
        <w:outlineLvl w:val="2"/>
      </w:pPr>
      <w:r>
        <w:rPr>
          <w:rFonts w:ascii="黑体" w:hAnsi="黑体" w:eastAsia="黑体"/>
          <w:sz w:val="32"/>
        </w:rPr>
        <w:t>十、其他重要事项的情况说明</w:t>
      </w:r>
    </w:p>
    <w:p w14:paraId="4E2CECE7">
      <w:pPr>
        <w:spacing w:line="640" w:lineRule="exact"/>
        <w:ind w:firstLine="640"/>
        <w:jc w:val="both"/>
        <w:outlineLvl w:val="3"/>
      </w:pPr>
      <w:r>
        <w:rPr>
          <w:rFonts w:ascii="楷体_GB2312" w:hAnsi="楷体_GB2312" w:eastAsia="楷体_GB2312"/>
          <w:b/>
          <w:sz w:val="32"/>
        </w:rPr>
        <w:t>（一）机关运行经费及公用经费支出情况</w:t>
      </w:r>
    </w:p>
    <w:p w14:paraId="30B8534F">
      <w:pPr>
        <w:spacing w:line="580" w:lineRule="exact"/>
        <w:ind w:firstLine="640"/>
        <w:jc w:val="both"/>
      </w:pPr>
      <w:r>
        <w:rPr>
          <w:rFonts w:ascii="仿宋_GB2312" w:hAnsi="仿宋_GB2312" w:eastAsia="仿宋_GB2312"/>
          <w:b w:val="0"/>
          <w:sz w:val="32"/>
        </w:rPr>
        <w:t>2024年度政协新疆维吾尔自治区委员会喀什地区工作委员会（行政单位和参照公务员法管理事业单位）机关运行经费支出42.83万元，比上年减少15.44万元，下降26.50%，主要原因是：本年度整体开展培训减少，培训费减少，导致机关运行经费较上年减少。</w:t>
      </w:r>
    </w:p>
    <w:p w14:paraId="2C28D22E">
      <w:pPr>
        <w:spacing w:line="640" w:lineRule="exact"/>
        <w:ind w:firstLine="640"/>
        <w:jc w:val="both"/>
        <w:outlineLvl w:val="3"/>
      </w:pPr>
      <w:r>
        <w:rPr>
          <w:rFonts w:ascii="楷体_GB2312" w:hAnsi="楷体_GB2312" w:eastAsia="楷体_GB2312"/>
          <w:b/>
          <w:sz w:val="32"/>
        </w:rPr>
        <w:t>（二）政府采购情况</w:t>
      </w:r>
    </w:p>
    <w:p w14:paraId="079EE4B1">
      <w:pPr>
        <w:spacing w:line="580" w:lineRule="exact"/>
        <w:ind w:firstLine="640"/>
        <w:jc w:val="both"/>
      </w:pPr>
      <w:r>
        <w:rPr>
          <w:rFonts w:ascii="仿宋_GB2312" w:hAnsi="仿宋_GB2312" w:eastAsia="仿宋_GB2312"/>
          <w:b w:val="0"/>
          <w:sz w:val="32"/>
        </w:rPr>
        <w:t>2024年度政府采购支出总额37.41万元，其中：政府采购货物支出17.23万元、政府采购工程支出2.38万元、政府采购服务支出17.80万元。</w:t>
      </w:r>
    </w:p>
    <w:p w14:paraId="78E4BB0D">
      <w:pPr>
        <w:spacing w:line="580" w:lineRule="exact"/>
        <w:ind w:firstLine="640"/>
        <w:jc w:val="both"/>
      </w:pPr>
      <w:r>
        <w:rPr>
          <w:rFonts w:ascii="仿宋_GB2312" w:hAnsi="仿宋_GB2312" w:eastAsia="仿宋_GB2312"/>
          <w:b w:val="0"/>
          <w:sz w:val="32"/>
        </w:rPr>
        <w:t>授予中小企业合同金额31.31万元，占政府采购支出总额的83.69%，其中：授予小微企业合同金额2.50万元，占政府采购支出总额的6.68%。</w:t>
      </w:r>
    </w:p>
    <w:p w14:paraId="54751D11">
      <w:pPr>
        <w:spacing w:line="640" w:lineRule="exact"/>
        <w:ind w:firstLine="640"/>
        <w:jc w:val="both"/>
        <w:outlineLvl w:val="3"/>
      </w:pPr>
      <w:r>
        <w:rPr>
          <w:rFonts w:ascii="楷体_GB2312" w:hAnsi="楷体_GB2312" w:eastAsia="楷体_GB2312"/>
          <w:b/>
          <w:sz w:val="32"/>
        </w:rPr>
        <w:t>（三）国有资产占用情况说明</w:t>
      </w:r>
    </w:p>
    <w:p w14:paraId="654C81C3">
      <w:pPr>
        <w:spacing w:line="580" w:lineRule="exact"/>
        <w:ind w:firstLine="640"/>
        <w:jc w:val="both"/>
      </w:pPr>
      <w:r>
        <w:rPr>
          <w:rFonts w:ascii="仿宋_GB2312" w:hAnsi="仿宋_GB2312" w:eastAsia="仿宋_GB2312"/>
          <w:b w:val="0"/>
          <w:sz w:val="32"/>
        </w:rPr>
        <w:t>截至2024年12月31日，房屋9,187.00平方米，价值418.00万元。车辆7辆，价值275.13万元，其中：副部（省）级及以上领导用车0辆、主要负责人用车0辆、机要通信用车0辆、应急保障用车0辆、执法执勤用车0辆、特种专业技术用车0辆、离退休干部服务用车0辆、其他用车7辆，其他用车主要是：一般公务用车。单价100万元（含）以上设备（不含车辆）0台（套）。</w:t>
      </w:r>
    </w:p>
    <w:p w14:paraId="1B0B9DA9">
      <w:pPr>
        <w:spacing w:line="640" w:lineRule="exact"/>
        <w:ind w:firstLine="640"/>
        <w:jc w:val="both"/>
        <w:outlineLvl w:val="2"/>
      </w:pPr>
      <w:r>
        <w:rPr>
          <w:rFonts w:ascii="黑体" w:hAnsi="黑体" w:eastAsia="黑体"/>
          <w:sz w:val="32"/>
        </w:rPr>
        <w:t>十一、预算绩效的情况说明</w:t>
      </w:r>
    </w:p>
    <w:p w14:paraId="501FEC0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1,038.06万元，实际执行总额1,012.96万元；预算绩效评价项目5个，全年预算数92.48万元，全年执行数82.21万元。预算绩效管理取得的成效：全面推进预算绩效管理，一是构建全方位预算绩效管理格局。将单位收支预算、政策和项目支出预算，全面纳入绩效管理，增强预算统筹能力，提高单位的绩效水平。二是建立全过程预算绩效管理链条。将绩效理念和方法深度融入预算编制、执行、监督全过程，构建事前、事中、事后绩效管理闭环系统。开展全方位、全过程、全覆盖三个维度的预算管理。发</w:t>
      </w:r>
      <w:bookmarkStart w:id="0" w:name="_GoBack"/>
      <w:bookmarkEnd w:id="0"/>
      <w:r>
        <w:rPr>
          <w:rFonts w:ascii="仿宋_GB2312" w:hAnsi="仿宋_GB2312" w:eastAsia="仿宋_GB2312"/>
          <w:b w:val="0"/>
          <w:sz w:val="32"/>
        </w:rPr>
        <w:t>现的问题及原因：（1）绩效目标设置合理性不够，局限于岗位本身，没有从单位整体出发，对各项指标和指标值要进一步优化、完善。（2）采购流程不规范，缺少有效监管。一是部分采购人不按照采购文件执行，存在年初无采购预算而需要采购的情况。二是部分采购人分拆工程类采购项目，以规避招投标。三是存在先线下采购，后履行线上采购手续。发生提供商品的供应商无财政部门批准进入政府采购供应商的资格，无法完成采购流程。（3）项目负责人对项目的可行性研究不够重视，项目前期缺乏科学合理的预算机制及市场调研机制，导致项目执行不规范，项目预算执行率低。（4）固定资产管理制度执行不严，固定资产的实物与会计账簿登记的信息不相符，资产调配、报废、闲置资产管理不能精确到位。（5）内控意识淡薄，虽然建立了完备的内控制度，但重视程度不够，实际执行中不按照内控制度执行或不执行。下一步改进措施：（1）进一步严格落实财务工作规程与审批制度。一是明确岗位职责权限，做到不相容岗位相互分离，业务经办与授权审批更加科学、规范，财务运行更加高效。二是深入贯彻落实中央八项规定和党政机关带头“过紧日子”要求，杜绝发生违法、违规、违纪事件；三是严格落实“三重一大”重大项目、大额资金使用集体研究决定制度。四是严把原始票据与经济业务事项审核关，坚决杜绝虚假冒领发生。（2）进一步加强日常会计核算工作。常态化做好日常财政收入、支出、记账、对账、会计档案交接保管等工作。（3）进一步强化预算绩效管理工作。一是全面加强绩效目标管理，设置科学合理、细化量化、可比可测的地委机关预算整体绩效目标和项目绩效目标；二是做好项目绩效管理。对项目绩效目标实现程度和预算执行进度实行“双监管”，发现问题，及时纠偏；三是开展和引导绩效评价和结果应用。通过自评和外部评价结合的方式，引导项目执行人员将预算执行情况以及政策、项目实施效果等评价结果应用于预算编制中。（4）进一步规范政府采购程序工作。一是严格按照预算执行，做到厉行节约；二是采购标的须符合市场技术或服务水平、供应、价格等，资产配置标准科学合理；三是充分利用“政采云”平台，发布招标信息、采购意向、采购询价、做到线上采购全覆盖，采购过程公开、公平、公正，以最优价格取得相应服务。具体附整体支出绩效自评表，项目支出绩效自评表和评价报告。</w:t>
      </w:r>
    </w:p>
    <w:p w14:paraId="56DE148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D63361B">
        <w:tblPrEx>
          <w:tblCellMar>
            <w:top w:w="0" w:type="dxa"/>
            <w:left w:w="108" w:type="dxa"/>
            <w:bottom w:w="0" w:type="dxa"/>
            <w:right w:w="108" w:type="dxa"/>
          </w:tblCellMar>
        </w:tblPrEx>
        <w:tc>
          <w:tcPr>
            <w:tcW w:w="8847" w:type="dxa"/>
            <w:gridSpan w:val="9"/>
            <w:vAlign w:val="center"/>
          </w:tcPr>
          <w:p w14:paraId="26595499">
            <w:pPr>
              <w:jc w:val="center"/>
            </w:pPr>
            <w:r>
              <w:rPr>
                <w:rFonts w:ascii="宋体" w:hAnsi="宋体" w:eastAsia="宋体"/>
                <w:sz w:val="24"/>
              </w:rPr>
              <w:t>单位整体支出绩效自评表</w:t>
            </w:r>
          </w:p>
        </w:tc>
      </w:tr>
      <w:tr w14:paraId="79ADA20D">
        <w:tblPrEx>
          <w:tblCellMar>
            <w:top w:w="0" w:type="dxa"/>
            <w:left w:w="108" w:type="dxa"/>
            <w:bottom w:w="0" w:type="dxa"/>
            <w:right w:w="108" w:type="dxa"/>
          </w:tblCellMar>
        </w:tblPrEx>
        <w:tc>
          <w:tcPr>
            <w:tcW w:w="8847" w:type="dxa"/>
            <w:gridSpan w:val="9"/>
            <w:vAlign w:val="center"/>
          </w:tcPr>
          <w:p w14:paraId="6810E897">
            <w:pPr>
              <w:jc w:val="center"/>
            </w:pPr>
            <w:r>
              <w:rPr>
                <w:rFonts w:ascii="宋体" w:hAnsi="宋体" w:eastAsia="宋体"/>
                <w:sz w:val="24"/>
              </w:rPr>
              <w:t>（2024年度）</w:t>
            </w:r>
          </w:p>
        </w:tc>
      </w:tr>
      <w:tr w14:paraId="5E4C04F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631C0">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46BEE86">
            <w:pPr>
              <w:jc w:val="center"/>
            </w:pPr>
            <w:r>
              <w:rPr>
                <w:rFonts w:ascii="宋体" w:hAnsi="宋体" w:eastAsia="宋体"/>
                <w:sz w:val="16"/>
              </w:rPr>
              <w:t>政协新疆维吾尔自治区委员会喀什地区工作委员会</w:t>
            </w:r>
          </w:p>
        </w:tc>
      </w:tr>
      <w:tr w14:paraId="4709BB3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9400D2">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63B70">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6E38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8A64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3CE75">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3630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B3007">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1B587">
            <w:pPr>
              <w:jc w:val="center"/>
            </w:pPr>
            <w:r>
              <w:rPr>
                <w:rFonts w:ascii="宋体" w:hAnsi="宋体" w:eastAsia="宋体"/>
                <w:sz w:val="16"/>
              </w:rPr>
              <w:t>得分</w:t>
            </w:r>
          </w:p>
        </w:tc>
      </w:tr>
      <w:tr w14:paraId="495513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9722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CA3D6">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580EC">
            <w:pPr>
              <w:jc w:val="center"/>
            </w:pPr>
            <w:r>
              <w:rPr>
                <w:rFonts w:ascii="宋体" w:hAnsi="宋体" w:eastAsia="宋体"/>
                <w:sz w:val="16"/>
              </w:rPr>
              <w:t>939.29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F09E1">
            <w:pPr>
              <w:jc w:val="center"/>
            </w:pPr>
            <w:r>
              <w:rPr>
                <w:rFonts w:ascii="宋体" w:hAnsi="宋体" w:eastAsia="宋体"/>
                <w:sz w:val="16"/>
              </w:rPr>
              <w:t>1,038.06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8C6B4">
            <w:pPr>
              <w:jc w:val="center"/>
            </w:pPr>
            <w:r>
              <w:rPr>
                <w:rFonts w:ascii="宋体" w:hAnsi="宋体" w:eastAsia="宋体"/>
                <w:sz w:val="16"/>
              </w:rPr>
              <w:t>1,012.96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E65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DCD24">
            <w:pPr>
              <w:jc w:val="center"/>
            </w:pPr>
            <w:r>
              <w:rPr>
                <w:rFonts w:ascii="宋体" w:hAnsi="宋体" w:eastAsia="宋体"/>
                <w:sz w:val="16"/>
              </w:rPr>
              <w:t>97.58%</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31C8D">
            <w:pPr>
              <w:jc w:val="center"/>
            </w:pPr>
            <w:r>
              <w:rPr>
                <w:rFonts w:ascii="宋体" w:hAnsi="宋体" w:eastAsia="宋体"/>
                <w:sz w:val="16"/>
              </w:rPr>
              <w:t>9.76</w:t>
            </w:r>
          </w:p>
        </w:tc>
      </w:tr>
      <w:tr w14:paraId="600F21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8EA9F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15F94">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2FE12">
            <w:pPr>
              <w:jc w:val="center"/>
            </w:pPr>
            <w:r>
              <w:rPr>
                <w:rFonts w:ascii="宋体" w:hAnsi="宋体" w:eastAsia="宋体"/>
                <w:sz w:val="16"/>
              </w:rPr>
              <w:t>30.51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2E669">
            <w:pPr>
              <w:jc w:val="center"/>
            </w:pPr>
            <w:r>
              <w:rPr>
                <w:rFonts w:ascii="宋体" w:hAnsi="宋体" w:eastAsia="宋体"/>
                <w:sz w:val="16"/>
              </w:rPr>
              <w:t>44.80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3EF24">
            <w:pPr>
              <w:jc w:val="center"/>
            </w:pPr>
            <w:r>
              <w:rPr>
                <w:rFonts w:ascii="宋体" w:hAnsi="宋体" w:eastAsia="宋体"/>
                <w:sz w:val="16"/>
              </w:rPr>
              <w:t>44.80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1B00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BF93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D447C">
            <w:pPr>
              <w:jc w:val="center"/>
            </w:pPr>
            <w:r>
              <w:rPr>
                <w:rFonts w:ascii="宋体" w:hAnsi="宋体" w:eastAsia="宋体"/>
                <w:sz w:val="16"/>
              </w:rPr>
              <w:t>—</w:t>
            </w:r>
          </w:p>
        </w:tc>
      </w:tr>
      <w:tr w14:paraId="515E0E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4618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88C72">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1F70B">
            <w:pPr>
              <w:jc w:val="center"/>
            </w:pPr>
            <w:r>
              <w:rPr>
                <w:rFonts w:ascii="宋体" w:hAnsi="宋体" w:eastAsia="宋体"/>
                <w:sz w:val="16"/>
              </w:rPr>
              <w:t>877.79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EBC1F">
            <w:pPr>
              <w:jc w:val="center"/>
            </w:pPr>
            <w:r>
              <w:rPr>
                <w:rFonts w:ascii="宋体" w:hAnsi="宋体" w:eastAsia="宋体"/>
                <w:sz w:val="16"/>
              </w:rPr>
              <w:t>958.43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87641">
            <w:pPr>
              <w:jc w:val="center"/>
            </w:pPr>
            <w:r>
              <w:rPr>
                <w:rFonts w:ascii="宋体" w:hAnsi="宋体" w:eastAsia="宋体"/>
                <w:sz w:val="16"/>
              </w:rPr>
              <w:t>950.07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35E4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480E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61452">
            <w:pPr>
              <w:jc w:val="center"/>
            </w:pPr>
            <w:r>
              <w:rPr>
                <w:rFonts w:ascii="宋体" w:hAnsi="宋体" w:eastAsia="宋体"/>
                <w:sz w:val="16"/>
              </w:rPr>
              <w:t>—</w:t>
            </w:r>
          </w:p>
        </w:tc>
      </w:tr>
      <w:tr w14:paraId="08715E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4F48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DF315">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11CAE">
            <w:pPr>
              <w:jc w:val="center"/>
            </w:pPr>
            <w:r>
              <w:rPr>
                <w:rFonts w:ascii="宋体" w:hAnsi="宋体" w:eastAsia="宋体"/>
                <w:sz w:val="16"/>
              </w:rPr>
              <w:t>30.99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C955A">
            <w:pPr>
              <w:jc w:val="center"/>
            </w:pPr>
            <w:r>
              <w:rPr>
                <w:rFonts w:ascii="宋体" w:hAnsi="宋体" w:eastAsia="宋体"/>
                <w:sz w:val="16"/>
              </w:rPr>
              <w:t>34.83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84923">
            <w:pPr>
              <w:jc w:val="center"/>
            </w:pPr>
            <w:r>
              <w:rPr>
                <w:rFonts w:ascii="宋体" w:hAnsi="宋体" w:eastAsia="宋体"/>
                <w:sz w:val="16"/>
              </w:rPr>
              <w:t>18.09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3853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A5F3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3D00D">
            <w:pPr>
              <w:jc w:val="center"/>
            </w:pPr>
            <w:r>
              <w:rPr>
                <w:rFonts w:ascii="宋体" w:hAnsi="宋体" w:eastAsia="宋体"/>
                <w:sz w:val="16"/>
              </w:rPr>
              <w:t>—</w:t>
            </w:r>
          </w:p>
        </w:tc>
      </w:tr>
      <w:tr w14:paraId="7EF1C89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F229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307D4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1BA7AB">
            <w:pPr>
              <w:jc w:val="center"/>
            </w:pPr>
            <w:r>
              <w:rPr>
                <w:rFonts w:ascii="宋体" w:hAnsi="宋体" w:eastAsia="宋体"/>
                <w:sz w:val="16"/>
              </w:rPr>
              <w:t>实际完成情况</w:t>
            </w:r>
          </w:p>
        </w:tc>
      </w:tr>
      <w:tr w14:paraId="2230C8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26566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0A2CC7">
            <w:pPr>
              <w:jc w:val="both"/>
            </w:pPr>
            <w:r>
              <w:rPr>
                <w:rFonts w:ascii="宋体" w:hAnsi="宋体" w:eastAsia="宋体"/>
                <w:sz w:val="16"/>
              </w:rPr>
              <w:t>按照《政协喀什地区工委党组2024年工作要点》总体要求，通过落实年度协商计划3次，开展界别（调研）协商次数11次 ，开展专题调研4次，开展委员视察活动2次，召开协商座谈会4次，组织政协委员、县市政协干部开展学习培训2次，团结动员地区各级政协组织、政协各参加单位和各族各界政协委员，围绕“一个中心”、坚持“两个发力”、提高“三个水平”、增强“四个能力”、完善“五个机制”、抓好“六项工作”，统筹发展和安全，统筹开放，坚持有事多商量、遇事多商量、做事多商量，加强制度化、规范化、程序化功能建设，把政协制度优势转化为喀什治理效能，为推进中国式现代化喀什实践贡献政协智慧和力量。</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B7E6E0">
            <w:pPr>
              <w:jc w:val="both"/>
            </w:pPr>
            <w:r>
              <w:rPr>
                <w:rFonts w:ascii="宋体" w:hAnsi="宋体" w:eastAsia="宋体"/>
                <w:sz w:val="16"/>
              </w:rPr>
              <w:t>本项目按照工作要点完成了3次协商计划，界别（调研）协商11次，专题调研4次，委员视察活动2次，协商座谈会3次，培训2次。紧紧围绕地委中心任务，坚持以铸牢中华民族共同体意识为主线，紧扣完整准确全面贯彻新时代党的治疆方略和事关喀什长治久安的根本性、基础性、长远性问题，深入协商议政、积极建言献策，上报的协商报告、调研报告等均得到地委主要领导批示。</w:t>
            </w:r>
          </w:p>
        </w:tc>
      </w:tr>
      <w:tr w14:paraId="5B2A830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C3A5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2F22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FEEC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F52B2">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E9CD4">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6E9D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CB81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DD561">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C0D3C">
            <w:pPr>
              <w:jc w:val="center"/>
            </w:pPr>
            <w:r>
              <w:rPr>
                <w:rFonts w:ascii="宋体" w:hAnsi="宋体" w:eastAsia="宋体"/>
                <w:sz w:val="16"/>
              </w:rPr>
              <w:t>得分</w:t>
            </w:r>
          </w:p>
        </w:tc>
      </w:tr>
      <w:tr w14:paraId="629502A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477C1">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13B33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D1349">
            <w:pPr>
              <w:jc w:val="center"/>
            </w:pPr>
            <w:r>
              <w:rPr>
                <w:rFonts w:ascii="宋体" w:hAnsi="宋体" w:eastAsia="宋体"/>
                <w:sz w:val="16"/>
              </w:rPr>
              <w:t>落实年度协商计划次数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A6DDE">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9A72F">
            <w:pPr>
              <w:jc w:val="center"/>
            </w:pPr>
            <w:r>
              <w:rPr>
                <w:rFonts w:ascii="宋体" w:hAnsi="宋体" w:eastAsia="宋体"/>
                <w:sz w:val="16"/>
              </w:rPr>
              <w:t>关于印发《政协喀什地区工委党组2024年工作要点》的通知（喀协党发</w:t>
            </w:r>
            <w:r>
              <w:rPr>
                <w:rFonts w:hint="eastAsia" w:ascii="宋体" w:hAnsi="宋体"/>
                <w:sz w:val="16"/>
                <w:lang w:eastAsia="zh-CN"/>
              </w:rPr>
              <w:t>〔2024〕1号</w:t>
            </w: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83CC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6E578">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678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C1922">
            <w:pPr>
              <w:jc w:val="center"/>
            </w:pPr>
            <w:r>
              <w:rPr>
                <w:rFonts w:ascii="宋体" w:hAnsi="宋体" w:eastAsia="宋体"/>
                <w:sz w:val="16"/>
              </w:rPr>
              <w:t>15</w:t>
            </w:r>
          </w:p>
        </w:tc>
      </w:tr>
      <w:tr w14:paraId="187FBF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4D7D6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1790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21EE5">
            <w:pPr>
              <w:jc w:val="center"/>
            </w:pPr>
            <w:r>
              <w:rPr>
                <w:rFonts w:ascii="宋体" w:hAnsi="宋体" w:eastAsia="宋体"/>
                <w:sz w:val="16"/>
              </w:rPr>
              <w:t>界别（调研）协商次数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13F4E">
            <w:pPr>
              <w:jc w:val="center"/>
            </w:pPr>
            <w:r>
              <w:rPr>
                <w:rFonts w:ascii="宋体" w:hAnsi="宋体" w:eastAsia="宋体"/>
                <w:sz w:val="16"/>
              </w:rPr>
              <w:t>&gt;=11次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26E1D">
            <w:pPr>
              <w:jc w:val="center"/>
            </w:pPr>
            <w:r>
              <w:rPr>
                <w:rFonts w:ascii="宋体" w:hAnsi="宋体" w:eastAsia="宋体"/>
                <w:sz w:val="16"/>
              </w:rPr>
              <w:t>关于印发《政协喀什地区工委党组2024年工作要点》的通知（喀协党发</w:t>
            </w:r>
            <w:r>
              <w:rPr>
                <w:rFonts w:hint="eastAsia" w:ascii="宋体" w:hAnsi="宋体"/>
                <w:sz w:val="16"/>
                <w:lang w:eastAsia="zh-CN"/>
              </w:rPr>
              <w:t>〔2024〕1号</w:t>
            </w:r>
            <w:r>
              <w:rPr>
                <w:rFonts w:ascii="宋体" w:hAnsi="宋体" w:eastAsia="宋体"/>
                <w:sz w:val="16"/>
              </w:rPr>
              <w:t>）；2.关于印发《政协喀什地区工作委员会2024年协商计划》的通知（喀协</w:t>
            </w:r>
            <w:r>
              <w:rPr>
                <w:rFonts w:hint="eastAsia" w:ascii="宋体" w:hAnsi="宋体"/>
                <w:sz w:val="16"/>
                <w:lang w:eastAsia="zh-CN"/>
              </w:rPr>
              <w:t>〔2024〕1号</w:t>
            </w: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CDB1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3F250">
            <w:pPr>
              <w:jc w:val="center"/>
            </w:pPr>
            <w:r>
              <w:rPr>
                <w:rFonts w:ascii="宋体" w:hAnsi="宋体" w:eastAsia="宋体"/>
                <w:sz w:val="16"/>
              </w:rPr>
              <w:t>11次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3816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4A118">
            <w:pPr>
              <w:jc w:val="center"/>
            </w:pPr>
            <w:r>
              <w:rPr>
                <w:rFonts w:ascii="宋体" w:hAnsi="宋体" w:eastAsia="宋体"/>
                <w:sz w:val="16"/>
              </w:rPr>
              <w:t>15</w:t>
            </w:r>
          </w:p>
        </w:tc>
      </w:tr>
      <w:tr w14:paraId="77035E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4842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4917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40A55">
            <w:pPr>
              <w:jc w:val="center"/>
            </w:pPr>
            <w:r>
              <w:rPr>
                <w:rFonts w:ascii="宋体" w:hAnsi="宋体" w:eastAsia="宋体"/>
                <w:sz w:val="16"/>
              </w:rPr>
              <w:t>专题调研次数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89A52">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0CD9A">
            <w:pPr>
              <w:jc w:val="center"/>
            </w:pPr>
            <w:r>
              <w:rPr>
                <w:rFonts w:ascii="宋体" w:hAnsi="宋体" w:eastAsia="宋体"/>
                <w:sz w:val="16"/>
              </w:rPr>
              <w:t>关于印发《政协喀什地区工委党组2024年工作要点》的通知（喀协党发</w:t>
            </w:r>
            <w:r>
              <w:rPr>
                <w:rFonts w:hint="eastAsia" w:ascii="宋体" w:hAnsi="宋体"/>
                <w:sz w:val="16"/>
                <w:lang w:eastAsia="zh-CN"/>
              </w:rPr>
              <w:t>〔2024〕1号</w:t>
            </w:r>
            <w:r>
              <w:rPr>
                <w:rFonts w:ascii="宋体" w:hAnsi="宋体" w:eastAsia="宋体"/>
                <w:sz w:val="16"/>
              </w:rPr>
              <w:t>）；2.关于印发《政协喀什地区工作委员会2024年协商计划》的通知（喀协</w:t>
            </w:r>
            <w:r>
              <w:rPr>
                <w:rFonts w:hint="eastAsia" w:ascii="宋体" w:hAnsi="宋体"/>
                <w:sz w:val="16"/>
                <w:lang w:eastAsia="zh-CN"/>
              </w:rPr>
              <w:t>〔2024〕1号</w:t>
            </w: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F630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76C0E">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494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34DF6">
            <w:pPr>
              <w:jc w:val="center"/>
            </w:pPr>
            <w:r>
              <w:rPr>
                <w:rFonts w:ascii="宋体" w:hAnsi="宋体" w:eastAsia="宋体"/>
                <w:sz w:val="16"/>
              </w:rPr>
              <w:t>15</w:t>
            </w:r>
          </w:p>
        </w:tc>
      </w:tr>
      <w:tr w14:paraId="157C6E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18A0E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B435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537D2">
            <w:pPr>
              <w:jc w:val="center"/>
            </w:pPr>
            <w:r>
              <w:rPr>
                <w:rFonts w:ascii="宋体" w:hAnsi="宋体" w:eastAsia="宋体"/>
                <w:sz w:val="16"/>
              </w:rPr>
              <w:t>开展委员视察活动次数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AD3FF">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15B59">
            <w:pPr>
              <w:jc w:val="center"/>
            </w:pPr>
            <w:r>
              <w:rPr>
                <w:rFonts w:ascii="宋体" w:hAnsi="宋体" w:eastAsia="宋体"/>
                <w:sz w:val="16"/>
              </w:rPr>
              <w:t>关于印发《政协喀什地区工委党组2024年工作要点》的通知（喀协党发</w:t>
            </w:r>
            <w:r>
              <w:rPr>
                <w:rFonts w:hint="eastAsia" w:ascii="宋体" w:hAnsi="宋体"/>
                <w:sz w:val="16"/>
                <w:lang w:eastAsia="zh-CN"/>
              </w:rPr>
              <w:t>〔2024〕1号</w:t>
            </w:r>
            <w:r>
              <w:rPr>
                <w:rFonts w:ascii="宋体" w:hAnsi="宋体" w:eastAsia="宋体"/>
                <w:sz w:val="16"/>
              </w:rPr>
              <w:t>）；2.关于印发《政协喀什地区工作委员会2024年协商计划》的通知（喀协</w:t>
            </w:r>
            <w:r>
              <w:rPr>
                <w:rFonts w:hint="eastAsia" w:ascii="宋体" w:hAnsi="宋体"/>
                <w:sz w:val="16"/>
                <w:lang w:eastAsia="zh-CN"/>
              </w:rPr>
              <w:t>〔2024〕1号</w:t>
            </w: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04B5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FB3F3">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4989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CB2A0">
            <w:pPr>
              <w:jc w:val="center"/>
            </w:pPr>
            <w:r>
              <w:rPr>
                <w:rFonts w:ascii="宋体" w:hAnsi="宋体" w:eastAsia="宋体"/>
                <w:sz w:val="16"/>
              </w:rPr>
              <w:t>15</w:t>
            </w:r>
          </w:p>
        </w:tc>
      </w:tr>
      <w:tr w14:paraId="41A153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F415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C856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334F7">
            <w:pPr>
              <w:jc w:val="center"/>
            </w:pPr>
            <w:r>
              <w:rPr>
                <w:rFonts w:ascii="宋体" w:hAnsi="宋体" w:eastAsia="宋体"/>
                <w:sz w:val="16"/>
              </w:rPr>
              <w:t>开展考察活动次数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805CF">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F26C4">
            <w:pPr>
              <w:jc w:val="center"/>
            </w:pPr>
            <w:r>
              <w:rPr>
                <w:rFonts w:ascii="宋体" w:hAnsi="宋体" w:eastAsia="宋体"/>
                <w:sz w:val="16"/>
              </w:rPr>
              <w:t>关于印发《政协喀什地区工委党组2024年工作要点》的通知（喀协党发</w:t>
            </w:r>
            <w:r>
              <w:rPr>
                <w:rFonts w:hint="eastAsia" w:ascii="宋体" w:hAnsi="宋体"/>
                <w:sz w:val="16"/>
                <w:lang w:eastAsia="zh-CN"/>
              </w:rPr>
              <w:t>〔2024〕1号</w:t>
            </w: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8748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0EB48">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D28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7C05A">
            <w:pPr>
              <w:jc w:val="center"/>
            </w:pPr>
            <w:r>
              <w:rPr>
                <w:rFonts w:ascii="宋体" w:hAnsi="宋体" w:eastAsia="宋体"/>
                <w:sz w:val="16"/>
              </w:rPr>
              <w:t>10</w:t>
            </w:r>
          </w:p>
        </w:tc>
      </w:tr>
      <w:tr w14:paraId="2B122D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436E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6C06A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E85D3">
            <w:pPr>
              <w:jc w:val="center"/>
            </w:pPr>
            <w:r>
              <w:rPr>
                <w:rFonts w:ascii="宋体" w:hAnsi="宋体" w:eastAsia="宋体"/>
                <w:sz w:val="16"/>
              </w:rPr>
              <w:t>召开协商座谈会次数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BFFFB">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E0496">
            <w:pPr>
              <w:jc w:val="center"/>
            </w:pPr>
            <w:r>
              <w:rPr>
                <w:rFonts w:ascii="宋体" w:hAnsi="宋体" w:eastAsia="宋体"/>
                <w:sz w:val="16"/>
              </w:rPr>
              <w:t>关于印发《政协喀什地区工委党组2024年工作要点》的通知（喀协党发</w:t>
            </w:r>
            <w:r>
              <w:rPr>
                <w:rFonts w:hint="eastAsia" w:ascii="宋体" w:hAnsi="宋体"/>
                <w:sz w:val="16"/>
                <w:lang w:eastAsia="zh-CN"/>
              </w:rPr>
              <w:t>〔2024〕1号</w:t>
            </w: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1F79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F4DE5">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6A3D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BFF06">
            <w:pPr>
              <w:jc w:val="center"/>
            </w:pPr>
            <w:r>
              <w:rPr>
                <w:rFonts w:ascii="宋体" w:hAnsi="宋体" w:eastAsia="宋体"/>
                <w:sz w:val="16"/>
              </w:rPr>
              <w:t>10</w:t>
            </w:r>
          </w:p>
        </w:tc>
      </w:tr>
      <w:tr w14:paraId="1B137A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37B26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D8E3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BDEBD">
            <w:pPr>
              <w:jc w:val="center"/>
            </w:pPr>
            <w:r>
              <w:rPr>
                <w:rFonts w:ascii="宋体" w:hAnsi="宋体" w:eastAsia="宋体"/>
                <w:sz w:val="16"/>
              </w:rPr>
              <w:t>组织政协委员、县市政协干部开展学习培训次数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60E27">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BBD73">
            <w:pPr>
              <w:jc w:val="center"/>
            </w:pPr>
            <w:r>
              <w:rPr>
                <w:rFonts w:ascii="宋体" w:hAnsi="宋体" w:eastAsia="宋体"/>
                <w:sz w:val="16"/>
              </w:rPr>
              <w:t>关于印发《政协喀什地区工委党组2024年工作要点》的通知（喀协党发</w:t>
            </w:r>
            <w:r>
              <w:rPr>
                <w:rFonts w:hint="eastAsia" w:ascii="宋体" w:hAnsi="宋体"/>
                <w:sz w:val="16"/>
                <w:lang w:eastAsia="zh-CN"/>
              </w:rPr>
              <w:t>〔2024〕1号</w:t>
            </w: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AC4D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11F1D">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CE7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3743D">
            <w:pPr>
              <w:jc w:val="center"/>
            </w:pPr>
            <w:r>
              <w:rPr>
                <w:rFonts w:ascii="宋体" w:hAnsi="宋体" w:eastAsia="宋体"/>
                <w:sz w:val="16"/>
              </w:rPr>
              <w:t>10</w:t>
            </w:r>
          </w:p>
        </w:tc>
      </w:tr>
    </w:tbl>
    <w:p w14:paraId="7A1FDD8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85BEA89">
        <w:tblPrEx>
          <w:tblCellMar>
            <w:top w:w="0" w:type="dxa"/>
            <w:left w:w="108" w:type="dxa"/>
            <w:bottom w:w="0" w:type="dxa"/>
            <w:right w:w="108" w:type="dxa"/>
          </w:tblCellMar>
        </w:tblPrEx>
        <w:tc>
          <w:tcPr>
            <w:tcW w:w="8848" w:type="dxa"/>
            <w:gridSpan w:val="14"/>
            <w:vAlign w:val="center"/>
          </w:tcPr>
          <w:p w14:paraId="71A58B14">
            <w:pPr>
              <w:jc w:val="center"/>
            </w:pPr>
            <w:r>
              <w:rPr>
                <w:rFonts w:ascii="宋体" w:hAnsi="宋体" w:eastAsia="宋体"/>
                <w:sz w:val="24"/>
              </w:rPr>
              <w:t>项目支出绩效自评表</w:t>
            </w:r>
          </w:p>
        </w:tc>
      </w:tr>
      <w:tr w14:paraId="6CB71465">
        <w:tblPrEx>
          <w:tblCellMar>
            <w:top w:w="0" w:type="dxa"/>
            <w:left w:w="108" w:type="dxa"/>
            <w:bottom w:w="0" w:type="dxa"/>
            <w:right w:w="108" w:type="dxa"/>
          </w:tblCellMar>
        </w:tblPrEx>
        <w:tc>
          <w:tcPr>
            <w:tcW w:w="8848" w:type="dxa"/>
            <w:gridSpan w:val="14"/>
            <w:vAlign w:val="center"/>
          </w:tcPr>
          <w:p w14:paraId="44AAD715">
            <w:pPr>
              <w:jc w:val="center"/>
            </w:pPr>
            <w:r>
              <w:rPr>
                <w:rFonts w:ascii="宋体" w:hAnsi="宋体" w:eastAsia="宋体"/>
                <w:sz w:val="24"/>
              </w:rPr>
              <w:t>(2024年度)</w:t>
            </w:r>
          </w:p>
        </w:tc>
      </w:tr>
      <w:tr w14:paraId="2B3E29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8AA2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BB6BD6">
            <w:pPr>
              <w:jc w:val="center"/>
            </w:pPr>
            <w:r>
              <w:rPr>
                <w:rFonts w:ascii="宋体" w:hAnsi="宋体" w:eastAsia="宋体"/>
                <w:sz w:val="16"/>
              </w:rPr>
              <w:t>政协专项业务项目</w:t>
            </w:r>
          </w:p>
        </w:tc>
      </w:tr>
      <w:tr w14:paraId="2AB79B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5A93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0F1DF3">
            <w:pPr>
              <w:jc w:val="center"/>
            </w:pPr>
            <w:r>
              <w:rPr>
                <w:rFonts w:ascii="宋体" w:hAnsi="宋体" w:eastAsia="宋体"/>
                <w:sz w:val="16"/>
              </w:rPr>
              <w:t>喀什地区政协工委办公室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9C04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A25F80">
            <w:pPr>
              <w:jc w:val="center"/>
            </w:pPr>
            <w:r>
              <w:rPr>
                <w:rFonts w:ascii="宋体" w:hAnsi="宋体" w:eastAsia="宋体"/>
                <w:sz w:val="16"/>
              </w:rPr>
              <w:t>政协新疆维吾尔自治区委员会喀什地区工作委员会</w:t>
            </w:r>
          </w:p>
        </w:tc>
      </w:tr>
      <w:tr w14:paraId="3CCC6D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686C3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1FCC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BCD2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1D74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95B7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EE28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4A96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62DA4">
            <w:pPr>
              <w:jc w:val="center"/>
            </w:pPr>
            <w:r>
              <w:rPr>
                <w:rFonts w:ascii="宋体" w:hAnsi="宋体" w:eastAsia="宋体"/>
                <w:sz w:val="16"/>
              </w:rPr>
              <w:t>得分</w:t>
            </w:r>
          </w:p>
        </w:tc>
      </w:tr>
      <w:tr w14:paraId="091504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F46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7505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F02AA">
            <w:pPr>
              <w:jc w:val="center"/>
            </w:pPr>
            <w:r>
              <w:rPr>
                <w:rFonts w:ascii="宋体" w:hAnsi="宋体" w:eastAsia="宋体"/>
                <w:sz w:val="16"/>
              </w:rPr>
              <w:t>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C9F17">
            <w:pPr>
              <w:jc w:val="center"/>
            </w:pPr>
            <w:r>
              <w:rPr>
                <w:rFonts w:ascii="宋体" w:hAnsi="宋体" w:eastAsia="宋体"/>
                <w:sz w:val="16"/>
              </w:rPr>
              <w:t>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51AA5">
            <w:pPr>
              <w:jc w:val="center"/>
            </w:pPr>
            <w:r>
              <w:rPr>
                <w:rFonts w:ascii="宋体" w:hAnsi="宋体" w:eastAsia="宋体"/>
                <w:sz w:val="16"/>
              </w:rPr>
              <w:t>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78E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D3AE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B05B0">
            <w:pPr>
              <w:jc w:val="center"/>
            </w:pPr>
            <w:r>
              <w:rPr>
                <w:rFonts w:ascii="宋体" w:hAnsi="宋体" w:eastAsia="宋体"/>
                <w:sz w:val="16"/>
              </w:rPr>
              <w:t>10.00分</w:t>
            </w:r>
          </w:p>
        </w:tc>
      </w:tr>
      <w:tr w14:paraId="167F19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B27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CBFE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96F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8AA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4BB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C1A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B9D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63A28">
            <w:pPr>
              <w:jc w:val="center"/>
            </w:pPr>
            <w:r>
              <w:rPr>
                <w:rFonts w:ascii="宋体" w:hAnsi="宋体" w:eastAsia="宋体"/>
                <w:sz w:val="16"/>
              </w:rPr>
              <w:t>—</w:t>
            </w:r>
          </w:p>
        </w:tc>
      </w:tr>
      <w:tr w14:paraId="3C11C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979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BF85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AE41A">
            <w:pPr>
              <w:jc w:val="center"/>
            </w:pPr>
            <w:r>
              <w:rPr>
                <w:rFonts w:ascii="宋体" w:hAnsi="宋体" w:eastAsia="宋体"/>
                <w:sz w:val="16"/>
              </w:rPr>
              <w:t>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28B9F">
            <w:pPr>
              <w:jc w:val="center"/>
            </w:pPr>
            <w:r>
              <w:rPr>
                <w:rFonts w:ascii="宋体" w:hAnsi="宋体" w:eastAsia="宋体"/>
                <w:sz w:val="16"/>
              </w:rPr>
              <w:t>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89CA6">
            <w:pPr>
              <w:jc w:val="center"/>
            </w:pPr>
            <w:r>
              <w:rPr>
                <w:rFonts w:ascii="宋体" w:hAnsi="宋体" w:eastAsia="宋体"/>
                <w:sz w:val="16"/>
              </w:rPr>
              <w:t>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C67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362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3078F">
            <w:pPr>
              <w:jc w:val="center"/>
            </w:pPr>
            <w:r>
              <w:rPr>
                <w:rFonts w:ascii="宋体" w:hAnsi="宋体" w:eastAsia="宋体"/>
                <w:sz w:val="16"/>
              </w:rPr>
              <w:t>—</w:t>
            </w:r>
          </w:p>
        </w:tc>
      </w:tr>
      <w:tr w14:paraId="71E260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4094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5858B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633913">
            <w:pPr>
              <w:jc w:val="center"/>
            </w:pPr>
            <w:r>
              <w:rPr>
                <w:rFonts w:ascii="宋体" w:hAnsi="宋体" w:eastAsia="宋体"/>
                <w:sz w:val="16"/>
              </w:rPr>
              <w:t>实际完成情况</w:t>
            </w:r>
          </w:p>
        </w:tc>
      </w:tr>
      <w:tr w14:paraId="67A58E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E6B7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634A7A">
            <w:pPr>
              <w:jc w:val="both"/>
            </w:pPr>
            <w:r>
              <w:rPr>
                <w:rFonts w:ascii="宋体" w:hAnsi="宋体" w:eastAsia="宋体"/>
                <w:sz w:val="16"/>
              </w:rPr>
              <w:t>该项目预期开展1次地区政协工委举办“同心筑梦 共庆华诞”--庆祝中华人民共和国成立75周年、庆祝人民政协成立75周年书画作品展。通过书画作品特有的艺术语言，定格时代瞬间，记录辉煌岁月，折射历史变迁，反映全地区人民政协事业的发展历程和重要成果，反映广大政协委员、政协机关工作者、政协各参加单位人员的精神面貌。地委办公室为政协工委机关新调剂5间办公室，需购置办公家具2张，用来改善政协工委机关办公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A1FE4F">
            <w:pPr>
              <w:jc w:val="both"/>
            </w:pPr>
            <w:r>
              <w:rPr>
                <w:rFonts w:ascii="宋体" w:hAnsi="宋体" w:eastAsia="宋体"/>
                <w:sz w:val="16"/>
              </w:rPr>
              <w:t>本项目开展了1次地区政协工委举</w:t>
            </w:r>
            <w:r>
              <w:rPr>
                <w:rFonts w:hint="eastAsia" w:ascii="宋体" w:hAnsi="宋体"/>
                <w:sz w:val="16"/>
                <w:lang w:eastAsia="zh-CN"/>
              </w:rPr>
              <w:t>办的</w:t>
            </w:r>
            <w:r>
              <w:rPr>
                <w:rFonts w:ascii="宋体" w:hAnsi="宋体" w:eastAsia="宋体"/>
                <w:sz w:val="16"/>
              </w:rPr>
              <w:t>“同心筑梦 共庆华诞”--庆祝中华人民共和国成立75周年、庆祝人民政协成立75周年书画作品展，通过书画展反映全地区人民政协事业发展历程和传承弘扬中华优秀传统文化，为繁荣喀什文化事业作出贡献。</w:t>
            </w:r>
          </w:p>
        </w:tc>
      </w:tr>
      <w:tr w14:paraId="749496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8E2F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75A6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D6CA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AC2A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736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F80E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DF90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803F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0404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CC5E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8952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7FE9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7AFAE">
            <w:pPr>
              <w:jc w:val="center"/>
            </w:pPr>
            <w:r>
              <w:rPr>
                <w:rFonts w:ascii="宋体" w:hAnsi="宋体" w:eastAsia="宋体"/>
                <w:sz w:val="16"/>
              </w:rPr>
              <w:t>偏差原因分析及改进措施</w:t>
            </w:r>
          </w:p>
        </w:tc>
      </w:tr>
      <w:tr w14:paraId="54BD2F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14B0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8246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FD91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D4569">
            <w:pPr>
              <w:jc w:val="center"/>
            </w:pPr>
            <w:r>
              <w:rPr>
                <w:rFonts w:ascii="宋体" w:hAnsi="宋体" w:eastAsia="宋体"/>
                <w:sz w:val="16"/>
              </w:rPr>
              <w:t>开展活动次数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30BE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CAA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E45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ECE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ACDF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C57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611D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65F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66F81">
            <w:pPr>
              <w:jc w:val="center"/>
            </w:pPr>
          </w:p>
        </w:tc>
      </w:tr>
      <w:tr w14:paraId="370582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A1B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615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4F3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AABB1">
            <w:pPr>
              <w:jc w:val="center"/>
            </w:pPr>
            <w:r>
              <w:rPr>
                <w:rFonts w:ascii="宋体" w:hAnsi="宋体" w:eastAsia="宋体"/>
                <w:sz w:val="16"/>
              </w:rPr>
              <w:t>采购办公家具数量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6B8E0">
            <w:pPr>
              <w:jc w:val="center"/>
            </w:pPr>
            <w:r>
              <w:rPr>
                <w:rFonts w:ascii="宋体" w:hAnsi="宋体" w:eastAsia="宋体"/>
                <w:sz w:val="16"/>
              </w:rPr>
              <w:t>&gt;=2张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C16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A1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57F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4597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36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08070">
            <w:pPr>
              <w:jc w:val="center"/>
            </w:pPr>
            <w:r>
              <w:rPr>
                <w:rFonts w:ascii="宋体" w:hAnsi="宋体" w:eastAsia="宋体"/>
                <w:sz w:val="16"/>
              </w:rPr>
              <w:t>=0张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7172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92E48">
            <w:pPr>
              <w:jc w:val="center"/>
            </w:pPr>
            <w:r>
              <w:rPr>
                <w:rFonts w:ascii="宋体" w:hAnsi="宋体" w:eastAsia="宋体"/>
                <w:sz w:val="16"/>
              </w:rPr>
              <w:t>偏差原因：没有采购办公设备。改进措施：下一年度合理设置绩效目标</w:t>
            </w:r>
          </w:p>
        </w:tc>
      </w:tr>
      <w:tr w14:paraId="40D88C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14F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44C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A794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13837">
            <w:pPr>
              <w:jc w:val="center"/>
            </w:pPr>
            <w:r>
              <w:rPr>
                <w:rFonts w:ascii="宋体" w:hAnsi="宋体" w:eastAsia="宋体"/>
                <w:sz w:val="16"/>
              </w:rPr>
              <w:t>办公家具验收合格率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985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B90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F2A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BA0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075C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0D8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5532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E0AA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ADA54">
            <w:pPr>
              <w:jc w:val="center"/>
            </w:pPr>
            <w:r>
              <w:rPr>
                <w:rFonts w:ascii="宋体" w:hAnsi="宋体" w:eastAsia="宋体"/>
                <w:sz w:val="16"/>
              </w:rPr>
              <w:t>偏差原因：因没有采购办公设备，没有验收。改进措施：下一年度合理设置绩效</w:t>
            </w:r>
            <w:r>
              <w:rPr>
                <w:rFonts w:hint="eastAsia" w:ascii="宋体" w:hAnsi="宋体"/>
                <w:sz w:val="16"/>
                <w:lang w:eastAsia="zh-CN"/>
              </w:rPr>
              <w:t>目标</w:t>
            </w:r>
          </w:p>
        </w:tc>
      </w:tr>
      <w:tr w14:paraId="26E753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855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81E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D120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7C2B3">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2FCA8">
            <w:pPr>
              <w:jc w:val="center"/>
            </w:pPr>
            <w:r>
              <w:rPr>
                <w:rFonts w:ascii="宋体" w:hAnsi="宋体" w:eastAsia="宋体"/>
                <w:sz w:val="16"/>
              </w:rPr>
              <w:t>&lt;=4个月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41F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3E3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271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43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A20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FFAEB">
            <w:pPr>
              <w:jc w:val="center"/>
            </w:pPr>
            <w:r>
              <w:rPr>
                <w:rFonts w:ascii="宋体" w:hAnsi="宋体" w:eastAsia="宋体"/>
                <w:sz w:val="16"/>
              </w:rPr>
              <w:t>=1个月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446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0F06C">
            <w:pPr>
              <w:jc w:val="center"/>
            </w:pPr>
          </w:p>
        </w:tc>
      </w:tr>
      <w:tr w14:paraId="3900D8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CE3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E27D8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6D19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595A5">
            <w:pPr>
              <w:jc w:val="center"/>
            </w:pPr>
            <w:r>
              <w:rPr>
                <w:rFonts w:ascii="宋体" w:hAnsi="宋体" w:eastAsia="宋体"/>
                <w:sz w:val="16"/>
              </w:rPr>
              <w:t>开展书画展活动成本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F5A07">
            <w:pPr>
              <w:jc w:val="center"/>
            </w:pPr>
            <w:r>
              <w:rPr>
                <w:rFonts w:ascii="宋体" w:hAnsi="宋体" w:eastAsia="宋体"/>
                <w:sz w:val="16"/>
              </w:rPr>
              <w:t>&lt;=2.18万元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BF6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C8D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4A1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E84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8D5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A9D5B">
            <w:pPr>
              <w:jc w:val="center"/>
            </w:pPr>
            <w:r>
              <w:rPr>
                <w:rFonts w:ascii="宋体" w:hAnsi="宋体" w:eastAsia="宋体"/>
                <w:sz w:val="16"/>
              </w:rPr>
              <w:t>=2.57万元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9A9CE">
            <w:pPr>
              <w:jc w:val="center"/>
            </w:pPr>
            <w:r>
              <w:rPr>
                <w:rFonts w:ascii="宋体" w:hAnsi="宋体" w:eastAsia="宋体"/>
                <w:sz w:val="16"/>
              </w:rPr>
              <w:t>8.21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99819">
            <w:pPr>
              <w:jc w:val="center"/>
            </w:pPr>
            <w:r>
              <w:rPr>
                <w:rFonts w:ascii="宋体" w:hAnsi="宋体" w:eastAsia="宋体"/>
                <w:sz w:val="16"/>
              </w:rPr>
              <w:t>偏差原因：本项目所有资金用于活动开展，导致超出指标预算。改进措施：下一年度合理设置绩效目标</w:t>
            </w:r>
          </w:p>
        </w:tc>
      </w:tr>
      <w:tr w14:paraId="57376A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9BA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34E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A3D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FC77E">
            <w:pPr>
              <w:jc w:val="center"/>
            </w:pPr>
            <w:r>
              <w:rPr>
                <w:rFonts w:ascii="宋体" w:hAnsi="宋体" w:eastAsia="宋体"/>
                <w:sz w:val="16"/>
              </w:rPr>
              <w:t>购置办公家具成本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A2ABA">
            <w:pPr>
              <w:jc w:val="center"/>
            </w:pPr>
            <w:r>
              <w:rPr>
                <w:rFonts w:ascii="宋体" w:hAnsi="宋体" w:eastAsia="宋体"/>
                <w:sz w:val="16"/>
              </w:rPr>
              <w:t>&lt;=0.39万元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4D1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5FF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FE2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50B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5EB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9A2A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B3B6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1B3E0">
            <w:pPr>
              <w:jc w:val="center"/>
            </w:pPr>
            <w:r>
              <w:rPr>
                <w:rFonts w:ascii="宋体" w:hAnsi="宋体" w:eastAsia="宋体"/>
                <w:sz w:val="16"/>
              </w:rPr>
              <w:t>偏差原因：根据工作需要没有采购办公设备，绩效目标设置不精准。改进措施：下一年度合理设置绩效目标</w:t>
            </w:r>
          </w:p>
        </w:tc>
      </w:tr>
      <w:tr w14:paraId="0994D3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39A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601A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3367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C03B9">
            <w:pPr>
              <w:jc w:val="center"/>
            </w:pPr>
            <w:r>
              <w:rPr>
                <w:rFonts w:ascii="宋体" w:hAnsi="宋体" w:eastAsia="宋体"/>
                <w:sz w:val="16"/>
              </w:rPr>
              <w:t>反映全地区人民政协事业的发展历程和重要成果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0D60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41D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F34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55C43">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2A52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FB1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D8AF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EBFAC">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033B8">
            <w:pPr>
              <w:jc w:val="center"/>
            </w:pPr>
          </w:p>
        </w:tc>
      </w:tr>
      <w:tr w14:paraId="2BE7D1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AD1C5">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E931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905C">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39E755">
            <w:pPr>
              <w:jc w:val="center"/>
            </w:pPr>
            <w:r>
              <w:rPr>
                <w:rFonts w:ascii="宋体" w:hAnsi="宋体" w:eastAsia="宋体"/>
                <w:sz w:val="16"/>
              </w:rPr>
              <w:t>68.21分</w:t>
            </w:r>
          </w:p>
        </w:tc>
      </w:tr>
    </w:tbl>
    <w:p w14:paraId="3A39E1E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61B8FB8">
        <w:tblPrEx>
          <w:tblCellMar>
            <w:top w:w="0" w:type="dxa"/>
            <w:left w:w="108" w:type="dxa"/>
            <w:bottom w:w="0" w:type="dxa"/>
            <w:right w:w="108" w:type="dxa"/>
          </w:tblCellMar>
        </w:tblPrEx>
        <w:tc>
          <w:tcPr>
            <w:tcW w:w="8848" w:type="dxa"/>
            <w:gridSpan w:val="14"/>
            <w:vAlign w:val="center"/>
          </w:tcPr>
          <w:p w14:paraId="1D4BCFDD">
            <w:pPr>
              <w:jc w:val="center"/>
            </w:pPr>
            <w:r>
              <w:rPr>
                <w:rFonts w:ascii="宋体" w:hAnsi="宋体" w:eastAsia="宋体"/>
                <w:sz w:val="24"/>
              </w:rPr>
              <w:t>项目支出绩效自评表</w:t>
            </w:r>
          </w:p>
        </w:tc>
      </w:tr>
      <w:tr w14:paraId="10416738">
        <w:tblPrEx>
          <w:tblCellMar>
            <w:top w:w="0" w:type="dxa"/>
            <w:left w:w="108" w:type="dxa"/>
            <w:bottom w:w="0" w:type="dxa"/>
            <w:right w:w="108" w:type="dxa"/>
          </w:tblCellMar>
        </w:tblPrEx>
        <w:tc>
          <w:tcPr>
            <w:tcW w:w="8848" w:type="dxa"/>
            <w:gridSpan w:val="14"/>
            <w:vAlign w:val="center"/>
          </w:tcPr>
          <w:p w14:paraId="0E795B7B">
            <w:pPr>
              <w:jc w:val="center"/>
            </w:pPr>
            <w:r>
              <w:rPr>
                <w:rFonts w:ascii="宋体" w:hAnsi="宋体" w:eastAsia="宋体"/>
                <w:sz w:val="24"/>
              </w:rPr>
              <w:t>(2024年度)</w:t>
            </w:r>
          </w:p>
        </w:tc>
      </w:tr>
      <w:tr w14:paraId="2F7812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4AB7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B9EF99">
            <w:pPr>
              <w:jc w:val="center"/>
            </w:pPr>
            <w:r>
              <w:rPr>
                <w:rFonts w:ascii="宋体" w:hAnsi="宋体" w:eastAsia="宋体"/>
                <w:sz w:val="16"/>
              </w:rPr>
              <w:t>政协业务工作项目</w:t>
            </w:r>
          </w:p>
        </w:tc>
      </w:tr>
      <w:tr w14:paraId="6D6C8F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3D72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C2A58A">
            <w:pPr>
              <w:jc w:val="center"/>
            </w:pPr>
            <w:r>
              <w:rPr>
                <w:rFonts w:ascii="宋体" w:hAnsi="宋体" w:eastAsia="宋体"/>
                <w:sz w:val="16"/>
              </w:rPr>
              <w:t>喀什地区政协工委办公室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5588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CC1807">
            <w:pPr>
              <w:jc w:val="center"/>
            </w:pPr>
            <w:r>
              <w:rPr>
                <w:rFonts w:ascii="宋体" w:hAnsi="宋体" w:eastAsia="宋体"/>
                <w:sz w:val="16"/>
              </w:rPr>
              <w:t>政协新疆维吾尔自治区委员会喀什地区工作委员会</w:t>
            </w:r>
          </w:p>
        </w:tc>
      </w:tr>
      <w:tr w14:paraId="67DC03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42D12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D2FE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9191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1B12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EB0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F46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502C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8780C">
            <w:pPr>
              <w:jc w:val="center"/>
            </w:pPr>
            <w:r>
              <w:rPr>
                <w:rFonts w:ascii="宋体" w:hAnsi="宋体" w:eastAsia="宋体"/>
                <w:sz w:val="16"/>
              </w:rPr>
              <w:t>得分</w:t>
            </w:r>
          </w:p>
        </w:tc>
      </w:tr>
      <w:tr w14:paraId="0C576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437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50BD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6F584">
            <w:pPr>
              <w:jc w:val="center"/>
            </w:pPr>
            <w:r>
              <w:rPr>
                <w:rFonts w:ascii="宋体" w:hAnsi="宋体" w:eastAsia="宋体"/>
                <w:sz w:val="16"/>
              </w:rPr>
              <w:t>70.47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546FC">
            <w:pPr>
              <w:jc w:val="center"/>
            </w:pPr>
            <w:r>
              <w:rPr>
                <w:rFonts w:ascii="宋体" w:hAnsi="宋体" w:eastAsia="宋体"/>
                <w:sz w:val="16"/>
              </w:rPr>
              <w:t>70.47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4E184">
            <w:pPr>
              <w:jc w:val="center"/>
            </w:pPr>
            <w:r>
              <w:rPr>
                <w:rFonts w:ascii="宋体" w:hAnsi="宋体" w:eastAsia="宋体"/>
                <w:sz w:val="16"/>
              </w:rPr>
              <w:t>65.39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973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62B47">
            <w:pPr>
              <w:jc w:val="center"/>
            </w:pPr>
            <w:r>
              <w:rPr>
                <w:rFonts w:ascii="宋体" w:hAnsi="宋体" w:eastAsia="宋体"/>
                <w:sz w:val="16"/>
              </w:rPr>
              <w:t>92.8%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5B11">
            <w:pPr>
              <w:jc w:val="center"/>
            </w:pPr>
            <w:r>
              <w:rPr>
                <w:rFonts w:ascii="宋体" w:hAnsi="宋体" w:eastAsia="宋体"/>
                <w:sz w:val="16"/>
              </w:rPr>
              <w:t>8.20分</w:t>
            </w:r>
          </w:p>
        </w:tc>
      </w:tr>
      <w:tr w14:paraId="158671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D60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D653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107D1">
            <w:pPr>
              <w:jc w:val="center"/>
            </w:pPr>
            <w:r>
              <w:rPr>
                <w:rFonts w:ascii="宋体" w:hAnsi="宋体" w:eastAsia="宋体"/>
                <w:sz w:val="16"/>
              </w:rPr>
              <w:t>70.47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ADEAB">
            <w:pPr>
              <w:jc w:val="center"/>
            </w:pPr>
            <w:r>
              <w:rPr>
                <w:rFonts w:ascii="宋体" w:hAnsi="宋体" w:eastAsia="宋体"/>
                <w:sz w:val="16"/>
              </w:rPr>
              <w:t>70.47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E5E85">
            <w:pPr>
              <w:jc w:val="center"/>
            </w:pPr>
            <w:r>
              <w:rPr>
                <w:rFonts w:ascii="宋体" w:hAnsi="宋体" w:eastAsia="宋体"/>
                <w:sz w:val="16"/>
              </w:rPr>
              <w:t>65.39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DED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514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28A1B">
            <w:pPr>
              <w:jc w:val="center"/>
            </w:pPr>
            <w:r>
              <w:rPr>
                <w:rFonts w:ascii="宋体" w:hAnsi="宋体" w:eastAsia="宋体"/>
                <w:sz w:val="16"/>
              </w:rPr>
              <w:t>—</w:t>
            </w:r>
          </w:p>
        </w:tc>
      </w:tr>
      <w:tr w14:paraId="408A1C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8A0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083A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664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13D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1C0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C04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283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F7505">
            <w:pPr>
              <w:jc w:val="center"/>
            </w:pPr>
            <w:r>
              <w:rPr>
                <w:rFonts w:ascii="宋体" w:hAnsi="宋体" w:eastAsia="宋体"/>
                <w:sz w:val="16"/>
              </w:rPr>
              <w:t>—</w:t>
            </w:r>
          </w:p>
        </w:tc>
      </w:tr>
      <w:tr w14:paraId="36DDA7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5DB8A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481C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56FF7C">
            <w:pPr>
              <w:jc w:val="center"/>
            </w:pPr>
            <w:r>
              <w:rPr>
                <w:rFonts w:ascii="宋体" w:hAnsi="宋体" w:eastAsia="宋体"/>
                <w:sz w:val="16"/>
              </w:rPr>
              <w:t>实际完成情况</w:t>
            </w:r>
          </w:p>
        </w:tc>
      </w:tr>
      <w:tr w14:paraId="42360A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C5A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59C3CD">
            <w:pPr>
              <w:jc w:val="both"/>
            </w:pPr>
            <w:r>
              <w:rPr>
                <w:rFonts w:ascii="宋体" w:hAnsi="宋体" w:eastAsia="宋体"/>
                <w:sz w:val="16"/>
              </w:rPr>
              <w:t>该项目资金70.47万元，预期保障参加政协会议、委员视察、调研、培训活动成本35.65万元，保障机关各项业务工作10次。</w:t>
            </w:r>
            <w:r>
              <w:rPr>
                <w:rFonts w:hint="eastAsia" w:ascii="宋体" w:hAnsi="宋体"/>
                <w:sz w:val="16"/>
                <w:lang w:eastAsia="zh-CN"/>
              </w:rPr>
              <w:t>加强</w:t>
            </w:r>
            <w:r>
              <w:rPr>
                <w:rFonts w:ascii="宋体" w:hAnsi="宋体" w:eastAsia="宋体"/>
                <w:sz w:val="16"/>
              </w:rPr>
              <w:t>地委中心工作，广泛团结参加政协的各人民团体和各族各界人士，通过协商广泛听取各人民团体和各族各界人士意见建议，为地委行署科学决策、有效施策提供参考，又注重在协商过程中宣传党的政策、回应群众关切，把党的主张为社会各界的共识，形成助推地委中心工作的强大合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704091">
            <w:pPr>
              <w:jc w:val="both"/>
            </w:pPr>
            <w:r>
              <w:rPr>
                <w:rFonts w:ascii="宋体" w:hAnsi="宋体" w:eastAsia="宋体"/>
                <w:sz w:val="16"/>
              </w:rPr>
              <w:t>该项目支出65.39万元，项目完成率92.8%。根据政协工委党组工作要点，完成了15次政协会议、委员视察、调研、培训工作，保障机关保障政协业务工作开展10次，确保了各项工作顺利完成。完成组织参加政协各人民团体和各族各界人士，通过协商广泛听取各人民团体和各族各界人士意见建议，为地委行署科学决策、有效施策提供参考，把党的主张为社会各界的共识，形成助推地委中心工作的强大合力。</w:t>
            </w:r>
          </w:p>
        </w:tc>
      </w:tr>
      <w:tr w14:paraId="5659EC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C714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CE8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B9D5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5B30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41B9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7686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71F7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8F12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7810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7256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6EE1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F5B5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2CC02">
            <w:pPr>
              <w:jc w:val="center"/>
            </w:pPr>
            <w:r>
              <w:rPr>
                <w:rFonts w:ascii="宋体" w:hAnsi="宋体" w:eastAsia="宋体"/>
                <w:sz w:val="16"/>
              </w:rPr>
              <w:t>偏差原因分析及改进措施</w:t>
            </w:r>
          </w:p>
        </w:tc>
      </w:tr>
      <w:tr w14:paraId="7FB9CF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567D0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C50BA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8B1A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9479">
            <w:pPr>
              <w:jc w:val="center"/>
            </w:pPr>
            <w:r>
              <w:rPr>
                <w:rFonts w:ascii="宋体" w:hAnsi="宋体" w:eastAsia="宋体"/>
                <w:sz w:val="16"/>
              </w:rPr>
              <w:t>参加政协会议、委员视察、调研、培训次数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1A19">
            <w:pPr>
              <w:jc w:val="center"/>
            </w:pPr>
            <w:r>
              <w:rPr>
                <w:rFonts w:ascii="宋体" w:hAnsi="宋体" w:eastAsia="宋体"/>
                <w:sz w:val="16"/>
              </w:rPr>
              <w:t>&gt;=15次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468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2B54">
            <w:pPr>
              <w:jc w:val="center"/>
            </w:pPr>
            <w:r>
              <w:rPr>
                <w:rFonts w:ascii="宋体" w:hAnsi="宋体" w:eastAsia="宋体"/>
                <w:sz w:val="16"/>
              </w:rPr>
              <w:t>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1A3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E2E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892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CC742">
            <w:pPr>
              <w:jc w:val="center"/>
            </w:pPr>
            <w:r>
              <w:rPr>
                <w:rFonts w:ascii="宋体" w:hAnsi="宋体" w:eastAsia="宋体"/>
                <w:sz w:val="16"/>
              </w:rPr>
              <w: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5D7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3E2FE">
            <w:pPr>
              <w:jc w:val="center"/>
            </w:pPr>
          </w:p>
        </w:tc>
      </w:tr>
      <w:tr w14:paraId="1B000AF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7EF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56A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D4E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D8202">
            <w:pPr>
              <w:jc w:val="center"/>
            </w:pPr>
            <w:r>
              <w:rPr>
                <w:rFonts w:ascii="宋体" w:hAnsi="宋体" w:eastAsia="宋体"/>
                <w:sz w:val="16"/>
              </w:rPr>
              <w:t>保障政协业务工作开展（含办公设备购置）次数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23E4C">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518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7BCEE">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A28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A4C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093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B2C48">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03D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F6B3E">
            <w:pPr>
              <w:jc w:val="center"/>
            </w:pPr>
          </w:p>
        </w:tc>
      </w:tr>
      <w:tr w14:paraId="6A7609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DF5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CA6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FBDD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51545">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DD5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2F1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339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6CC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FAEB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CFF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EB6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382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0330B">
            <w:pPr>
              <w:jc w:val="center"/>
            </w:pPr>
          </w:p>
        </w:tc>
      </w:tr>
      <w:tr w14:paraId="1452C3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998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4F4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9E71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4304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37D0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E63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2FE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61A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74A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42A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74AA4">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846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3E240">
            <w:pPr>
              <w:jc w:val="center"/>
            </w:pPr>
          </w:p>
        </w:tc>
      </w:tr>
      <w:tr w14:paraId="28BCA5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F62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7BB4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C090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D2BC1">
            <w:pPr>
              <w:jc w:val="center"/>
            </w:pPr>
            <w:r>
              <w:rPr>
                <w:rFonts w:ascii="宋体" w:hAnsi="宋体" w:eastAsia="宋体"/>
                <w:sz w:val="16"/>
              </w:rPr>
              <w:t>参加政协会议、委员视察、调研、培训成本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BBA6F">
            <w:pPr>
              <w:jc w:val="center"/>
            </w:pPr>
            <w:r>
              <w:rPr>
                <w:rFonts w:ascii="宋体" w:hAnsi="宋体" w:eastAsia="宋体"/>
                <w:sz w:val="16"/>
              </w:rPr>
              <w:t>&lt;=36.61万元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A8A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6EDC">
            <w:pPr>
              <w:jc w:val="center"/>
            </w:pPr>
            <w:r>
              <w:rPr>
                <w:rFonts w:ascii="宋体" w:hAnsi="宋体" w:eastAsia="宋体"/>
                <w:sz w:val="16"/>
              </w:rPr>
              <w:t>50.71万元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477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6DC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404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373A1">
            <w:pPr>
              <w:jc w:val="center"/>
            </w:pPr>
            <w:r>
              <w:rPr>
                <w:rFonts w:ascii="宋体" w:hAnsi="宋体" w:eastAsia="宋体"/>
                <w:sz w:val="16"/>
              </w:rPr>
              <w:t>=32.4万元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56C3B">
            <w:pPr>
              <w:jc w:val="center"/>
            </w:pPr>
            <w:r>
              <w:rPr>
                <w:rFonts w:ascii="宋体" w:hAnsi="宋体" w:eastAsia="宋体"/>
                <w:sz w:val="16"/>
              </w:rPr>
              <w:t>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647F5">
            <w:pPr>
              <w:jc w:val="center"/>
            </w:pPr>
            <w:r>
              <w:rPr>
                <w:rFonts w:ascii="宋体" w:hAnsi="宋体" w:eastAsia="宋体"/>
                <w:sz w:val="16"/>
              </w:rPr>
              <w:t>偏差原因：对项目预算成本估算不准确，预算金额过剩，导致未支出完毕。整改措施：预算成本合理安排，加快资金支付力度。</w:t>
            </w:r>
          </w:p>
        </w:tc>
      </w:tr>
      <w:tr w14:paraId="4BF8AD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88C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D9A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258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E5B40">
            <w:pPr>
              <w:jc w:val="center"/>
            </w:pPr>
            <w:r>
              <w:rPr>
                <w:rFonts w:ascii="宋体" w:hAnsi="宋体" w:eastAsia="宋体"/>
                <w:sz w:val="16"/>
              </w:rPr>
              <w:t>保障政协业务工作开展（含办公设备购置）成本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261E7">
            <w:pPr>
              <w:jc w:val="center"/>
            </w:pPr>
            <w:r>
              <w:rPr>
                <w:rFonts w:ascii="宋体" w:hAnsi="宋体" w:eastAsia="宋体"/>
                <w:sz w:val="16"/>
              </w:rPr>
              <w:t>&lt;=33.86万元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4A0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6E7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5B0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685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A4D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80E9E">
            <w:pPr>
              <w:jc w:val="center"/>
            </w:pPr>
            <w:r>
              <w:rPr>
                <w:rFonts w:ascii="宋体" w:hAnsi="宋体" w:eastAsia="宋体"/>
                <w:sz w:val="16"/>
              </w:rPr>
              <w:t>=32.99万元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4F38C">
            <w:pPr>
              <w:jc w:val="center"/>
            </w:pPr>
            <w:r>
              <w:rPr>
                <w:rFonts w:ascii="宋体" w:hAnsi="宋体" w:eastAsia="宋体"/>
                <w:sz w:val="16"/>
              </w:rPr>
              <w:t>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449B0">
            <w:pPr>
              <w:jc w:val="center"/>
            </w:pPr>
            <w:r>
              <w:rPr>
                <w:rFonts w:ascii="宋体" w:hAnsi="宋体" w:eastAsia="宋体"/>
                <w:sz w:val="16"/>
              </w:rPr>
              <w:t>偏差原因：年初做预算不够精准，相关政策了解不透，导致部分资金无法支出。整改措施：加强培训学习，科学合理制定预算。</w:t>
            </w:r>
          </w:p>
        </w:tc>
      </w:tr>
      <w:tr w14:paraId="691DBB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C96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5B75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6988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224F6">
            <w:pPr>
              <w:jc w:val="center"/>
            </w:pPr>
            <w:r>
              <w:rPr>
                <w:rFonts w:ascii="宋体" w:hAnsi="宋体" w:eastAsia="宋体"/>
                <w:sz w:val="16"/>
              </w:rPr>
              <w:t>保障机关各项工作正常运转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E3C8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0C9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30AD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F264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FD7D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BA0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E548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3219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56210">
            <w:pPr>
              <w:jc w:val="center"/>
            </w:pPr>
          </w:p>
        </w:tc>
      </w:tr>
      <w:tr w14:paraId="493CF2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87C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052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66A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1899F">
            <w:pPr>
              <w:jc w:val="center"/>
            </w:pPr>
            <w:r>
              <w:rPr>
                <w:rFonts w:ascii="宋体" w:hAnsi="宋体" w:eastAsia="宋体"/>
                <w:sz w:val="16"/>
              </w:rPr>
              <w:t>干部职工人员满意度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0C0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662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808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BCF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AA8D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98E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6C538">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47E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4097E">
            <w:pPr>
              <w:jc w:val="center"/>
            </w:pPr>
            <w:r>
              <w:rPr>
                <w:rFonts w:ascii="宋体" w:hAnsi="宋体" w:eastAsia="宋体"/>
                <w:sz w:val="16"/>
              </w:rPr>
              <w:t>偏差原因：</w:t>
            </w:r>
            <w:r>
              <w:rPr>
                <w:rFonts w:hint="eastAsia" w:ascii="宋体" w:hAnsi="宋体"/>
                <w:sz w:val="16"/>
                <w:lang w:eastAsia="zh-CN"/>
              </w:rPr>
              <w:t>满意度</w:t>
            </w:r>
            <w:r>
              <w:rPr>
                <w:rFonts w:ascii="宋体" w:hAnsi="宋体" w:eastAsia="宋体"/>
                <w:sz w:val="16"/>
              </w:rPr>
              <w:t>指标设置存在偏差。改进措施：设置目标根据以前年度数据合理设置。</w:t>
            </w:r>
          </w:p>
        </w:tc>
      </w:tr>
      <w:tr w14:paraId="7C87ED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7EFFF">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AC06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6D55A">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8AEF19">
            <w:pPr>
              <w:jc w:val="center"/>
            </w:pPr>
            <w:r>
              <w:rPr>
                <w:rFonts w:ascii="宋体" w:hAnsi="宋体" w:eastAsia="宋体"/>
                <w:sz w:val="16"/>
              </w:rPr>
              <w:t>94.69分</w:t>
            </w:r>
          </w:p>
        </w:tc>
      </w:tr>
    </w:tbl>
    <w:p w14:paraId="518E576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B641E53">
        <w:tblPrEx>
          <w:tblCellMar>
            <w:top w:w="0" w:type="dxa"/>
            <w:left w:w="108" w:type="dxa"/>
            <w:bottom w:w="0" w:type="dxa"/>
            <w:right w:w="108" w:type="dxa"/>
          </w:tblCellMar>
        </w:tblPrEx>
        <w:tc>
          <w:tcPr>
            <w:tcW w:w="8848" w:type="dxa"/>
            <w:gridSpan w:val="14"/>
            <w:vAlign w:val="center"/>
          </w:tcPr>
          <w:p w14:paraId="06F860C8">
            <w:pPr>
              <w:jc w:val="center"/>
            </w:pPr>
            <w:r>
              <w:rPr>
                <w:rFonts w:ascii="宋体" w:hAnsi="宋体" w:eastAsia="宋体"/>
                <w:sz w:val="24"/>
              </w:rPr>
              <w:t>项目支出绩效自评表</w:t>
            </w:r>
          </w:p>
        </w:tc>
      </w:tr>
      <w:tr w14:paraId="3738BABC">
        <w:tblPrEx>
          <w:tblCellMar>
            <w:top w:w="0" w:type="dxa"/>
            <w:left w:w="108" w:type="dxa"/>
            <w:bottom w:w="0" w:type="dxa"/>
            <w:right w:w="108" w:type="dxa"/>
          </w:tblCellMar>
        </w:tblPrEx>
        <w:tc>
          <w:tcPr>
            <w:tcW w:w="8848" w:type="dxa"/>
            <w:gridSpan w:val="14"/>
            <w:vAlign w:val="center"/>
          </w:tcPr>
          <w:p w14:paraId="52B28A56">
            <w:pPr>
              <w:jc w:val="center"/>
            </w:pPr>
            <w:r>
              <w:rPr>
                <w:rFonts w:ascii="宋体" w:hAnsi="宋体" w:eastAsia="宋体"/>
                <w:sz w:val="24"/>
              </w:rPr>
              <w:t>(2024年度)</w:t>
            </w:r>
          </w:p>
        </w:tc>
      </w:tr>
      <w:tr w14:paraId="15DE72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4CFF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0FB030">
            <w:pPr>
              <w:jc w:val="center"/>
            </w:pPr>
            <w:r>
              <w:rPr>
                <w:rFonts w:ascii="宋体" w:hAnsi="宋体" w:eastAsia="宋体"/>
                <w:sz w:val="16"/>
              </w:rPr>
              <w:t>政协委员活动项目</w:t>
            </w:r>
          </w:p>
        </w:tc>
      </w:tr>
      <w:tr w14:paraId="5B833A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D96F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C8F025">
            <w:pPr>
              <w:jc w:val="center"/>
            </w:pPr>
            <w:r>
              <w:rPr>
                <w:rFonts w:ascii="宋体" w:hAnsi="宋体" w:eastAsia="宋体"/>
                <w:sz w:val="16"/>
              </w:rPr>
              <w:t>喀什地区政协工委办公室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622B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C21F51">
            <w:pPr>
              <w:jc w:val="center"/>
            </w:pPr>
            <w:r>
              <w:rPr>
                <w:rFonts w:ascii="宋体" w:hAnsi="宋体" w:eastAsia="宋体"/>
                <w:sz w:val="16"/>
              </w:rPr>
              <w:t>政协新疆维吾尔自治区委员会喀什地区工作委员会</w:t>
            </w:r>
          </w:p>
        </w:tc>
      </w:tr>
      <w:tr w14:paraId="1FD93D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C8B56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96DC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846D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E398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2B05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7B15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57D8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60058">
            <w:pPr>
              <w:jc w:val="center"/>
            </w:pPr>
            <w:r>
              <w:rPr>
                <w:rFonts w:ascii="宋体" w:hAnsi="宋体" w:eastAsia="宋体"/>
                <w:sz w:val="16"/>
              </w:rPr>
              <w:t>得分</w:t>
            </w:r>
          </w:p>
        </w:tc>
      </w:tr>
      <w:tr w14:paraId="1B11ED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3A0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95D3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E63C5">
            <w:pPr>
              <w:jc w:val="center"/>
            </w:pPr>
            <w:r>
              <w:rPr>
                <w:rFonts w:ascii="宋体" w:hAnsi="宋体" w:eastAsia="宋体"/>
                <w:sz w:val="16"/>
              </w:rPr>
              <w:t>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78DA4">
            <w:pPr>
              <w:jc w:val="center"/>
            </w:pPr>
            <w:r>
              <w:rPr>
                <w:rFonts w:ascii="宋体" w:hAnsi="宋体" w:eastAsia="宋体"/>
                <w:sz w:val="16"/>
              </w:rPr>
              <w:t>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2D95D">
            <w:pPr>
              <w:jc w:val="center"/>
            </w:pPr>
            <w:r>
              <w:rPr>
                <w:rFonts w:ascii="宋体" w:hAnsi="宋体" w:eastAsia="宋体"/>
                <w:sz w:val="16"/>
              </w:rPr>
              <w:t>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6A7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165B6">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037DF">
            <w:pPr>
              <w:jc w:val="center"/>
            </w:pPr>
            <w:r>
              <w:rPr>
                <w:rFonts w:ascii="宋体" w:hAnsi="宋体" w:eastAsia="宋体"/>
                <w:sz w:val="16"/>
              </w:rPr>
              <w:t>0.00分</w:t>
            </w:r>
          </w:p>
        </w:tc>
      </w:tr>
      <w:tr w14:paraId="56FD75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71F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0474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20D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14E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AFB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E52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AB4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06A87">
            <w:pPr>
              <w:jc w:val="center"/>
            </w:pPr>
            <w:r>
              <w:rPr>
                <w:rFonts w:ascii="宋体" w:hAnsi="宋体" w:eastAsia="宋体"/>
                <w:sz w:val="16"/>
              </w:rPr>
              <w:t>—</w:t>
            </w:r>
          </w:p>
        </w:tc>
      </w:tr>
      <w:tr w14:paraId="59BD3F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DB4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FE4B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EB00B">
            <w:pPr>
              <w:jc w:val="center"/>
            </w:pPr>
            <w:r>
              <w:rPr>
                <w:rFonts w:ascii="宋体" w:hAnsi="宋体" w:eastAsia="宋体"/>
                <w:sz w:val="16"/>
              </w:rPr>
              <w:t>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CB8F6">
            <w:pPr>
              <w:jc w:val="center"/>
            </w:pPr>
            <w:r>
              <w:rPr>
                <w:rFonts w:ascii="宋体" w:hAnsi="宋体" w:eastAsia="宋体"/>
                <w:sz w:val="16"/>
              </w:rPr>
              <w:t>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ABDE2">
            <w:pPr>
              <w:jc w:val="center"/>
            </w:pPr>
            <w:r>
              <w:rPr>
                <w:rFonts w:ascii="宋体" w:hAnsi="宋体" w:eastAsia="宋体"/>
                <w:sz w:val="16"/>
              </w:rPr>
              <w:t>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7B7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854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E2598">
            <w:pPr>
              <w:jc w:val="center"/>
            </w:pPr>
            <w:r>
              <w:rPr>
                <w:rFonts w:ascii="宋体" w:hAnsi="宋体" w:eastAsia="宋体"/>
                <w:sz w:val="16"/>
              </w:rPr>
              <w:t>—</w:t>
            </w:r>
          </w:p>
        </w:tc>
      </w:tr>
      <w:tr w14:paraId="3B2747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2AE2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D16F5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D66F84">
            <w:pPr>
              <w:jc w:val="center"/>
            </w:pPr>
            <w:r>
              <w:rPr>
                <w:rFonts w:ascii="宋体" w:hAnsi="宋体" w:eastAsia="宋体"/>
                <w:sz w:val="16"/>
              </w:rPr>
              <w:t>实际完成情况</w:t>
            </w:r>
          </w:p>
        </w:tc>
      </w:tr>
      <w:tr w14:paraId="3FBFF8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118B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250B74">
            <w:pPr>
              <w:jc w:val="both"/>
            </w:pPr>
            <w:r>
              <w:rPr>
                <w:rFonts w:ascii="宋体" w:hAnsi="宋体" w:eastAsia="宋体"/>
                <w:sz w:val="16"/>
              </w:rPr>
              <w:t>按照政协喀什地区工委党组2024年工作要点，</w:t>
            </w:r>
            <w:r>
              <w:rPr>
                <w:rFonts w:hint="eastAsia" w:ascii="宋体" w:hAnsi="宋体"/>
                <w:sz w:val="16"/>
                <w:lang w:eastAsia="zh-CN"/>
              </w:rPr>
              <w:t>围绕中心、服务大局</w:t>
            </w:r>
            <w:r>
              <w:rPr>
                <w:rFonts w:ascii="宋体" w:hAnsi="宋体" w:eastAsia="宋体"/>
                <w:sz w:val="16"/>
              </w:rPr>
              <w:t>，按照“懂政协、会协商、善议政、守纪律、讲规矩、重品行”的要求，组织开展政协干部、政协委员学习考察活动，提高政协履职水平。本项目概算总计3.84万元，举办不少于5次组织开展政协干部、政协委员学习考察活动,为进一步提高政协干部和政协委员综合能力发挥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95D602">
            <w:pPr>
              <w:jc w:val="both"/>
            </w:pPr>
            <w:r>
              <w:rPr>
                <w:rFonts w:ascii="宋体" w:hAnsi="宋体" w:eastAsia="宋体"/>
                <w:sz w:val="16"/>
              </w:rPr>
              <w:t>此项目完成政协委员赴乌鲁木齐参加自治区政协十三届二次会议差旅费报销0.08万元。保障了政协委员参加活动的资金支持。</w:t>
            </w:r>
          </w:p>
        </w:tc>
      </w:tr>
      <w:tr w14:paraId="2E880E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AD79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1B23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9935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DA76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DF9A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49C8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37A3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CAD6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567C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4966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CBDB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B666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27FEE">
            <w:pPr>
              <w:jc w:val="center"/>
            </w:pPr>
            <w:r>
              <w:rPr>
                <w:rFonts w:ascii="宋体" w:hAnsi="宋体" w:eastAsia="宋体"/>
                <w:sz w:val="16"/>
              </w:rPr>
              <w:t>偏差原因分析及改进措施</w:t>
            </w:r>
          </w:p>
        </w:tc>
      </w:tr>
      <w:tr w14:paraId="4A3FEC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F6FA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C06A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90DA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35250">
            <w:pPr>
              <w:jc w:val="center"/>
            </w:pPr>
            <w:r>
              <w:rPr>
                <w:rFonts w:ascii="宋体" w:hAnsi="宋体" w:eastAsia="宋体"/>
                <w:sz w:val="16"/>
              </w:rPr>
              <w:t>组织开展政协干部、政协委员学习考察培训活动次数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5CAC8">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3DD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F28C1">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90D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368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289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145E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DB98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7F14A">
            <w:pPr>
              <w:jc w:val="center"/>
            </w:pPr>
            <w:r>
              <w:rPr>
                <w:rFonts w:ascii="宋体" w:hAnsi="宋体" w:eastAsia="宋体"/>
                <w:sz w:val="16"/>
              </w:rPr>
              <w:t>偏差原因：原定于组织政协委员、政协干部赴疆内外开展学习考察活动，因政协委员来自不同部门，由于近期工作繁忙，相关部门的政协委员时间排不开，导致已制定的学习考察时间进度未能确定，导致资金未能形成支出。整改措施：科学规划项目，加快项目实施力度和资金支付</w:t>
            </w:r>
            <w:r>
              <w:rPr>
                <w:rFonts w:hint="eastAsia" w:ascii="宋体" w:hAnsi="宋体"/>
                <w:sz w:val="16"/>
                <w:lang w:eastAsia="zh-CN"/>
              </w:rPr>
              <w:t>力度</w:t>
            </w:r>
            <w:r>
              <w:rPr>
                <w:rFonts w:ascii="宋体" w:hAnsi="宋体" w:eastAsia="宋体"/>
                <w:sz w:val="16"/>
              </w:rPr>
              <w:t>。</w:t>
            </w:r>
          </w:p>
        </w:tc>
      </w:tr>
      <w:tr w14:paraId="0CA842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F1E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08B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824F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5A983">
            <w:pPr>
              <w:jc w:val="center"/>
            </w:pPr>
            <w:r>
              <w:rPr>
                <w:rFonts w:ascii="宋体" w:hAnsi="宋体" w:eastAsia="宋体"/>
                <w:sz w:val="16"/>
              </w:rPr>
              <w:t>开展学习考察活动参与率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CEF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433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B7D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2D5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FA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A38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0D6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690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8C3C5">
            <w:pPr>
              <w:jc w:val="center"/>
            </w:pPr>
          </w:p>
        </w:tc>
      </w:tr>
      <w:tr w14:paraId="4BEC56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597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64D1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BE42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079A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140B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8FA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9EC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6BB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06D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7FC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1406B">
            <w:pPr>
              <w:jc w:val="center"/>
            </w:pPr>
            <w:r>
              <w:rPr>
                <w:rFonts w:ascii="宋体" w:hAnsi="宋体" w:eastAsia="宋体"/>
                <w:sz w:val="16"/>
              </w:rPr>
              <w:t>=2024年4月23日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FAE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7EE9D">
            <w:pPr>
              <w:jc w:val="center"/>
            </w:pPr>
          </w:p>
        </w:tc>
      </w:tr>
      <w:tr w14:paraId="163AA6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EDE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85C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303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5506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078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93E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310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199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77F7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586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C5CEF">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41CC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8FA02">
            <w:pPr>
              <w:jc w:val="center"/>
            </w:pPr>
          </w:p>
        </w:tc>
      </w:tr>
      <w:tr w14:paraId="5402E0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71D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5190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002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9B223">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E42FD">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3C1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240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37B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4D6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E04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BD0B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7EE4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58E15">
            <w:pPr>
              <w:jc w:val="center"/>
            </w:pPr>
            <w:r>
              <w:rPr>
                <w:rFonts w:ascii="宋体" w:hAnsi="宋体" w:eastAsia="宋体"/>
                <w:sz w:val="16"/>
              </w:rPr>
              <w:t>偏差原因：此项目支付了一名政协委员参加会议差旅费，资金使用率低。整改措施：进一步科学规划项目实施进度，及时加快资金支付力度。</w:t>
            </w:r>
          </w:p>
        </w:tc>
      </w:tr>
      <w:tr w14:paraId="4BCF74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A2D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0839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28B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75BD">
            <w:pPr>
              <w:jc w:val="center"/>
            </w:pPr>
            <w:r>
              <w:rPr>
                <w:rFonts w:ascii="宋体" w:hAnsi="宋体" w:eastAsia="宋体"/>
                <w:sz w:val="16"/>
              </w:rPr>
              <w:t>提高政协履职水平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1BA0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52F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EA23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C45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D33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67F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B8C5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4A00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BB229">
            <w:pPr>
              <w:jc w:val="center"/>
            </w:pPr>
          </w:p>
        </w:tc>
      </w:tr>
      <w:tr w14:paraId="41CC85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596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E3B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2DA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D2BBA">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430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151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949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E6E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5B34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B21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AEABA">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373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2A15B">
            <w:pPr>
              <w:jc w:val="center"/>
            </w:pPr>
            <w:r>
              <w:rPr>
                <w:rFonts w:ascii="宋体" w:hAnsi="宋体" w:eastAsia="宋体"/>
                <w:sz w:val="16"/>
              </w:rPr>
              <w:t>偏差原因：满意值实际为99%。改进措施：对比历年满意度结果数据，合理安排满意度指标</w:t>
            </w:r>
          </w:p>
        </w:tc>
      </w:tr>
      <w:tr w14:paraId="038C75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09C45">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0785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6A23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50CD9C">
            <w:pPr>
              <w:jc w:val="center"/>
            </w:pPr>
            <w:r>
              <w:rPr>
                <w:rFonts w:ascii="宋体" w:hAnsi="宋体" w:eastAsia="宋体"/>
                <w:sz w:val="16"/>
              </w:rPr>
              <w:t>50分</w:t>
            </w:r>
          </w:p>
        </w:tc>
      </w:tr>
    </w:tbl>
    <w:p w14:paraId="1BE2ADC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3562AF6">
        <w:tblPrEx>
          <w:tblCellMar>
            <w:top w:w="0" w:type="dxa"/>
            <w:left w:w="108" w:type="dxa"/>
            <w:bottom w:w="0" w:type="dxa"/>
            <w:right w:w="108" w:type="dxa"/>
          </w:tblCellMar>
        </w:tblPrEx>
        <w:tc>
          <w:tcPr>
            <w:tcW w:w="8848" w:type="dxa"/>
            <w:gridSpan w:val="14"/>
            <w:vAlign w:val="center"/>
          </w:tcPr>
          <w:p w14:paraId="0DE8230D">
            <w:pPr>
              <w:jc w:val="center"/>
            </w:pPr>
            <w:r>
              <w:rPr>
                <w:rFonts w:ascii="宋体" w:hAnsi="宋体" w:eastAsia="宋体"/>
                <w:sz w:val="24"/>
              </w:rPr>
              <w:t>项目支出绩效自评表</w:t>
            </w:r>
          </w:p>
        </w:tc>
      </w:tr>
      <w:tr w14:paraId="25AC43ED">
        <w:tblPrEx>
          <w:tblCellMar>
            <w:top w:w="0" w:type="dxa"/>
            <w:left w:w="108" w:type="dxa"/>
            <w:bottom w:w="0" w:type="dxa"/>
            <w:right w:w="108" w:type="dxa"/>
          </w:tblCellMar>
        </w:tblPrEx>
        <w:tc>
          <w:tcPr>
            <w:tcW w:w="8848" w:type="dxa"/>
            <w:gridSpan w:val="14"/>
            <w:vAlign w:val="center"/>
          </w:tcPr>
          <w:p w14:paraId="7F645AC5">
            <w:pPr>
              <w:jc w:val="center"/>
            </w:pPr>
            <w:r>
              <w:rPr>
                <w:rFonts w:ascii="宋体" w:hAnsi="宋体" w:eastAsia="宋体"/>
                <w:sz w:val="24"/>
              </w:rPr>
              <w:t>(2024年度)</w:t>
            </w:r>
          </w:p>
        </w:tc>
      </w:tr>
      <w:tr w14:paraId="7955FD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2174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FFBF3C">
            <w:pPr>
              <w:jc w:val="center"/>
            </w:pPr>
            <w:r>
              <w:rPr>
                <w:rFonts w:ascii="宋体" w:hAnsi="宋体" w:eastAsia="宋体"/>
                <w:sz w:val="16"/>
              </w:rPr>
              <w:t>政协收自治区政协拨政协委员活动经费</w:t>
            </w:r>
          </w:p>
        </w:tc>
      </w:tr>
      <w:tr w14:paraId="559C78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D6AB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6885EF">
            <w:pPr>
              <w:jc w:val="center"/>
            </w:pPr>
            <w:r>
              <w:rPr>
                <w:rFonts w:ascii="宋体" w:hAnsi="宋体" w:eastAsia="宋体"/>
                <w:sz w:val="16"/>
              </w:rPr>
              <w:t>喀什地区政协工委办公室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64B4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C9B420">
            <w:pPr>
              <w:jc w:val="center"/>
            </w:pPr>
            <w:r>
              <w:rPr>
                <w:rFonts w:ascii="宋体" w:hAnsi="宋体" w:eastAsia="宋体"/>
                <w:sz w:val="16"/>
              </w:rPr>
              <w:t>政协新疆维吾尔自治区委员会喀什地区工作委员会</w:t>
            </w:r>
          </w:p>
        </w:tc>
      </w:tr>
      <w:tr w14:paraId="2A6268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8243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7FDF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D529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D103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76A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FF79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19A6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801B4">
            <w:pPr>
              <w:jc w:val="center"/>
            </w:pPr>
            <w:r>
              <w:rPr>
                <w:rFonts w:ascii="宋体" w:hAnsi="宋体" w:eastAsia="宋体"/>
                <w:sz w:val="16"/>
              </w:rPr>
              <w:t>得分</w:t>
            </w:r>
          </w:p>
        </w:tc>
      </w:tr>
      <w:tr w14:paraId="47799E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B48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70FD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2F26C">
            <w:pPr>
              <w:jc w:val="center"/>
            </w:pPr>
            <w:r>
              <w:rPr>
                <w:rFonts w:ascii="宋体" w:hAnsi="宋体" w:eastAsia="宋体"/>
                <w:sz w:val="16"/>
              </w:rPr>
              <w:t>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F4D86">
            <w:pPr>
              <w:jc w:val="center"/>
            </w:pPr>
            <w:r>
              <w:rPr>
                <w:rFonts w:ascii="宋体" w:hAnsi="宋体" w:eastAsia="宋体"/>
                <w:sz w:val="16"/>
              </w:rPr>
              <w:t>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037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53E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0031E">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0EF30">
            <w:pPr>
              <w:jc w:val="center"/>
            </w:pPr>
            <w:r>
              <w:rPr>
                <w:rFonts w:ascii="宋体" w:hAnsi="宋体" w:eastAsia="宋体"/>
                <w:sz w:val="16"/>
              </w:rPr>
              <w:t>0.00分</w:t>
            </w:r>
          </w:p>
        </w:tc>
      </w:tr>
      <w:tr w14:paraId="027614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228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71B6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31C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982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C61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562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4EB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A6451">
            <w:pPr>
              <w:jc w:val="center"/>
            </w:pPr>
            <w:r>
              <w:rPr>
                <w:rFonts w:ascii="宋体" w:hAnsi="宋体" w:eastAsia="宋体"/>
                <w:sz w:val="16"/>
              </w:rPr>
              <w:t>—</w:t>
            </w:r>
          </w:p>
        </w:tc>
      </w:tr>
      <w:tr w14:paraId="2BE1D7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667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DC3C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57AED">
            <w:pPr>
              <w:jc w:val="center"/>
            </w:pPr>
            <w:r>
              <w:rPr>
                <w:rFonts w:ascii="宋体" w:hAnsi="宋体" w:eastAsia="宋体"/>
                <w:sz w:val="16"/>
              </w:rPr>
              <w:t>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9714D">
            <w:pPr>
              <w:jc w:val="center"/>
            </w:pPr>
            <w:r>
              <w:rPr>
                <w:rFonts w:ascii="宋体" w:hAnsi="宋体" w:eastAsia="宋体"/>
                <w:sz w:val="16"/>
              </w:rPr>
              <w:t>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31A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DFC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973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D9D83">
            <w:pPr>
              <w:jc w:val="center"/>
            </w:pPr>
            <w:r>
              <w:rPr>
                <w:rFonts w:ascii="宋体" w:hAnsi="宋体" w:eastAsia="宋体"/>
                <w:sz w:val="16"/>
              </w:rPr>
              <w:t>—</w:t>
            </w:r>
          </w:p>
        </w:tc>
      </w:tr>
      <w:tr w14:paraId="1A8D65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7A852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DE0AD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0155EB">
            <w:pPr>
              <w:jc w:val="center"/>
            </w:pPr>
            <w:r>
              <w:rPr>
                <w:rFonts w:ascii="宋体" w:hAnsi="宋体" w:eastAsia="宋体"/>
                <w:sz w:val="16"/>
              </w:rPr>
              <w:t>实际完成情况</w:t>
            </w:r>
          </w:p>
        </w:tc>
      </w:tr>
      <w:tr w14:paraId="690853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0D12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F77336">
            <w:pPr>
              <w:jc w:val="both"/>
            </w:pPr>
            <w:r>
              <w:rPr>
                <w:rFonts w:ascii="宋体" w:hAnsi="宋体" w:eastAsia="宋体"/>
                <w:sz w:val="16"/>
              </w:rPr>
              <w:t>按照政协喀什地区工委党组2024年工作要点，组织开展政协干部、政协委员学习考察活动,为政协提高政协履职水平发挥作用。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1DA744">
            <w:pPr>
              <w:jc w:val="both"/>
            </w:pPr>
            <w:r>
              <w:rPr>
                <w:rFonts w:ascii="宋体" w:hAnsi="宋体" w:eastAsia="宋体"/>
                <w:sz w:val="16"/>
              </w:rPr>
              <w:t>此项目零支出。原定于该项目于2024年组织政协委员、政协干部赴疆内外开展学习考察活动，因政协委员来自不同部门，由于近期工作繁忙，相关部门的政协委员时间排不开，导致已制定的学习考察时间进度未能确定，导致资金未能形成支出。此项目于2025年继续执行。</w:t>
            </w:r>
          </w:p>
        </w:tc>
      </w:tr>
      <w:tr w14:paraId="3D2E38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CB79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8D9A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2325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397A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E809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EE05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3857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E0F7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2407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1F8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213B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D9F1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0DDF0">
            <w:pPr>
              <w:jc w:val="center"/>
            </w:pPr>
            <w:r>
              <w:rPr>
                <w:rFonts w:ascii="宋体" w:hAnsi="宋体" w:eastAsia="宋体"/>
                <w:sz w:val="16"/>
              </w:rPr>
              <w:t>偏差原因分析及改进措施</w:t>
            </w:r>
          </w:p>
        </w:tc>
      </w:tr>
      <w:tr w14:paraId="13352C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207BB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C9F1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858C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ADBA6">
            <w:pPr>
              <w:jc w:val="center"/>
            </w:pPr>
            <w:r>
              <w:rPr>
                <w:rFonts w:ascii="宋体" w:hAnsi="宋体" w:eastAsia="宋体"/>
                <w:sz w:val="16"/>
              </w:rPr>
              <w:t>组织开展政协干部、政协委员学习考察培训活动次数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6E7F0">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C9B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9A18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EBA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FAC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1B8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B3E70">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256C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A2779">
            <w:pPr>
              <w:jc w:val="center"/>
            </w:pPr>
            <w:r>
              <w:rPr>
                <w:rFonts w:ascii="宋体" w:hAnsi="宋体" w:eastAsia="宋体"/>
                <w:sz w:val="16"/>
              </w:rPr>
              <w:t>偏差原因：因政协委员工作繁忙，未能组织开展外出考察培训活动。改进措施：下一年度，根据委员工作情况，合理安排预算执行计划。</w:t>
            </w:r>
          </w:p>
        </w:tc>
      </w:tr>
      <w:tr w14:paraId="345D9A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DE8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616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2D52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AE415">
            <w:pPr>
              <w:jc w:val="center"/>
            </w:pPr>
            <w:r>
              <w:rPr>
                <w:rFonts w:ascii="宋体" w:hAnsi="宋体" w:eastAsia="宋体"/>
                <w:sz w:val="16"/>
              </w:rPr>
              <w:t>开展学习考察活动参与率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165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1F3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C10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101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8FC0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023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779E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0A12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94C5A">
            <w:pPr>
              <w:jc w:val="center"/>
            </w:pPr>
            <w:r>
              <w:rPr>
                <w:rFonts w:ascii="宋体" w:hAnsi="宋体" w:eastAsia="宋体"/>
                <w:sz w:val="16"/>
              </w:rPr>
              <w:t>偏差原因：活动未开展，导致活动参与率为零。整改措施：加强学习，进一步科学规划项目实施进度，进一步督促项目实施</w:t>
            </w:r>
            <w:r>
              <w:rPr>
                <w:rFonts w:hint="eastAsia" w:ascii="宋体" w:hAnsi="宋体"/>
                <w:sz w:val="16"/>
                <w:lang w:eastAsia="zh-CN"/>
              </w:rPr>
              <w:t>进度</w:t>
            </w:r>
            <w:r>
              <w:rPr>
                <w:rFonts w:ascii="宋体" w:hAnsi="宋体" w:eastAsia="宋体"/>
                <w:sz w:val="16"/>
              </w:rPr>
              <w:t>，及时加快资金支付力度。</w:t>
            </w:r>
          </w:p>
        </w:tc>
      </w:tr>
      <w:tr w14:paraId="253FCC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DD5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9E0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EAFF4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BCE8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A44D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C0C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248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B25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675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962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745D0">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288E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BBFE2">
            <w:pPr>
              <w:jc w:val="center"/>
            </w:pPr>
            <w:r>
              <w:rPr>
                <w:rFonts w:ascii="宋体" w:hAnsi="宋体" w:eastAsia="宋体"/>
                <w:sz w:val="16"/>
              </w:rPr>
              <w:t>偏差原因：因工作原因，活动未能及时完成。整改措施：加强学习，进一步科学规划项目实施进度，进一步督促项目实施</w:t>
            </w:r>
            <w:r>
              <w:rPr>
                <w:rFonts w:hint="eastAsia" w:ascii="宋体" w:hAnsi="宋体"/>
                <w:sz w:val="16"/>
                <w:lang w:eastAsia="zh-CN"/>
              </w:rPr>
              <w:t>进度</w:t>
            </w:r>
            <w:r>
              <w:rPr>
                <w:rFonts w:ascii="宋体" w:hAnsi="宋体" w:eastAsia="宋体"/>
                <w:sz w:val="16"/>
              </w:rPr>
              <w:t>，及时加快资金支付力度。</w:t>
            </w:r>
          </w:p>
        </w:tc>
      </w:tr>
      <w:tr w14:paraId="1F6BBF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864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DA1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633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20A7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EC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FEA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DF4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421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1162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630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ED0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0964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47923">
            <w:pPr>
              <w:jc w:val="center"/>
            </w:pPr>
            <w:r>
              <w:rPr>
                <w:rFonts w:ascii="宋体" w:hAnsi="宋体" w:eastAsia="宋体"/>
                <w:sz w:val="16"/>
              </w:rPr>
              <w:t>偏差原因：因项目未实现，导致资金未能形成支出。整改措施：加强学习，进一步科学规划项目实施进度，进一步督促项目实施</w:t>
            </w:r>
            <w:r>
              <w:rPr>
                <w:rFonts w:hint="eastAsia" w:ascii="宋体" w:hAnsi="宋体"/>
                <w:sz w:val="16"/>
                <w:lang w:eastAsia="zh-CN"/>
              </w:rPr>
              <w:t>进度</w:t>
            </w:r>
            <w:r>
              <w:rPr>
                <w:rFonts w:ascii="宋体" w:hAnsi="宋体" w:eastAsia="宋体"/>
                <w:sz w:val="16"/>
              </w:rPr>
              <w:t>，及时加快资金支付力度。</w:t>
            </w:r>
          </w:p>
        </w:tc>
      </w:tr>
      <w:tr w14:paraId="011F03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39C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737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F3D5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8F01F">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CEF49">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C26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25D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C8E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7F3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E20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43F9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3496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1FCDA">
            <w:pPr>
              <w:jc w:val="center"/>
            </w:pPr>
            <w:r>
              <w:rPr>
                <w:rFonts w:ascii="宋体" w:hAnsi="宋体" w:eastAsia="宋体"/>
                <w:sz w:val="16"/>
              </w:rPr>
              <w:t>偏差原因：政协委员近期工作繁忙，导致学习考察未能开展，导致资金未能形成支出。整改措施：加强学习，进一步科学规划项目实施进度，进一步督促项目实施</w:t>
            </w:r>
            <w:r>
              <w:rPr>
                <w:rFonts w:hint="eastAsia" w:ascii="宋体" w:hAnsi="宋体"/>
                <w:sz w:val="16"/>
                <w:lang w:eastAsia="zh-CN"/>
              </w:rPr>
              <w:t>进度</w:t>
            </w:r>
            <w:r>
              <w:rPr>
                <w:rFonts w:ascii="宋体" w:hAnsi="宋体" w:eastAsia="宋体"/>
                <w:sz w:val="16"/>
              </w:rPr>
              <w:t>，及时加快资金支付力度。</w:t>
            </w:r>
          </w:p>
        </w:tc>
      </w:tr>
      <w:tr w14:paraId="6BF814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37E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7801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7AE4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98670">
            <w:pPr>
              <w:jc w:val="center"/>
            </w:pPr>
            <w:r>
              <w:rPr>
                <w:rFonts w:ascii="宋体" w:hAnsi="宋体" w:eastAsia="宋体"/>
                <w:sz w:val="16"/>
              </w:rPr>
              <w:t>提高政协履职水平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8E50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E3E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C7E8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673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1C1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A90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D8036">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2AC8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DA77B">
            <w:pPr>
              <w:jc w:val="center"/>
            </w:pPr>
            <w:r>
              <w:rPr>
                <w:rFonts w:ascii="宋体" w:hAnsi="宋体" w:eastAsia="宋体"/>
                <w:sz w:val="16"/>
              </w:rPr>
              <w:t>偏差原因：因政协委员时间排不开，导致未开展学习培训。整改措施：加强学习，进一步科学规划项目实施进度，进一步督促项目实施</w:t>
            </w:r>
            <w:r>
              <w:rPr>
                <w:rFonts w:hint="eastAsia" w:ascii="宋体" w:hAnsi="宋体"/>
                <w:sz w:val="16"/>
                <w:lang w:eastAsia="zh-CN"/>
              </w:rPr>
              <w:t>进度</w:t>
            </w:r>
            <w:r>
              <w:rPr>
                <w:rFonts w:ascii="宋体" w:hAnsi="宋体" w:eastAsia="宋体"/>
                <w:sz w:val="16"/>
              </w:rPr>
              <w:t>，及时加快资金支付力度。</w:t>
            </w:r>
          </w:p>
        </w:tc>
      </w:tr>
      <w:tr w14:paraId="5FF3E9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B51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3F7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96D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F8787">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DEC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871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3126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DA8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1270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75F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1847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9FF7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83815">
            <w:pPr>
              <w:jc w:val="center"/>
            </w:pPr>
            <w:r>
              <w:rPr>
                <w:rFonts w:ascii="宋体" w:hAnsi="宋体" w:eastAsia="宋体"/>
                <w:sz w:val="16"/>
              </w:rPr>
              <w:t>偏差原因：因未开展活动，所以未开展满意度调查。改进措施：下</w:t>
            </w:r>
            <w:r>
              <w:rPr>
                <w:rFonts w:hint="eastAsia" w:ascii="宋体" w:hAnsi="宋体"/>
                <w:sz w:val="16"/>
                <w:lang w:eastAsia="zh-CN"/>
              </w:rPr>
              <w:t>一年</w:t>
            </w:r>
            <w:r>
              <w:rPr>
                <w:rFonts w:ascii="宋体" w:hAnsi="宋体" w:eastAsia="宋体"/>
                <w:sz w:val="16"/>
              </w:rPr>
              <w:t>合理制定预算执行计划。</w:t>
            </w:r>
          </w:p>
        </w:tc>
      </w:tr>
      <w:tr w14:paraId="0171D5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8CCD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F7A9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B0AE0">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728326">
            <w:pPr>
              <w:jc w:val="center"/>
            </w:pPr>
            <w:r>
              <w:rPr>
                <w:rFonts w:ascii="宋体" w:hAnsi="宋体" w:eastAsia="宋体"/>
                <w:sz w:val="16"/>
              </w:rPr>
              <w:t>0分</w:t>
            </w:r>
          </w:p>
        </w:tc>
      </w:tr>
    </w:tbl>
    <w:p w14:paraId="5D5A98A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8E97AC2">
        <w:tblPrEx>
          <w:tblCellMar>
            <w:top w:w="0" w:type="dxa"/>
            <w:left w:w="108" w:type="dxa"/>
            <w:bottom w:w="0" w:type="dxa"/>
            <w:right w:w="108" w:type="dxa"/>
          </w:tblCellMar>
        </w:tblPrEx>
        <w:tc>
          <w:tcPr>
            <w:tcW w:w="8848" w:type="dxa"/>
            <w:gridSpan w:val="14"/>
            <w:vAlign w:val="center"/>
          </w:tcPr>
          <w:p w14:paraId="630261FC">
            <w:pPr>
              <w:jc w:val="center"/>
            </w:pPr>
            <w:r>
              <w:rPr>
                <w:rFonts w:ascii="宋体" w:hAnsi="宋体" w:eastAsia="宋体"/>
                <w:sz w:val="24"/>
              </w:rPr>
              <w:t>项目支出绩效自评表</w:t>
            </w:r>
          </w:p>
        </w:tc>
      </w:tr>
      <w:tr w14:paraId="0818C70E">
        <w:tblPrEx>
          <w:tblCellMar>
            <w:top w:w="0" w:type="dxa"/>
            <w:left w:w="108" w:type="dxa"/>
            <w:bottom w:w="0" w:type="dxa"/>
            <w:right w:w="108" w:type="dxa"/>
          </w:tblCellMar>
        </w:tblPrEx>
        <w:tc>
          <w:tcPr>
            <w:tcW w:w="8848" w:type="dxa"/>
            <w:gridSpan w:val="14"/>
            <w:vAlign w:val="center"/>
          </w:tcPr>
          <w:p w14:paraId="79B3B965">
            <w:pPr>
              <w:jc w:val="center"/>
            </w:pPr>
            <w:r>
              <w:rPr>
                <w:rFonts w:ascii="宋体" w:hAnsi="宋体" w:eastAsia="宋体"/>
                <w:sz w:val="24"/>
              </w:rPr>
              <w:t>(2024年度)</w:t>
            </w:r>
          </w:p>
        </w:tc>
      </w:tr>
      <w:tr w14:paraId="3128CD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A443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77E54C">
            <w:pPr>
              <w:jc w:val="center"/>
            </w:pPr>
            <w:r>
              <w:rPr>
                <w:rFonts w:ascii="宋体" w:hAnsi="宋体" w:eastAsia="宋体"/>
                <w:sz w:val="16"/>
              </w:rPr>
              <w:t>政协收自治区政协推进建言资政和调研成果转化专项项目</w:t>
            </w:r>
          </w:p>
        </w:tc>
      </w:tr>
      <w:tr w14:paraId="5C36CC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4121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452199">
            <w:pPr>
              <w:jc w:val="center"/>
            </w:pPr>
            <w:r>
              <w:rPr>
                <w:rFonts w:ascii="宋体" w:hAnsi="宋体" w:eastAsia="宋体"/>
                <w:sz w:val="16"/>
              </w:rPr>
              <w:t>喀什地区政协工委办公室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5BB1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79B5B8">
            <w:pPr>
              <w:jc w:val="center"/>
            </w:pPr>
            <w:r>
              <w:rPr>
                <w:rFonts w:ascii="宋体" w:hAnsi="宋体" w:eastAsia="宋体"/>
                <w:sz w:val="16"/>
              </w:rPr>
              <w:t>政协新疆维吾尔自治区委员会喀什地区工作委员会</w:t>
            </w:r>
          </w:p>
        </w:tc>
      </w:tr>
      <w:tr w14:paraId="6A879C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BCD78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3D5F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6996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C3D4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9E70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3604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075C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83D73">
            <w:pPr>
              <w:jc w:val="center"/>
            </w:pPr>
            <w:r>
              <w:rPr>
                <w:rFonts w:ascii="宋体" w:hAnsi="宋体" w:eastAsia="宋体"/>
                <w:sz w:val="16"/>
              </w:rPr>
              <w:t>得分</w:t>
            </w:r>
          </w:p>
        </w:tc>
      </w:tr>
      <w:tr w14:paraId="083173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636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21D9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25FF6">
            <w:pPr>
              <w:jc w:val="center"/>
            </w:pPr>
            <w:r>
              <w:rPr>
                <w:rFonts w:ascii="宋体" w:hAnsi="宋体" w:eastAsia="宋体"/>
                <w:sz w:val="16"/>
              </w:rPr>
              <w:t>14.17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00057">
            <w:pPr>
              <w:jc w:val="center"/>
            </w:pPr>
            <w:r>
              <w:rPr>
                <w:rFonts w:ascii="宋体" w:hAnsi="宋体" w:eastAsia="宋体"/>
                <w:sz w:val="16"/>
              </w:rPr>
              <w:t>14.17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5FBF8">
            <w:pPr>
              <w:jc w:val="center"/>
            </w:pPr>
            <w:r>
              <w:rPr>
                <w:rFonts w:ascii="宋体" w:hAnsi="宋体" w:eastAsia="宋体"/>
                <w:sz w:val="16"/>
              </w:rPr>
              <w:t>14.17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A25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A3EC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D2F47">
            <w:pPr>
              <w:jc w:val="center"/>
            </w:pPr>
            <w:r>
              <w:rPr>
                <w:rFonts w:ascii="宋体" w:hAnsi="宋体" w:eastAsia="宋体"/>
                <w:sz w:val="16"/>
              </w:rPr>
              <w:t>10.00分</w:t>
            </w:r>
          </w:p>
        </w:tc>
      </w:tr>
      <w:tr w14:paraId="416B88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555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014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FF7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1AC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BA3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830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C0B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B73CD">
            <w:pPr>
              <w:jc w:val="center"/>
            </w:pPr>
            <w:r>
              <w:rPr>
                <w:rFonts w:ascii="宋体" w:hAnsi="宋体" w:eastAsia="宋体"/>
                <w:sz w:val="16"/>
              </w:rPr>
              <w:t>—</w:t>
            </w:r>
          </w:p>
        </w:tc>
      </w:tr>
      <w:tr w14:paraId="149867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568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7916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0C799">
            <w:pPr>
              <w:jc w:val="center"/>
            </w:pPr>
            <w:r>
              <w:rPr>
                <w:rFonts w:ascii="宋体" w:hAnsi="宋体" w:eastAsia="宋体"/>
                <w:sz w:val="16"/>
              </w:rPr>
              <w:t>14.17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47B08">
            <w:pPr>
              <w:jc w:val="center"/>
            </w:pPr>
            <w:r>
              <w:rPr>
                <w:rFonts w:ascii="宋体" w:hAnsi="宋体" w:eastAsia="宋体"/>
                <w:sz w:val="16"/>
              </w:rPr>
              <w:t>14.17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C1CE4">
            <w:pPr>
              <w:jc w:val="center"/>
            </w:pPr>
            <w:r>
              <w:rPr>
                <w:rFonts w:ascii="宋体" w:hAnsi="宋体" w:eastAsia="宋体"/>
                <w:sz w:val="16"/>
              </w:rPr>
              <w:t>14.17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A8F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4D9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38CEA">
            <w:pPr>
              <w:jc w:val="center"/>
            </w:pPr>
            <w:r>
              <w:rPr>
                <w:rFonts w:ascii="宋体" w:hAnsi="宋体" w:eastAsia="宋体"/>
                <w:sz w:val="16"/>
              </w:rPr>
              <w:t>—</w:t>
            </w:r>
          </w:p>
        </w:tc>
      </w:tr>
      <w:tr w14:paraId="7BEE3B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EBC9D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2646B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3769ED">
            <w:pPr>
              <w:jc w:val="center"/>
            </w:pPr>
            <w:r>
              <w:rPr>
                <w:rFonts w:ascii="宋体" w:hAnsi="宋体" w:eastAsia="宋体"/>
                <w:sz w:val="16"/>
              </w:rPr>
              <w:t>实际完成情况</w:t>
            </w:r>
          </w:p>
        </w:tc>
      </w:tr>
      <w:tr w14:paraId="6925E3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4EC7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042DE8">
            <w:pPr>
              <w:jc w:val="both"/>
            </w:pPr>
            <w:r>
              <w:rPr>
                <w:rFonts w:ascii="宋体" w:hAnsi="宋体" w:eastAsia="宋体"/>
                <w:sz w:val="16"/>
              </w:rPr>
              <w:t>落实好自治区政协机关党组工作要点，围绕自治区政协党组年初确定的协商议题，组织调研、视察活动和开展调研成果转化试点示范工作。团结动员地区各级政协组织、政协各参加单位和各族各界政协委员，开展调研、视察活动5次以上的活动，此项目资金为进一步保障政协调研、视察工作正常开展发挥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00E13C">
            <w:pPr>
              <w:jc w:val="both"/>
            </w:pPr>
            <w:r>
              <w:rPr>
                <w:rFonts w:ascii="宋体" w:hAnsi="宋体" w:eastAsia="宋体"/>
                <w:sz w:val="16"/>
              </w:rPr>
              <w:t>此项目已完成，用于组织政协系统干部、政协委员赴疆内外开展政协工委年初确定的调研、视察活动2次，紧紧围绕地委深入实施“一二三四五”战略、培育推进“十大产业”、自贸试验区喀什片区建设、新型城镇化建设等中心任务，坚持以铸牢中华民族共同体意识为主线，紧扣完整准确全面贯彻新时代党的治疆方略和事关喀什长治久安的根本性、基础性、长远性问题，深入协商议政、积极建言献策。</w:t>
            </w:r>
          </w:p>
        </w:tc>
      </w:tr>
      <w:tr w14:paraId="7396A1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2BCD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8FA9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E345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371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5F02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655B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051E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B454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06DA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5C3D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3BB9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A659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B1C6B">
            <w:pPr>
              <w:jc w:val="center"/>
            </w:pPr>
            <w:r>
              <w:rPr>
                <w:rFonts w:ascii="宋体" w:hAnsi="宋体" w:eastAsia="宋体"/>
                <w:sz w:val="16"/>
              </w:rPr>
              <w:t>偏差原因分析及改进措施</w:t>
            </w:r>
          </w:p>
        </w:tc>
      </w:tr>
      <w:tr w14:paraId="6A394D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5E7B4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FB11D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9F50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2D56E">
            <w:pPr>
              <w:jc w:val="center"/>
            </w:pPr>
            <w:r>
              <w:rPr>
                <w:rFonts w:ascii="宋体" w:hAnsi="宋体" w:eastAsia="宋体"/>
                <w:sz w:val="16"/>
              </w:rPr>
              <w:t>组织开展调研、视察、考察活动次数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02F93">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5D3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B4AA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1A06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91D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F97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D92F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AE78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514EB">
            <w:pPr>
              <w:jc w:val="center"/>
            </w:pPr>
            <w:r>
              <w:rPr>
                <w:rFonts w:ascii="宋体" w:hAnsi="宋体" w:eastAsia="宋体"/>
                <w:sz w:val="16"/>
              </w:rPr>
              <w:t>偏差原因：经我单位本年重点工作安排，实际</w:t>
            </w:r>
            <w:r>
              <w:rPr>
                <w:rFonts w:hint="eastAsia" w:ascii="宋体" w:hAnsi="宋体"/>
                <w:sz w:val="16"/>
                <w:lang w:eastAsia="zh-CN"/>
              </w:rPr>
              <w:t>完成</w:t>
            </w:r>
            <w:r>
              <w:rPr>
                <w:rFonts w:ascii="宋体" w:hAnsi="宋体" w:eastAsia="宋体"/>
                <w:sz w:val="16"/>
              </w:rPr>
              <w:t>2次，年初指标设置不精准；改进措施：下一年度组织单位人员提前研判，合理制定绩效目标；</w:t>
            </w:r>
          </w:p>
        </w:tc>
      </w:tr>
      <w:tr w14:paraId="3F6560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9E4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E5F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D3E7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0321A">
            <w:pPr>
              <w:jc w:val="center"/>
            </w:pPr>
            <w:r>
              <w:rPr>
                <w:rFonts w:ascii="宋体" w:hAnsi="宋体" w:eastAsia="宋体"/>
                <w:sz w:val="16"/>
              </w:rPr>
              <w:t>开展活动参与率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612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CD1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CF6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3351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9031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871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950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3509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CDDB3">
            <w:pPr>
              <w:jc w:val="center"/>
            </w:pPr>
          </w:p>
        </w:tc>
      </w:tr>
      <w:tr w14:paraId="1626C1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E90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A5C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C9CA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9377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CF99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6F8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C76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CE2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C73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55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904E6">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D39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6113E">
            <w:pPr>
              <w:jc w:val="center"/>
            </w:pPr>
          </w:p>
        </w:tc>
      </w:tr>
      <w:tr w14:paraId="0C5A20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3F5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BDE58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A4F69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F8DFC">
            <w:pPr>
              <w:jc w:val="center"/>
            </w:pPr>
            <w:r>
              <w:rPr>
                <w:rFonts w:ascii="宋体" w:hAnsi="宋体" w:eastAsia="宋体"/>
                <w:sz w:val="16"/>
              </w:rPr>
              <w:t>组织开展调研、视察、考察活动成本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7EB93">
            <w:pPr>
              <w:jc w:val="center"/>
            </w:pPr>
            <w:r>
              <w:rPr>
                <w:rFonts w:ascii="宋体" w:hAnsi="宋体" w:eastAsia="宋体"/>
                <w:sz w:val="16"/>
              </w:rPr>
              <w:t>&lt;=10.27万元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CE0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F5630">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E7D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206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729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FFD73">
            <w:pPr>
              <w:jc w:val="center"/>
            </w:pPr>
            <w:r>
              <w:rPr>
                <w:rFonts w:ascii="宋体" w:hAnsi="宋体" w:eastAsia="宋体"/>
                <w:sz w:val="16"/>
              </w:rPr>
              <w:t>=10.27万元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B24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B1CE3">
            <w:pPr>
              <w:jc w:val="center"/>
            </w:pPr>
          </w:p>
        </w:tc>
      </w:tr>
      <w:tr w14:paraId="7CE12C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9B4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A23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E3A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CA9C5">
            <w:pPr>
              <w:jc w:val="center"/>
            </w:pPr>
            <w:r>
              <w:rPr>
                <w:rFonts w:ascii="宋体" w:hAnsi="宋体" w:eastAsia="宋体"/>
                <w:sz w:val="16"/>
              </w:rPr>
              <w:t>开展调研活动车辆费成本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1976C">
            <w:pPr>
              <w:jc w:val="center"/>
            </w:pPr>
            <w:r>
              <w:rPr>
                <w:rFonts w:ascii="宋体" w:hAnsi="宋体" w:eastAsia="宋体"/>
                <w:sz w:val="16"/>
              </w:rPr>
              <w:t>&lt;=3.90万元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BFA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84F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D26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662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BD4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B7914">
            <w:pPr>
              <w:jc w:val="center"/>
            </w:pPr>
            <w:r>
              <w:rPr>
                <w:rFonts w:ascii="宋体" w:hAnsi="宋体" w:eastAsia="宋体"/>
                <w:sz w:val="16"/>
              </w:rPr>
              <w:t>=3.9万元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15C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84DC4">
            <w:pPr>
              <w:jc w:val="center"/>
            </w:pPr>
          </w:p>
        </w:tc>
      </w:tr>
      <w:tr w14:paraId="7B0875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C09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66EE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092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2AB18">
            <w:pPr>
              <w:jc w:val="center"/>
            </w:pPr>
            <w:r>
              <w:rPr>
                <w:rFonts w:ascii="宋体" w:hAnsi="宋体" w:eastAsia="宋体"/>
                <w:sz w:val="16"/>
              </w:rPr>
              <w:t>建言资政和凝聚共识能力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0FAE5">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C5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1B53E">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4B4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608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90E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B56B8">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6879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4DAA1">
            <w:pPr>
              <w:jc w:val="center"/>
            </w:pPr>
          </w:p>
        </w:tc>
      </w:tr>
      <w:tr w14:paraId="4C2C60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E9A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9F5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947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09454">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FA5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B96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E10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CFE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4796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89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C44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887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7E9E9">
            <w:pPr>
              <w:jc w:val="center"/>
            </w:pPr>
          </w:p>
        </w:tc>
      </w:tr>
      <w:tr w14:paraId="0C97DE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70414">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D003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5CC3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3F6DA0">
            <w:pPr>
              <w:jc w:val="center"/>
            </w:pPr>
            <w:r>
              <w:rPr>
                <w:rFonts w:ascii="宋体" w:hAnsi="宋体" w:eastAsia="宋体"/>
                <w:sz w:val="16"/>
              </w:rPr>
              <w:t>85分</w:t>
            </w:r>
          </w:p>
        </w:tc>
      </w:tr>
    </w:tbl>
    <w:p w14:paraId="64E80E2A">
      <w:r>
        <w:br w:type="page"/>
      </w:r>
    </w:p>
    <w:p w14:paraId="0BF232A2">
      <w:pPr>
        <w:spacing w:line="640" w:lineRule="exact"/>
        <w:ind w:firstLine="640"/>
        <w:jc w:val="both"/>
        <w:outlineLvl w:val="2"/>
      </w:pPr>
      <w:r>
        <w:rPr>
          <w:rFonts w:ascii="黑体" w:hAnsi="黑体" w:eastAsia="黑体"/>
          <w:sz w:val="32"/>
        </w:rPr>
        <w:t>十二、其他需说明的事项</w:t>
      </w:r>
    </w:p>
    <w:p w14:paraId="49EEAA8C">
      <w:pPr>
        <w:spacing w:line="580" w:lineRule="exact"/>
        <w:ind w:firstLine="640"/>
        <w:jc w:val="both"/>
      </w:pPr>
      <w:r>
        <w:rPr>
          <w:rFonts w:ascii="仿宋_GB2312" w:hAnsi="仿宋_GB2312" w:eastAsia="仿宋_GB2312"/>
          <w:b w:val="0"/>
          <w:sz w:val="32"/>
        </w:rPr>
        <w:t>本单位无其他需说明的事项。</w:t>
      </w:r>
    </w:p>
    <w:p w14:paraId="41BFA9F9">
      <w:r>
        <w:br w:type="page"/>
      </w:r>
    </w:p>
    <w:p w14:paraId="38BCE0DE">
      <w:pPr>
        <w:spacing w:line="240" w:lineRule="auto"/>
        <w:jc w:val="center"/>
        <w:outlineLvl w:val="1"/>
      </w:pPr>
      <w:r>
        <w:rPr>
          <w:rFonts w:ascii="黑体" w:hAnsi="黑体" w:eastAsia="黑体"/>
          <w:sz w:val="32"/>
        </w:rPr>
        <w:t>第三部分 专业名词解释</w:t>
      </w:r>
    </w:p>
    <w:p w14:paraId="7B67E2D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8B19B4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7E0E34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BDC67D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50B804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CAB34D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0BF4C0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33D3B9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54AEE1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0B9763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E1D000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8FD4AE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B00F5C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A67802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0D34446">
      <w:r>
        <w:br w:type="page"/>
      </w:r>
    </w:p>
    <w:p w14:paraId="49199988">
      <w:pPr>
        <w:spacing w:line="240" w:lineRule="auto"/>
        <w:jc w:val="center"/>
        <w:outlineLvl w:val="1"/>
      </w:pPr>
      <w:r>
        <w:rPr>
          <w:rFonts w:ascii="黑体" w:hAnsi="黑体" w:eastAsia="黑体"/>
          <w:sz w:val="32"/>
        </w:rPr>
        <w:t>第四部分 部门决算报表（见附表）</w:t>
      </w:r>
    </w:p>
    <w:p w14:paraId="4F2E81E0">
      <w:pPr>
        <w:spacing w:line="240" w:lineRule="auto"/>
        <w:ind w:firstLine="640"/>
        <w:jc w:val="both"/>
      </w:pPr>
      <w:r>
        <w:rPr>
          <w:rFonts w:ascii="仿宋_GB2312" w:hAnsi="仿宋_GB2312" w:eastAsia="仿宋_GB2312"/>
          <w:b w:val="0"/>
          <w:sz w:val="32"/>
        </w:rPr>
        <w:t>一、《收入支出决算总表》</w:t>
      </w:r>
    </w:p>
    <w:p w14:paraId="78C54277">
      <w:pPr>
        <w:spacing w:line="240" w:lineRule="auto"/>
        <w:ind w:firstLine="640"/>
        <w:jc w:val="both"/>
      </w:pPr>
      <w:r>
        <w:rPr>
          <w:rFonts w:ascii="仿宋_GB2312" w:hAnsi="仿宋_GB2312" w:eastAsia="仿宋_GB2312"/>
          <w:b w:val="0"/>
          <w:sz w:val="32"/>
        </w:rPr>
        <w:t>二、《收入决算表》</w:t>
      </w:r>
    </w:p>
    <w:p w14:paraId="4391DBAD">
      <w:pPr>
        <w:spacing w:line="240" w:lineRule="auto"/>
        <w:ind w:firstLine="640"/>
        <w:jc w:val="both"/>
      </w:pPr>
      <w:r>
        <w:rPr>
          <w:rFonts w:ascii="仿宋_GB2312" w:hAnsi="仿宋_GB2312" w:eastAsia="仿宋_GB2312"/>
          <w:b w:val="0"/>
          <w:sz w:val="32"/>
        </w:rPr>
        <w:t>三、《支出决算表》</w:t>
      </w:r>
    </w:p>
    <w:p w14:paraId="05A6764D">
      <w:pPr>
        <w:spacing w:line="240" w:lineRule="auto"/>
        <w:ind w:firstLine="640"/>
        <w:jc w:val="both"/>
      </w:pPr>
      <w:r>
        <w:rPr>
          <w:rFonts w:ascii="仿宋_GB2312" w:hAnsi="仿宋_GB2312" w:eastAsia="仿宋_GB2312"/>
          <w:b w:val="0"/>
          <w:sz w:val="32"/>
        </w:rPr>
        <w:t>四、《财政拨款收入支出决算总表》</w:t>
      </w:r>
    </w:p>
    <w:p w14:paraId="70B308A0">
      <w:pPr>
        <w:spacing w:line="240" w:lineRule="auto"/>
        <w:ind w:firstLine="640"/>
        <w:jc w:val="both"/>
      </w:pPr>
      <w:r>
        <w:rPr>
          <w:rFonts w:ascii="仿宋_GB2312" w:hAnsi="仿宋_GB2312" w:eastAsia="仿宋_GB2312"/>
          <w:b w:val="0"/>
          <w:sz w:val="32"/>
        </w:rPr>
        <w:t>五、《一般公共预算财政拨款支出决算表》</w:t>
      </w:r>
    </w:p>
    <w:p w14:paraId="1343AEFC">
      <w:pPr>
        <w:spacing w:line="240" w:lineRule="auto"/>
        <w:ind w:firstLine="640"/>
        <w:jc w:val="both"/>
      </w:pPr>
      <w:r>
        <w:rPr>
          <w:rFonts w:ascii="仿宋_GB2312" w:hAnsi="仿宋_GB2312" w:eastAsia="仿宋_GB2312"/>
          <w:b w:val="0"/>
          <w:sz w:val="32"/>
        </w:rPr>
        <w:t>六、《一般公共预算财政拨款基本支出决算表》</w:t>
      </w:r>
    </w:p>
    <w:p w14:paraId="4BAEEBA7">
      <w:pPr>
        <w:spacing w:line="240" w:lineRule="auto"/>
        <w:ind w:firstLine="640"/>
        <w:jc w:val="both"/>
      </w:pPr>
      <w:r>
        <w:rPr>
          <w:rFonts w:ascii="仿宋_GB2312" w:hAnsi="仿宋_GB2312" w:eastAsia="仿宋_GB2312"/>
          <w:b w:val="0"/>
          <w:sz w:val="32"/>
        </w:rPr>
        <w:t>七、《政府性基金预算财政拨款收入支出决算表》</w:t>
      </w:r>
    </w:p>
    <w:p w14:paraId="4799E664">
      <w:pPr>
        <w:spacing w:line="240" w:lineRule="auto"/>
        <w:ind w:firstLine="640"/>
        <w:jc w:val="both"/>
      </w:pPr>
      <w:r>
        <w:rPr>
          <w:rFonts w:ascii="仿宋_GB2312" w:hAnsi="仿宋_GB2312" w:eastAsia="仿宋_GB2312"/>
          <w:b w:val="0"/>
          <w:sz w:val="32"/>
        </w:rPr>
        <w:t>八、《国有资本经营预算财政拨款收入支出决算表》</w:t>
      </w:r>
    </w:p>
    <w:p w14:paraId="18BCE7D3">
      <w:pPr>
        <w:spacing w:line="240" w:lineRule="auto"/>
        <w:ind w:firstLine="640"/>
        <w:jc w:val="both"/>
      </w:pPr>
      <w:r>
        <w:rPr>
          <w:rFonts w:ascii="仿宋_GB2312" w:hAnsi="仿宋_GB2312" w:eastAsia="仿宋_GB2312"/>
          <w:b w:val="0"/>
          <w:sz w:val="32"/>
        </w:rPr>
        <w:t>九、《财政拨款“三公”经费支出决算表》</w:t>
      </w:r>
    </w:p>
    <w:p w14:paraId="1690F4B0">
      <w:pPr>
        <w:spacing w:line="240" w:lineRule="auto"/>
        <w:ind w:firstLine="640"/>
        <w:jc w:val="both"/>
      </w:pPr>
    </w:p>
    <w:p w14:paraId="72C8B00B">
      <w:pPr>
        <w:spacing w:line="240" w:lineRule="auto"/>
        <w:ind w:firstLine="640"/>
        <w:jc w:val="both"/>
      </w:pPr>
    </w:p>
    <w:p w14:paraId="0A8FB453">
      <w:pPr>
        <w:spacing w:line="240" w:lineRule="auto"/>
        <w:ind w:firstLine="640"/>
        <w:jc w:val="both"/>
      </w:pPr>
    </w:p>
    <w:p w14:paraId="2E68A958">
      <w:pPr>
        <w:spacing w:line="240" w:lineRule="auto"/>
        <w:ind w:firstLine="640"/>
        <w:jc w:val="both"/>
      </w:pPr>
    </w:p>
    <w:p w14:paraId="2DF6820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ABA0373-0FAF-40F1-922F-E9011062067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61DE9659-E5C6-4015-A671-DAE2E3901B6E}"/>
  </w:font>
  <w:font w:name="方正小标宋_GBK">
    <w:panose1 w:val="02000000000000000000"/>
    <w:charset w:val="86"/>
    <w:family w:val="script"/>
    <w:pitch w:val="default"/>
    <w:sig w:usb0="A00002BF" w:usb1="38CF7CFA" w:usb2="00082016" w:usb3="00000000" w:csb0="00040001" w:csb1="00000000"/>
    <w:embedRegular r:id="rId3" w:fontKey="{9DF6684A-6BCA-46D3-8D3E-E543F466033E}"/>
  </w:font>
  <w:font w:name="楷体_GB2312">
    <w:altName w:val="楷体"/>
    <w:panose1 w:val="02010609030101010101"/>
    <w:charset w:val="86"/>
    <w:family w:val="auto"/>
    <w:pitch w:val="default"/>
    <w:sig w:usb0="00000000" w:usb1="00000000" w:usb2="00000000" w:usb3="00000000" w:csb0="00040000" w:csb1="00000000"/>
    <w:embedRegular r:id="rId4" w:fontKey="{1C91E03A-5EB6-4D6E-8B66-EE5733CD30E6}"/>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1C71484"/>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3A38B0"/>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2B2D79"/>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5565</Words>
  <Characters>6288</Characters>
  <Lines>0</Lines>
  <Paragraphs>0</Paragraphs>
  <TotalTime>5</TotalTime>
  <ScaleCrop>false</ScaleCrop>
  <LinksUpToDate>false</LinksUpToDate>
  <CharactersWithSpaces>6297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2025-09-22T02:39:11Z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