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91ECB">
      <w:pPr>
        <w:spacing w:line="570" w:lineRule="exact"/>
        <w:jc w:val="center"/>
        <w:rPr>
          <w:rFonts w:ascii="华文中宋" w:hAnsi="华文中宋" w:eastAsia="华文中宋" w:cs="宋体"/>
          <w:b/>
          <w:kern w:val="0"/>
          <w:sz w:val="52"/>
          <w:szCs w:val="52"/>
        </w:rPr>
      </w:pPr>
    </w:p>
    <w:p w14:paraId="7114C870">
      <w:pPr>
        <w:spacing w:line="570" w:lineRule="exact"/>
        <w:jc w:val="center"/>
        <w:rPr>
          <w:rFonts w:ascii="华文中宋" w:hAnsi="华文中宋" w:eastAsia="华文中宋" w:cs="宋体"/>
          <w:b/>
          <w:kern w:val="0"/>
          <w:sz w:val="52"/>
          <w:szCs w:val="52"/>
        </w:rPr>
      </w:pPr>
    </w:p>
    <w:p w14:paraId="26895FBE">
      <w:pPr>
        <w:spacing w:line="570" w:lineRule="exact"/>
        <w:jc w:val="center"/>
        <w:rPr>
          <w:rFonts w:ascii="华文中宋" w:hAnsi="华文中宋" w:eastAsia="华文中宋" w:cs="宋体"/>
          <w:b/>
          <w:kern w:val="0"/>
          <w:sz w:val="52"/>
          <w:szCs w:val="52"/>
        </w:rPr>
      </w:pPr>
    </w:p>
    <w:p w14:paraId="14A10AA7">
      <w:pPr>
        <w:spacing w:line="570" w:lineRule="exact"/>
        <w:jc w:val="center"/>
        <w:rPr>
          <w:rFonts w:ascii="华文中宋" w:hAnsi="华文中宋" w:eastAsia="华文中宋" w:cs="宋体"/>
          <w:b/>
          <w:kern w:val="0"/>
          <w:sz w:val="52"/>
          <w:szCs w:val="52"/>
        </w:rPr>
      </w:pPr>
    </w:p>
    <w:p w14:paraId="7188AE34">
      <w:pPr>
        <w:spacing w:line="570" w:lineRule="exact"/>
        <w:jc w:val="both"/>
        <w:rPr>
          <w:rFonts w:ascii="华文中宋" w:hAnsi="华文中宋" w:eastAsia="华文中宋" w:cs="宋体"/>
          <w:b/>
          <w:kern w:val="0"/>
          <w:sz w:val="52"/>
          <w:szCs w:val="52"/>
        </w:rPr>
      </w:pPr>
    </w:p>
    <w:p w14:paraId="4985C040">
      <w:pPr>
        <w:spacing w:line="570" w:lineRule="exact"/>
        <w:jc w:val="center"/>
        <w:rPr>
          <w:rFonts w:ascii="华文中宋" w:hAnsi="华文中宋" w:eastAsia="华文中宋" w:cs="宋体"/>
          <w:b/>
          <w:kern w:val="0"/>
          <w:sz w:val="52"/>
          <w:szCs w:val="52"/>
        </w:rPr>
      </w:pPr>
    </w:p>
    <w:p w14:paraId="1680547C">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3308B78D">
      <w:pPr>
        <w:spacing w:line="570" w:lineRule="exact"/>
        <w:jc w:val="center"/>
        <w:rPr>
          <w:rFonts w:ascii="华文中宋" w:hAnsi="华文中宋" w:eastAsia="华文中宋" w:cs="宋体"/>
          <w:b/>
          <w:kern w:val="0"/>
          <w:sz w:val="52"/>
          <w:szCs w:val="52"/>
        </w:rPr>
      </w:pPr>
    </w:p>
    <w:p w14:paraId="5E8C74F8">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AF43891">
      <w:pPr>
        <w:spacing w:line="570" w:lineRule="exact"/>
        <w:jc w:val="center"/>
        <w:rPr>
          <w:rFonts w:hAnsi="宋体" w:eastAsia="仿宋_GB2312" w:cs="宋体"/>
          <w:kern w:val="0"/>
          <w:sz w:val="30"/>
          <w:szCs w:val="30"/>
        </w:rPr>
      </w:pPr>
    </w:p>
    <w:p w14:paraId="7C4560E2">
      <w:pPr>
        <w:spacing w:line="570" w:lineRule="exact"/>
        <w:jc w:val="center"/>
        <w:rPr>
          <w:rFonts w:hAnsi="宋体" w:eastAsia="仿宋_GB2312" w:cs="宋体"/>
          <w:kern w:val="0"/>
          <w:sz w:val="30"/>
          <w:szCs w:val="30"/>
        </w:rPr>
      </w:pPr>
    </w:p>
    <w:p w14:paraId="09F59D45">
      <w:pPr>
        <w:spacing w:line="570" w:lineRule="exact"/>
        <w:jc w:val="center"/>
        <w:rPr>
          <w:rFonts w:hAnsi="宋体" w:eastAsia="仿宋_GB2312" w:cs="宋体"/>
          <w:kern w:val="0"/>
          <w:sz w:val="30"/>
          <w:szCs w:val="30"/>
        </w:rPr>
      </w:pPr>
    </w:p>
    <w:p w14:paraId="30F642C1">
      <w:pPr>
        <w:spacing w:line="570" w:lineRule="exact"/>
        <w:jc w:val="center"/>
        <w:rPr>
          <w:rFonts w:hAnsi="宋体" w:eastAsia="仿宋_GB2312" w:cs="宋体"/>
          <w:kern w:val="0"/>
          <w:sz w:val="30"/>
          <w:szCs w:val="30"/>
        </w:rPr>
      </w:pPr>
    </w:p>
    <w:p w14:paraId="07A0258C">
      <w:pPr>
        <w:spacing w:line="570" w:lineRule="exact"/>
        <w:jc w:val="center"/>
        <w:rPr>
          <w:rFonts w:hAnsi="宋体" w:eastAsia="仿宋_GB2312" w:cs="宋体"/>
          <w:kern w:val="0"/>
          <w:sz w:val="30"/>
          <w:szCs w:val="30"/>
        </w:rPr>
      </w:pPr>
    </w:p>
    <w:p w14:paraId="09670D9A">
      <w:pPr>
        <w:spacing w:line="570" w:lineRule="exact"/>
        <w:jc w:val="center"/>
        <w:rPr>
          <w:rFonts w:hAnsi="宋体" w:eastAsia="仿宋_GB2312" w:cs="宋体"/>
          <w:kern w:val="0"/>
          <w:sz w:val="30"/>
          <w:szCs w:val="30"/>
        </w:rPr>
      </w:pPr>
    </w:p>
    <w:p w14:paraId="252E0A65">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政协业务工作项目</w:t>
      </w:r>
    </w:p>
    <w:p w14:paraId="11BFABC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政协新疆维吾尔自治区委员会喀什地区工作委员会</w:t>
      </w:r>
    </w:p>
    <w:p w14:paraId="2712B933">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政协新疆维吾尔自治区委员会喀什地区工作委员会</w:t>
      </w:r>
      <w:bookmarkStart w:id="0" w:name="_GoBack"/>
      <w:bookmarkEnd w:id="0"/>
    </w:p>
    <w:p w14:paraId="41B25DB2">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周忠赞</w:t>
      </w:r>
    </w:p>
    <w:p w14:paraId="23A4E126">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14:paraId="3369BD2E">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69A4C19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946B0EB">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F03B96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政协喀什地区工委党组2024年工作要点》（喀协党发〔2024〕1号）等相关政策文件与规定，旨在保障地区政协工委业务工作以及日常办公保障项目实施前期、过程及效果，评价财政预算资金使用的效率及效益。通过实施该项目，充分发挥了政协党组在政协工作中把方向、管大局、保落实的领导任用，团结动员地区各级政协组织、政协各参加单位和各族各界政协委员，围绕“一个中心”、坚持“两个发力”、提高“三个水平”、增强“四个能力”、完善“五个机制”、抓好“六项工作”，统筹发展和安全，统筹开放和稳定，坚持有事多商量、遇事多商量、做事多商量，加强制度化、规范化、程序化功能建设，把政协制度优势转化为喀什治理效能，为推进中国式现代化喀什实践贡献政协智慧和力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主要内容。本项目建设主要服务于地区政协工委发挥人民政协参政议政的作用。全年地区政协工委办公室紧紧围绕喀什经济高质量发展大局，推进中国式现代化喀什篇章深入协商议政，全年，开展参加政协会议、开展调研、视察活动15次、保障政协业务工作开展10次。通过增强履职实效，不断完善发挥统一战线凝聚人心、汇聚力量政治作用的工作机制，为推进中国式现代化喀什篇章广泛凝聚人心、凝聚共识、凝聚智慧、凝聚力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情况。项目实施前由项目负责人周忠赞进行牵头，首先进行项目的前期调研，评估项目实施的相关性、预期绩效的可实现性、实施方案的有效性、财政资金投入可行性风险。其次在项目实施过程中结合本单位的实际要求，严格按照相关文件的规定开展，全年开展参加政协会议、开展调研、视察活动15次、保障政协业务工作开展10次。在项目实施过程中不定期进行监督检查，发现问题及时整改。最后项目结束时实施单位及时进行成果验收，做好项目的后期管护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政协工委办公室为全额财政拨款行政单位，内设秘书与文史资料科、信息联络科、综合科、提案督查科、委员联络中心（事业）。主要职能为：协助政协工委领导履行职责的参谋助手，负责日常工作的综合协调，承担机关日常文电处理，文件文稿的起草、修改、审核和制发、立卷、归档、清理和销毁等工作，负责政协各类会议的筹备、组织和服务工作；工委领导同志的公务活动安排，统筹协调公务活动接待服务。负责保障组织开展专题协商，专题调研，学习考察，委员视察活动等顺利实施，充分发挥专门协商机构作用，履行政治协商、民主监督、参政议政三大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编制人数29人，其中：行政人员编制15人、工勤9人、事业编制5人。实有在职人数26人，其中：行政在职22人、工勤5人、事业在职0人。离退休人员34人，其中：离休1人，行政退休人员29人、工勤退休4人。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根据《关于批复2024年喀什地区本级部门预算的通知》（喀地财发〔2024〕1号）共安排下达资金70.47万元，为本级财政拨款项目资金，最终确定项目资金总数为70.47万元。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65.39万元，预算执行率92.8%。资金主要用于：调研、视察等活动差旅费31.97万元、办公费用3.41万元、租赁费用4.15万元、委托业务费用0.2万元、其他交通费用3万元、办公设备购置费用3.02万元、维修维护费用3.5万元、劳务费15.58万元、邮电费费用0.16万元、取暖费0.4万元。</w:t>
      </w:r>
    </w:p>
    <w:p w14:paraId="58EE964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B67440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全年持续组织开展专题协商3次，专题调研7次，学习考察3次，委员视察2次，共计15次。上报的协商报告、调研报告等均得到地委主要领导批示；二是及时保障日常办公耗材，按时支付调研车辆、内调干部房屋租赁费、学习宣传费等，充分发挥专门协商机构作用，为推进中国式现代化喀什篇章广泛凝聚人心、凝聚共识、凝聚智慧、凝聚力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一是办公室制定《喀什地区政协工委党组2024年工作要点》《政协喀什地区工作委员会2024年协商计划》，财务室根据工作要点、协商计划确定全年调研、视察、考察活动差旅费及车辆租赁费，做好经费预算；二是根据上一年度工作完成情况和项目支出情况，由各科室列出下一年度工作计划，及时制定经费执行计划、列好政府采购预算；三是根据政协工委机关党组安排，根据工作实际及时补充办公物资，做好后勤保障服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机关财务室严格遵循地区政协工委办公室各项内控制度、财管管理制度对调研、视察、考察活动差旅费、车辆租赁费以及办公耗材购买费用支付严格执行。差旅费、车辆租赁费支出，由具体活动组织者提供活动方案、通知、调研报告等到财务室填写报销单，由财务人员审核确定无误后支出；办公耗材购买等支出由提出者填写《耗材购买审批单》，经科室负责人、处室负责人以及办公室负责人签字审核以后，提交财务人员通过政采云平台进行采购。同时办公室对项目执行全过程进行监督，对超过1万元以上的大额支出，及时提交机关党组会议研究集体研究决策后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坚持“谁实施项目、谁负责验收”原则，项目负责人牵头成立验收小组，对所采购办公物资、办公设备、会场服务等进行验收，验收合格后验收成员签字确认，确保每一笔采购验收合格，提高项目实施质量。</w:t>
      </w:r>
    </w:p>
    <w:p w14:paraId="18D2A71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0E86FBA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7CD8FD1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结合地区实际情况，实施部门项目绩效评价的具体目的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（1）评估项目实施效果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（2）提升资源利用效率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（3）强化项目管理责任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（4）为决策提供支持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（5）促进项目持续改进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地区政协工委业务工作以及日常办公保障项目为评价对象，项目预算涵盖2024年1月1日至2024年12月31日的全部资金投入与支出。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本项目预算绩效评价报告的评价范围广泛而全面，涵盖了从项目立项至评价时点期间的所有关键预算活动和财务流程。具体而言，评价范围包括以下几个方面：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（2）资金管理：深入分析项目资金的分配、使用和监管情况，确保资金使用的合规性、高效性和透明度。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14:paraId="0FA2C5E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1C89D0B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政协业务工作项目综合评分表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2.5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2.46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12.36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95.32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（4）项目效益方面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2CA2ADC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4A70E6F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吴健强任评价组组长，绩效评价工作职责为负责全盘工作。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周忠赞任评价组副组长，绩效评价工作职责为对项目实施情况进行实地调查。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王艳任评价组成员，绩效评价工作职责为负责资料审核等工作。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6930640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5D8A87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政协业务工作项目，增强地区政协履职实效，不断完善发挥统一战线凝聚人心、汇聚力量政治作用的工作机制，为推进中国式现代化喀什篇章广泛凝聚人心、凝聚共识、凝聚智慧、凝聚力量。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喀什地区政协工委党组2024年工作要点》（喀协党发〔2024〕1号）、《政协喀什地区工作委员会2024年协商计划》（喀协发〔2024〕1号）要求，参照《政协喀什地区工作委员会机关机构改革方案的通知》（喀党委字〔2003〕2号）中的制定的政协职能和主要职责，结合年度工作实际，根据调研、视察、考察学习活动工作要求，成立本项目，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地委专项业务项目预算安排70.47万元，实际支出65.39万元，预算执行率92.8%。项目资金使用合规，项目财务管理制度健全，财务监督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截至2024年12月31日，全年共计开展参加政协会议、开展调研、视察活动15次、保障政协业务工作开展10次。按时支付调研车辆、内调干部房屋租赁费、学习宣传费等，通过项目实施充分发挥政协专门协商机构作用，为推进中国式现代化喀什篇章广泛凝聚人心、凝聚共识、凝聚智慧、凝聚力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充分发挥了政协党组在政协工作中把方向、管大局、保落实的领导任用，团结动员地区各级政协组织、政协各参加单位和各族各界政协委员，围绕“一个中心”、坚持“两个发力”、提高“三个水平”、增强“四个能力”、完善“五个机制”、抓好“六项工作”，统筹发展和安全，统筹开放和稳定，坚持有事多商量、遇事多商量、做事多商量，加强制度化、规范化、程序化功能建设，把政协制度优势转化为喀什治理效能，为推进中国式现代化喀什实践贡献政协智慧和力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地区政协工委业务工作以及日常办公保障项目进行客观评价，最终评分结果：评价总分95.32分，绩效等级为“优”。每项一级指标得分情况见下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政协业务工作项目绩效评价评分汇总表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 xml:space="preserve">        13.5</w:t>
      </w:r>
      <w:r>
        <w:rPr>
          <w:rStyle w:val="18"/>
          <w:rFonts w:hint="eastAsia" w:ascii="仿宋" w:hAnsi="仿宋" w:eastAsia="仿宋" w:cs="仿宋"/>
          <w:b w:val="0"/>
          <w:bCs w:val="0"/>
          <w:spacing w:val="-4"/>
          <w:sz w:val="32"/>
          <w:szCs w:val="32"/>
        </w:rPr>
        <w:tab/>
        <w:t>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 xml:space="preserve">        19.46</w:t>
      </w:r>
      <w:r>
        <w:rPr>
          <w:rStyle w:val="18"/>
          <w:rFonts w:hint="eastAsia" w:ascii="仿宋" w:hAnsi="仿宋" w:eastAsia="仿宋" w:cs="仿宋"/>
          <w:b w:val="0"/>
          <w:bCs w:val="0"/>
          <w:spacing w:val="-4"/>
          <w:sz w:val="32"/>
          <w:szCs w:val="32"/>
        </w:rPr>
        <w:tab/>
        <w:t>97.3%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 xml:space="preserve">        42.36</w:t>
      </w:r>
      <w:r>
        <w:rPr>
          <w:rStyle w:val="18"/>
          <w:rFonts w:hint="eastAsia" w:ascii="仿宋" w:hAnsi="仿宋" w:eastAsia="仿宋" w:cs="仿宋"/>
          <w:b w:val="0"/>
          <w:bCs w:val="0"/>
          <w:spacing w:val="-4"/>
          <w:sz w:val="32"/>
          <w:szCs w:val="32"/>
        </w:rPr>
        <w:tab/>
        <w:t>94.13%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t xml:space="preserve">        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 xml:space="preserve">        95.32</w:t>
      </w:r>
      <w:r>
        <w:rPr>
          <w:rStyle w:val="18"/>
          <w:rFonts w:hint="eastAsia" w:ascii="仿宋" w:hAnsi="仿宋" w:eastAsia="仿宋" w:cs="仿宋"/>
          <w:b w:val="0"/>
          <w:bCs w:val="0"/>
          <w:spacing w:val="-4"/>
          <w:sz w:val="32"/>
          <w:szCs w:val="32"/>
        </w:rPr>
        <w:tab/>
        <w:t>95.32%</w:t>
      </w:r>
    </w:p>
    <w:p w14:paraId="679B6AEA">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49F44C1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16DF645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项目决策类指标包括项目立项、绩效目标和资金投入三方面的内容，由6个三级指标构成，权重分为15分，实际得分13.5分，得分率为90%。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政协喀什地区工作委员会机关机构改革方案的通知》（喀党委字〔2003〕2号）职责范围中的“负责委员、工会各类会议的筹备、组织和服务工作；负责工委领导同志的公务活动安排，统筹协调公务活动接待服务”，属于我单位履职所需；根据《财政资金直接支付申请书》，本项目资金性质为“公共财政预算”功能分类为“2013102”属于公共财政支持范围，符合中央、地方事权支出责任划分原则；经检查我单位财政管理一体化信息系统，本项目不存在重复。结合秘书与文史资料科、信息联络科、综合科、提案督查科、委员联络中心工作职责，并组织实施该项目。围绕“四科一中心”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①该项目已设置年度绩效目标，具体内容为：计划保障参加各级政协会议、开展调研视察活动15次以及保障政协业务工作开展10次；按时支付调研车辆、内调干部房屋租赁费、学习宣传费等绩效目标。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②该项目实际工作内容为：截至2024年12月31日，全年共计参加政协会议、开展调研视察活动15次、保障政协业务工作开展10次。绩效目标与实际工作内容一致，两者具有相关性。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参加政协会议、开展调研视察活动15次、保障政协业务工作开展10次，达到增强地区政协履职实效，不断完善发挥统一战线凝聚人心、汇聚力量政治作用的工作机制，为推进中国式现代化喀什篇章广泛凝聚人心、凝聚共识、凝聚智慧、凝聚力量的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④该项目批复的预算金额为70.47万元，《项目支出绩效目标表》中预算金额为70.47万元，预算确定的项目资金70.47万元与实际项目投资额65.39万元存在偏差，扣0.5分。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⑤本单位制定了政协业务工作项目实施方案，明确了总体思路及目标、并对任务进行了详细分解，计划全年共计参加政协会议、开展调研视察活动15次、保障政协业务工作开展10次，对目标进行了细化。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项目预算确定的项目资金70.47万元与实际项目投资额65.39万元存在偏差，指标扣0.5分，得2.5分。下一步改进措施：优化项目预算编制流程，持续加强历年数据分析、市场调研，确保预算编制可惜合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检查我单位年初设置的《政协业务工作项目支出绩效目标表》，得出如下结论：本项目已将年度绩效目标进行细化为绩效指标体系，共设置一级指标4个，二级指标6个，三级指标8个，定量指标7个，定性指标1个，指标量化率为85.7%，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政协业务工作项目绩效目标申报表》中，数量指标指标值为参加政协会议、委员视察、调研、培训次数15次，保障政协业务工作开展（含办公设备购置）次数10次，三级指标的年度指标值与年度绩效目标中任务数一致。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地区政协工委业务工作以及日常办公保障项目，预算编制较科学且经过论证；预算申请内容与《政协业务工作项目实施方案》中涉及的项目内容匹配；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70.47万元，我单位在预算申请中严格按照项目实施内容及测算标准进行核算，其中：差旅费35.64万元、办公费用3.47万元、租赁费用4.15万元、委托业务费用0.2万元、其他交通费用3万元、培训费0.96万元、办公设备购置费用3.01万元、维修维护费用3.52万元、劳务费15.58万元、邮电费0.16万元、取暖费0.4万元、其他商品与服务支出0.38万元。本项目预算确定资金量与实际工作任务不相匹配，其中未支出5.08万元（差旅费未支出3.68万元、办公费未支出0.048万元、委托业务费用未支出0.2万元、培训费未支出0.53万元、办公设备购置费用未支出0.23万元、取暖费未支出0.4万元）；根据评分标准，该指标扣0.5分，得2.5分。下一步改进措施：优化项目预算编制流程，持续加强历年数据分析、市场调研，确保预算编制可惜合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地区政协工委业务工作以及日常办公保障项目资金的请示》和《地区政协工委业务工作以及日常办公保障项目实施方案》为依据进行资金分配，预算资金分配依据充分。根据《喀什地区政协工委党组2024年工作要点》（喀协党发〔2024〕1号）、《政协喀什地区工作委员会2024年协商计划》（喀协发〔2024〕1号），本项目实际到位资金（70.47万元）分配额度合理，与我单位实际需求相适应。资金分配与实际执行65.39万元不太相适应，根据评分标准，该指标扣0.5分，得1.5分。下一步改进措施：优化项目预算编制流程，持续加强历年数据分析、市场调研，确保预算编制可惜合理。</w:t>
      </w:r>
    </w:p>
    <w:p w14:paraId="0A2A6B4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1D236F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5个三级指标构成，权重分为20分，实际得分19.46分，得分率为97.3%。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70.47万元，其中：财政安排资金70.47万元，其他资金0万元，实际到位资金70.47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（2）预算执行率：2024年度该项目年初实际拨付资金70.47万元，年底支出共计65.39万元，预算执行率92.8%，项目资金年初预算编制不够精准，未执行完毕。根据评分标准，该指标扣  0.54分，得2.46分。下一步改进措施：优化项目预算编制流程，持续加强历年数据分析、市场调研，确保预算编制可惜合理。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本项目制定了《喀什地区政协工委机关财务管理办法》，《喀什地区政协工委车辆管理办法》，《中共喀什地委办公室政府采购制度》等规定对经费使用进行规范管理，符合国家财经法规和财务管理制度以及有关专项资金管理办法的规定；资金的拨付具有完整的审批程序和手续；项目执行符合项目预算批复规定的用途，资金实际使用方向与预算批复用途一致，不存在截留、挤占、挪用、虚列支出的情况。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在绩效评价工作组的组织领导下，本单位建立完整的内控制度，制定了《喀什地委政协工委机关重大事项决策制度》，《喀什地区政协工委机关机关预算绩效管理工作制度》等对财政专项资金进行严格管理，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政协工委机关财务管理办法》，《喀什地区政协工委车辆管理办法》，《中共喀什地委办公室政府采购制度》等规定等相关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②经现场办公耗材采购合同书、验收评审表、相关差旅费审批单、财务支付凭证等资料齐全并及时归档。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资金支出严格按照自治区、地区以及本单位资金管理办法执行，项目启动实施后，为了加快本项目的实施，成立了地区政协工委业务工作以及日常办公保障项目工作领导小组，由地区政协工委秘书长、机关党组书记吴健强任组长，负责项目的组织工作；地区政协工委副秘书长、办公室主任郎建林任副组长，负责项目的实施工作；组员包括：王艳和崔维冬，主要负责项目监督管理、验收以及资金核拨等工作。根据评分标准，该指标不扣分，得5分。</w:t>
      </w:r>
    </w:p>
    <w:p w14:paraId="37FEE53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FEC152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项目产出类指标包括产出数量、产出质量、产出时效、产出成本四方面的内容，由4个三级指标构成，权重分为45分，实际得分42.36分，得分率为94.13%。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（1）对于“产出数量”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参加政协会议、委员视察、调研、培训数量指标，预期指标值为大于等于15次，实际完成值为15次，指标完成率为100%，得，根据评分标准，该指标不扣分，得5分。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保障政协业务工作开展（含办公设备购置）数量指标，预期指标值为大于等于10次，实际完成值为10次，指标完成率为100%，与预期目标一致，根据评分标准，该指标不扣分，得5分。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设备验收合格率，预期指标值为等于100%，实际完成值为100%，指标完成率为100%，与预期目标一致，根据评分标准，该指标不扣分，得10分。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项目完成时间，预期指标值为2024年12月25日前，实际完成时间为2024年12月23日，指标完成率为100%，与预期目标一致，根据评分标准，该指标不扣分，得10分。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加政协会议、委员视察、调研、培训成本，预期指标值小于等于36.61万元，实际完成值32.4万元，指标完成率为88.5%，得分=（88.5%-60%）/(100%-60%)*7.5=5.34分，根据评分标准，该指标扣2.16分，得5.34分。原因分析：本着节约资金的原则，参加政协会议、委员视察、调研、培训成本低于预期目标值；下一步改进措施：科学编制绩效目标值，缩小差异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政协业务工作开展（含办公设备购置）成本，预期指标值33.86万元，实际完成值32.99万元，指标完成率97.43%，得分=（97.43%-60%）/(100%-60%)*7.5=7.02分，根据评分标准，该指标扣0.48分，得7.02分。原因分析：绩效目标值设置不够精准，办公设备购置、暖气费、其他商品和服务支出成本指标设置偏高，实际完成值与绩效目标值存在差异；下一步改进措施：根据实际情况合理化评估成本指标目标值，缩小差异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合计得12.36分。</w:t>
      </w:r>
    </w:p>
    <w:p w14:paraId="45115A8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7B706127">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保障机关各项工作正常运转率指标，该指标预期指标值为保障，实际完成值为保障，指标完成率为100%，与预期指标一致，根据评分标准，该指标不扣分，得10分。</w:t>
      </w:r>
    </w:p>
    <w:p w14:paraId="52E8EAD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75FFD50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项目满意度类指标包括项目满意度1个方面的内容，由1个三级指标构成，权重分为10分，实际得分10分，得分率为100%。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干部职工满意度100%，该指标预期指标值为100%，实际完成值为99%，指标完成率为99%，与预期目标存在合理偏差，偏差原因：满意度结果为99%，比预期目标值偏低，改进措施：结合历年数据和丽设置目标值，根据评分标准，该指标不扣分,得10分。</w:t>
      </w:r>
    </w:p>
    <w:p w14:paraId="6DB540F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49402DA3">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协业务工作项目预算70.47万元，到位70.47万元，实际支出65.39万元，预算执行率为92.8%，项目绩效指标总体完成率为98.1%，偏差率为5.3%。偏差原因：年初部分绩效目标不准确，预算编制不够精准，导致参加政协会议、委员视察、调研差旅费、培训费预算设置偏高，实际未执行完毕。改进措施：预算编制前，根据工委党组工作要点和工委协商计划充分进行调查研究，确保预算基于实际情况，同时加强预算绩效管理，提前谋划下一年度预算，精准测算项目预算。</w:t>
      </w:r>
    </w:p>
    <w:p w14:paraId="30B82E38">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7D844E7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六、主要经验及做法、存在的问题及原因分析、下一步改进措施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制定了《喀什地区政协工委机关财务管理办法》、《喀什地区政协工委车辆管理办法》、《中共喀什地委办公室政府采购制度》等规定对经费使用进行规范管理；二是成立项目工作领导小组，由机关党组书记任组长，负责项目的组织工作；办公室主任任副组长，负责项目的实施工作；财务人员和各科室负责人为成员，主要负责项目监督管理、验收以及资金核拨等工作；三是资金的拨付具有完整的审批程序和手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一是绩效目标各项指标和指标值设置不够精确。主要是因为年初部分绩效目标不明，预算偏执不够精准，导致调研差旅费、培训费预算等设置偏高；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二是预算执行缺乏灵活性。主要是因为年初预算规划时未考虑弹性空间，项目负责人预算调整工作不够重视；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三是预算执行责任还不明确。主要是因为制定预算方案时未将预算责任明确分配到具体科室或个人。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（三）下一步改进措施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一是优化项目预算编制流程，持续加强历年数据分析、市场调研，确保预算编制可惜合理。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二是加强沟通和协作。建立机关各科室沟通机制，确保预算编制和执行过程中信息共享，定期召开预算协调会议，解决机关间预算冲突。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三是明确责任和考核。将预算责任明确分配到具体部门和个人，压实预算责任；建立预算执行的绩效考核和奖惩机制。</w:t>
      </w:r>
    </w:p>
    <w:p w14:paraId="3EF7EBF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709D088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加强预算编制和执行人员财务知识的学习和培训，使预算编制和执行人员掌握基本的财务概念、原则和方法，提高预算编制、执行、监控和调整的实际操作能力，增强对财务风险和预算偏差的识别和应对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做好项目实施的跟踪检查工作。定期不定期地项目实施情况时行跟踪检查，对能实现预期绩效目标的项目予以充分肯定，对进展缓慢，预期绩效目标较的项目，及时进行协调和提出整改措施，确保项目实施工作正常运行，达到预期绩效目标。</w:t>
      </w:r>
    </w:p>
    <w:p w14:paraId="310EA93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782C9170">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0E874F-D970-4A81-A731-E9CA22E2D9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1A55A7A-1096-41AF-B91E-BDEBC4B06824}"/>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474905AE-0CB3-4FAA-B0F3-80CD415BA39C}"/>
  </w:font>
  <w:font w:name="方正小标宋_GBK">
    <w:panose1 w:val="02000000000000000000"/>
    <w:charset w:val="86"/>
    <w:family w:val="script"/>
    <w:pitch w:val="default"/>
    <w:sig w:usb0="A00002BF" w:usb1="38CF7CFA" w:usb2="00082016" w:usb3="00000000" w:csb0="00040001" w:csb1="00000000"/>
    <w:embedRegular r:id="rId4" w:fontKey="{C0FC7E30-61B5-4EC1-984F-5FC61CD8CDE9}"/>
  </w:font>
  <w:font w:name="仿宋_GB2312">
    <w:altName w:val="仿宋"/>
    <w:panose1 w:val="00000000000000000000"/>
    <w:charset w:val="86"/>
    <w:family w:val="modern"/>
    <w:pitch w:val="default"/>
    <w:sig w:usb0="00000000" w:usb1="00000000" w:usb2="00000000" w:usb3="00000000" w:csb0="00040000" w:csb1="00000000"/>
    <w:embedRegular r:id="rId5" w:fontKey="{2BD13A45-A022-4556-8E87-CA3AB5FB430C}"/>
  </w:font>
  <w:font w:name="仿宋">
    <w:panose1 w:val="02010609060101010101"/>
    <w:charset w:val="86"/>
    <w:family w:val="modern"/>
    <w:pitch w:val="default"/>
    <w:sig w:usb0="800002BF" w:usb1="38CF7CFA" w:usb2="00000016" w:usb3="00000000" w:csb0="00040001" w:csb1="00000000"/>
    <w:embedRegular r:id="rId6" w:fontKey="{072CD099-FB72-4539-A459-DB9E686FF00C}"/>
  </w:font>
  <w:font w:name="楷体">
    <w:panose1 w:val="02010609060101010101"/>
    <w:charset w:val="86"/>
    <w:family w:val="modern"/>
    <w:pitch w:val="default"/>
    <w:sig w:usb0="800002BF" w:usb1="38CF7CFA" w:usb2="00000016" w:usb3="00000000" w:csb0="00040001" w:csb1="00000000"/>
    <w:embedRegular r:id="rId7" w:fontKey="{57E6B15A-4605-493F-9CAA-A56E5775FA68}"/>
  </w:font>
  <w:font w:name="方正仿宋_GBK">
    <w:altName w:val="微软雅黑"/>
    <w:panose1 w:val="00000000000000000000"/>
    <w:charset w:val="86"/>
    <w:family w:val="auto"/>
    <w:pitch w:val="default"/>
    <w:sig w:usb0="00000000" w:usb1="00000000" w:usb2="00000000" w:usb3="00000000" w:csb0="00040000" w:csb1="00000000"/>
    <w:embedRegular r:id="rId8" w:fontKey="{09F623F8-23DE-4BCA-BE95-6D7FF2D37239}"/>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embedRegular r:id="rId9" w:fontKey="{9F1ECD47-EA94-492F-ADC3-4D7DC6A319CE}"/>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E692B2F">
        <w:pPr>
          <w:pStyle w:val="12"/>
          <w:jc w:val="center"/>
        </w:pPr>
        <w:r>
          <w:fldChar w:fldCharType="begin"/>
        </w:r>
        <w:r>
          <w:instrText xml:space="preserve">PAGE   \* MERGEFORMAT</w:instrText>
        </w:r>
        <w:r>
          <w:fldChar w:fldCharType="separate"/>
        </w:r>
        <w:r>
          <w:rPr>
            <w:lang w:val="zh-CN"/>
          </w:rPr>
          <w:t>1</w:t>
        </w:r>
        <w:r>
          <w:fldChar w:fldCharType="end"/>
        </w:r>
      </w:p>
    </w:sdtContent>
  </w:sdt>
  <w:p w14:paraId="634535F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301AA5"/>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34</Pages>
  <Words>13857</Words>
  <Characters>14581</Characters>
  <Lines>5</Lines>
  <Paragraphs>1</Paragraphs>
  <TotalTime>0</TotalTime>
  <ScaleCrop>false</ScaleCrop>
  <LinksUpToDate>false</LinksUpToDate>
  <CharactersWithSpaces>14920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别忘记小婷_</cp:lastModifiedBy>
  <cp:lastPrinted>2018-12-31T10:56:00Z</cp:lastPrinted>
  <dcterms:modified xsi:type="dcterms:W3CDTF">2025-09-02T04:11:32Z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eyJoZGlkIjoiODcwM2IwZTUyMTZkNzUwMjBkODQ1YzM3NzM1MTVlMjIiLCJ1c2VySWQiOiIxMDY0NzI0MTYxIn0=</vt:lpwstr>
  </property>
</Properties>
</file>