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50EE97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新疆伊斯兰教经学院喀什分院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96B2AA">
      <w:r>
        <w:br w:type="page"/>
      </w:r>
    </w:p>
    <w:p w14:paraId="1DE3BE45">
      <w:pPr>
        <w:spacing w:line="640" w:lineRule="exact"/>
        <w:jc w:val="center"/>
        <w:outlineLvl w:val="1"/>
      </w:pPr>
      <w:r>
        <w:rPr>
          <w:rFonts w:ascii="黑体" w:hAnsi="黑体" w:eastAsia="黑体"/>
          <w:sz w:val="32"/>
        </w:rPr>
        <w:t>第一部分 部门概况</w:t>
      </w:r>
    </w:p>
    <w:p w14:paraId="7862A99D">
      <w:pPr>
        <w:spacing w:line="640" w:lineRule="exact"/>
        <w:ind w:firstLine="640"/>
        <w:jc w:val="both"/>
        <w:outlineLvl w:val="2"/>
      </w:pPr>
      <w:r>
        <w:rPr>
          <w:rFonts w:ascii="黑体" w:hAnsi="黑体" w:eastAsia="黑体"/>
          <w:sz w:val="32"/>
        </w:rPr>
        <w:t>一、主要职能</w:t>
      </w:r>
    </w:p>
    <w:p w14:paraId="02D7880B">
      <w:pPr>
        <w:spacing w:line="580" w:lineRule="exact"/>
        <w:ind w:firstLine="640"/>
        <w:jc w:val="both"/>
      </w:pPr>
      <w:r>
        <w:rPr>
          <w:rFonts w:ascii="仿宋_GB2312" w:hAnsi="仿宋_GB2312" w:eastAsia="仿宋_GB2312"/>
          <w:sz w:val="32"/>
        </w:rPr>
        <w:t>本部门主要职能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1836F933">
      <w:pPr>
        <w:spacing w:line="640" w:lineRule="exact"/>
        <w:ind w:firstLine="640"/>
        <w:jc w:val="both"/>
        <w:outlineLvl w:val="2"/>
      </w:pPr>
      <w:r>
        <w:rPr>
          <w:rFonts w:ascii="黑体" w:hAnsi="黑体" w:eastAsia="黑体"/>
          <w:sz w:val="32"/>
        </w:rPr>
        <w:t>二、机构设置及人员情况</w:t>
      </w:r>
    </w:p>
    <w:p w14:paraId="1B96AE5B">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7CDDA873">
      <w:r>
        <w:br w:type="page"/>
      </w:r>
    </w:p>
    <w:p w14:paraId="4DF79F16">
      <w:pPr>
        <w:spacing w:line="240" w:lineRule="auto"/>
        <w:jc w:val="center"/>
        <w:outlineLvl w:val="1"/>
      </w:pPr>
      <w:r>
        <w:rPr>
          <w:rFonts w:ascii="黑体" w:hAnsi="黑体" w:eastAsia="黑体"/>
          <w:sz w:val="32"/>
        </w:rPr>
        <w:t>第二部分 部门决算情况说明</w:t>
      </w:r>
    </w:p>
    <w:p w14:paraId="5A51F372">
      <w:pPr>
        <w:spacing w:line="640" w:lineRule="exact"/>
        <w:ind w:firstLine="640"/>
        <w:jc w:val="both"/>
        <w:outlineLvl w:val="2"/>
      </w:pPr>
      <w:r>
        <w:rPr>
          <w:rFonts w:ascii="黑体" w:hAnsi="黑体" w:eastAsia="黑体"/>
          <w:sz w:val="32"/>
        </w:rPr>
        <w:t>一、收入支出决算总体情况说明</w:t>
      </w:r>
    </w:p>
    <w:p w14:paraId="62A60282">
      <w:pPr>
        <w:spacing w:line="580" w:lineRule="exact"/>
        <w:ind w:firstLine="640"/>
        <w:jc w:val="both"/>
      </w:pPr>
      <w:r>
        <w:rPr>
          <w:rFonts w:ascii="仿宋_GB2312" w:hAnsi="仿宋_GB2312" w:eastAsia="仿宋_GB2312"/>
          <w:b/>
          <w:sz w:val="32"/>
        </w:rPr>
        <w:t>2024年度收入总计798.16万元，</w:t>
      </w:r>
      <w:r>
        <w:rPr>
          <w:rFonts w:ascii="仿宋_GB2312" w:hAnsi="仿宋_GB2312" w:eastAsia="仿宋_GB2312"/>
          <w:b w:val="0"/>
          <w:sz w:val="32"/>
        </w:rPr>
        <w:t>其中：本年收入合计798.16万元，使用非财政拨款结余（含专用结余）0.00万元，年初结转和结余0.00万元。</w:t>
      </w:r>
    </w:p>
    <w:p w14:paraId="36441AF4">
      <w:pPr>
        <w:spacing w:line="580" w:lineRule="exact"/>
        <w:ind w:firstLine="640"/>
        <w:jc w:val="both"/>
      </w:pPr>
      <w:r>
        <w:rPr>
          <w:rFonts w:ascii="仿宋_GB2312" w:hAnsi="仿宋_GB2312" w:eastAsia="仿宋_GB2312"/>
          <w:b/>
          <w:sz w:val="32"/>
        </w:rPr>
        <w:t>2024年度支出总计798.16万元，</w:t>
      </w:r>
      <w:r>
        <w:rPr>
          <w:rFonts w:ascii="仿宋_GB2312" w:hAnsi="仿宋_GB2312" w:eastAsia="仿宋_GB2312"/>
          <w:b w:val="0"/>
          <w:sz w:val="32"/>
        </w:rPr>
        <w:t>其中：本年支出合计798.16万元，结余分配0.00万元，年末结转和结余0.00万元。</w:t>
      </w:r>
    </w:p>
    <w:p w14:paraId="6A476ABF">
      <w:pPr>
        <w:spacing w:line="580" w:lineRule="exact"/>
        <w:ind w:firstLine="640"/>
        <w:jc w:val="both"/>
      </w:pPr>
      <w:r>
        <w:rPr>
          <w:rFonts w:ascii="仿宋_GB2312" w:hAnsi="仿宋_GB2312" w:eastAsia="仿宋_GB2312"/>
          <w:b w:val="0"/>
          <w:sz w:val="32"/>
        </w:rPr>
        <w:t>收入支出总体与上年相比，减少43.26万元，下降5.14%，主要原因是：本年学历制教育运行保障项目和集中培训班项目资金较上年减少。</w:t>
      </w:r>
    </w:p>
    <w:p w14:paraId="69989E6C">
      <w:pPr>
        <w:spacing w:line="640" w:lineRule="exact"/>
        <w:ind w:firstLine="640"/>
        <w:jc w:val="both"/>
        <w:outlineLvl w:val="2"/>
      </w:pPr>
      <w:r>
        <w:rPr>
          <w:rFonts w:ascii="黑体" w:hAnsi="黑体" w:eastAsia="黑体"/>
          <w:sz w:val="32"/>
        </w:rPr>
        <w:t>二、收入决算情况说明</w:t>
      </w:r>
    </w:p>
    <w:p w14:paraId="2FCA22AE">
      <w:pPr>
        <w:spacing w:line="580" w:lineRule="exact"/>
        <w:ind w:firstLine="640"/>
        <w:jc w:val="both"/>
      </w:pPr>
      <w:r>
        <w:rPr>
          <w:rFonts w:ascii="仿宋_GB2312" w:hAnsi="仿宋_GB2312" w:eastAsia="仿宋_GB2312"/>
          <w:b/>
          <w:sz w:val="32"/>
        </w:rPr>
        <w:t>本年收入798.16万元，</w:t>
      </w:r>
      <w:r>
        <w:rPr>
          <w:rFonts w:ascii="仿宋_GB2312" w:hAnsi="仿宋_GB2312" w:eastAsia="仿宋_GB2312"/>
          <w:b w:val="0"/>
          <w:sz w:val="32"/>
        </w:rPr>
        <w:t>其中：财政拨款收入798.16万元，占100.00%；上级补助收入0.00万元，占0.00%；事业收入0.00万元，占0.00%；经营收入0.00万元，占0.00%；附属单位上缴收入0.00万元，占0.00%；其他收入0.00万元，占0.00%。</w:t>
      </w:r>
    </w:p>
    <w:p w14:paraId="33E4F371">
      <w:pPr>
        <w:spacing w:line="640" w:lineRule="exact"/>
        <w:ind w:firstLine="640"/>
        <w:jc w:val="both"/>
        <w:outlineLvl w:val="2"/>
      </w:pPr>
      <w:r>
        <w:rPr>
          <w:rFonts w:ascii="黑体" w:hAnsi="黑体" w:eastAsia="黑体"/>
          <w:sz w:val="32"/>
        </w:rPr>
        <w:t>三、支出决算情况说明</w:t>
      </w:r>
    </w:p>
    <w:p w14:paraId="4E7D8067">
      <w:pPr>
        <w:spacing w:line="580" w:lineRule="exact"/>
        <w:ind w:firstLine="640"/>
        <w:jc w:val="both"/>
      </w:pPr>
      <w:r>
        <w:rPr>
          <w:rFonts w:ascii="仿宋_GB2312" w:hAnsi="仿宋_GB2312" w:eastAsia="仿宋_GB2312"/>
          <w:b/>
          <w:sz w:val="32"/>
        </w:rPr>
        <w:t>本年支出798.16万元，</w:t>
      </w:r>
      <w:r>
        <w:rPr>
          <w:rFonts w:ascii="仿宋_GB2312" w:hAnsi="仿宋_GB2312" w:eastAsia="仿宋_GB2312"/>
          <w:b w:val="0"/>
          <w:sz w:val="32"/>
        </w:rPr>
        <w:t>其中：基本支出617.32万元，占77.34%；项目支出180.84万元，占22.66%；上缴上级支出0.00万元，占0.00%；经营支出0.00万元，占0.00%；对附属单位补助支出0.00万元，占0.00%。</w:t>
      </w:r>
    </w:p>
    <w:p w14:paraId="31E87DE9">
      <w:pPr>
        <w:spacing w:line="640" w:lineRule="exact"/>
        <w:ind w:firstLine="640"/>
        <w:jc w:val="both"/>
        <w:outlineLvl w:val="2"/>
      </w:pPr>
      <w:r>
        <w:rPr>
          <w:rFonts w:ascii="黑体" w:hAnsi="黑体" w:eastAsia="黑体"/>
          <w:sz w:val="32"/>
        </w:rPr>
        <w:t>四、财政拨款收入支出决算总体情况说明</w:t>
      </w:r>
    </w:p>
    <w:p w14:paraId="69BEF451">
      <w:pPr>
        <w:spacing w:line="580" w:lineRule="exact"/>
        <w:ind w:firstLine="640"/>
        <w:jc w:val="both"/>
      </w:pPr>
      <w:r>
        <w:rPr>
          <w:rFonts w:ascii="仿宋_GB2312" w:hAnsi="仿宋_GB2312" w:eastAsia="仿宋_GB2312"/>
          <w:b/>
          <w:sz w:val="32"/>
        </w:rPr>
        <w:t>2024年度财政拨款收入总计798.16万元，</w:t>
      </w:r>
      <w:r>
        <w:rPr>
          <w:rFonts w:ascii="仿宋_GB2312" w:hAnsi="仿宋_GB2312" w:eastAsia="仿宋_GB2312"/>
          <w:b w:val="0"/>
          <w:sz w:val="32"/>
        </w:rPr>
        <w:t>其中：年初财政拨款结转和结余0.00万元，本年财政拨款收入798.16万元。</w:t>
      </w:r>
      <w:r>
        <w:rPr>
          <w:rFonts w:ascii="仿宋_GB2312" w:hAnsi="仿宋_GB2312" w:eastAsia="仿宋_GB2312"/>
          <w:b/>
          <w:sz w:val="32"/>
        </w:rPr>
        <w:t>财政拨款支出总计798.16万元，</w:t>
      </w:r>
      <w:r>
        <w:rPr>
          <w:rFonts w:ascii="仿宋_GB2312" w:hAnsi="仿宋_GB2312" w:eastAsia="仿宋_GB2312"/>
          <w:b w:val="0"/>
          <w:sz w:val="32"/>
        </w:rPr>
        <w:t>其中：年末财政拨款结转和结余0.00万元，本年财政拨款支出798.16万元。</w:t>
      </w:r>
    </w:p>
    <w:p w14:paraId="4DAEAC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减少43.26万元，下降5.14%，主要原因是：本年学历制教育运行保障项目和集中培训班项目资金较上年减少。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年初预算数1,840.97万元，决算数798.16万元，预决算差异率-56.64%，主要原因是：年中调减集中培训班项目资金。</w:t>
      </w:r>
    </w:p>
    <w:p w14:paraId="224C481C">
      <w:pPr>
        <w:spacing w:line="640" w:lineRule="exact"/>
        <w:ind w:firstLine="640"/>
        <w:jc w:val="both"/>
        <w:outlineLvl w:val="2"/>
      </w:pPr>
      <w:r>
        <w:rPr>
          <w:rFonts w:ascii="黑体" w:hAnsi="黑体" w:eastAsia="黑体"/>
          <w:sz w:val="32"/>
        </w:rPr>
        <w:t>五、一般公共预算财政拨款支出决算情况说明</w:t>
      </w:r>
    </w:p>
    <w:p w14:paraId="33E79D93">
      <w:pPr>
        <w:spacing w:line="640" w:lineRule="exact"/>
        <w:ind w:firstLine="640"/>
        <w:jc w:val="both"/>
        <w:outlineLvl w:val="3"/>
      </w:pPr>
      <w:r>
        <w:rPr>
          <w:rFonts w:ascii="楷体_GB2312" w:hAnsi="楷体_GB2312" w:eastAsia="楷体_GB2312"/>
          <w:b/>
          <w:sz w:val="32"/>
        </w:rPr>
        <w:t>（一）一般公共预算财政拨款支出决算总体情况</w:t>
      </w:r>
    </w:p>
    <w:p w14:paraId="23CC234D">
      <w:pPr>
        <w:spacing w:line="580" w:lineRule="exact"/>
        <w:ind w:firstLine="640"/>
        <w:jc w:val="both"/>
      </w:pPr>
      <w:r>
        <w:rPr>
          <w:rFonts w:ascii="仿宋_GB2312" w:hAnsi="仿宋_GB2312" w:eastAsia="仿宋_GB2312"/>
          <w:b/>
          <w:sz w:val="32"/>
        </w:rPr>
        <w:t>2024年度一般公共预算财政拨款支出798.16万元，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减少43.26万元，下降5.14%，主要原因是：本年学历制教育运行保障项目和集中培训班项目资金较上年减少。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年初预算数1,840.97万元，决算数798.16万元，预决算差异率-56.64%，主要原因是：年中调减集中培训班项目资金。</w:t>
      </w:r>
    </w:p>
    <w:p w14:paraId="0544A143">
      <w:pPr>
        <w:spacing w:line="640" w:lineRule="exact"/>
        <w:ind w:firstLine="640"/>
        <w:jc w:val="both"/>
        <w:outlineLvl w:val="3"/>
      </w:pPr>
      <w:r>
        <w:rPr>
          <w:rFonts w:ascii="楷体_GB2312" w:hAnsi="楷体_GB2312" w:eastAsia="楷体_GB2312"/>
          <w:b/>
          <w:sz w:val="32"/>
        </w:rPr>
        <w:t>（二）一般公共预算财政拨款支出决算结构情况</w:t>
      </w:r>
    </w:p>
    <w:p w14:paraId="5F9C6E20">
      <w:pPr>
        <w:spacing w:line="580" w:lineRule="exact"/>
        <w:ind w:firstLine="640"/>
        <w:jc w:val="both"/>
      </w:pPr>
      <w:r>
        <w:rPr>
          <w:rFonts w:ascii="仿宋_GB2312" w:hAnsi="仿宋_GB2312" w:eastAsia="仿宋_GB2312"/>
          <w:b w:val="0"/>
          <w:sz w:val="32"/>
        </w:rPr>
        <w:t>1.一般公共服务支出(类)690.11万元,占86.46%。</w:t>
      </w:r>
    </w:p>
    <w:p w14:paraId="4209800A">
      <w:pPr>
        <w:spacing w:line="580" w:lineRule="exact"/>
        <w:ind w:firstLine="640"/>
        <w:jc w:val="both"/>
      </w:pPr>
      <w:r>
        <w:rPr>
          <w:rFonts w:ascii="仿宋_GB2312" w:hAnsi="仿宋_GB2312" w:eastAsia="仿宋_GB2312"/>
          <w:b w:val="0"/>
          <w:sz w:val="32"/>
        </w:rPr>
        <w:t>2.社会保障和就业支出(类)47.99万元,占6.01%。</w:t>
      </w:r>
    </w:p>
    <w:p w14:paraId="49547539">
      <w:pPr>
        <w:spacing w:line="580" w:lineRule="exact"/>
        <w:ind w:firstLine="640"/>
        <w:jc w:val="both"/>
      </w:pPr>
      <w:r>
        <w:rPr>
          <w:rFonts w:ascii="仿宋_GB2312" w:hAnsi="仿宋_GB2312" w:eastAsia="仿宋_GB2312"/>
          <w:b w:val="0"/>
          <w:sz w:val="32"/>
        </w:rPr>
        <w:t>3.卫生健康支出(类)20.40万元,占2.56%。</w:t>
      </w:r>
    </w:p>
    <w:p w14:paraId="32E1C63A">
      <w:pPr>
        <w:spacing w:line="580" w:lineRule="exact"/>
        <w:ind w:firstLine="640"/>
        <w:jc w:val="both"/>
      </w:pPr>
      <w:r>
        <w:rPr>
          <w:rFonts w:ascii="仿宋_GB2312" w:hAnsi="仿宋_GB2312" w:eastAsia="仿宋_GB2312"/>
          <w:b w:val="0"/>
          <w:sz w:val="32"/>
        </w:rPr>
        <w:t>4.住房保障支出(类)39.65万元,占4.97%。</w:t>
      </w:r>
    </w:p>
    <w:p w14:paraId="43D03306">
      <w:pPr>
        <w:spacing w:line="640" w:lineRule="exact"/>
        <w:ind w:firstLine="640"/>
        <w:jc w:val="both"/>
        <w:outlineLvl w:val="3"/>
      </w:pPr>
      <w:r>
        <w:rPr>
          <w:rFonts w:ascii="楷体_GB2312" w:hAnsi="楷体_GB2312" w:eastAsia="楷体_GB2312"/>
          <w:b/>
          <w:sz w:val="32"/>
        </w:rPr>
        <w:t>（三）一般公共预算财政拨款支出决算具体情况</w:t>
      </w:r>
    </w:p>
    <w:p w14:paraId="656538FA">
      <w:pPr>
        <w:spacing w:line="580" w:lineRule="exact"/>
        <w:ind w:firstLine="640"/>
        <w:jc w:val="both"/>
      </w:pPr>
      <w:r>
        <w:rPr>
          <w:rFonts w:ascii="仿宋_GB2312" w:hAnsi="仿宋_GB2312" w:eastAsia="仿宋_GB2312"/>
          <w:b w:val="0"/>
          <w:sz w:val="32"/>
        </w:rPr>
        <w:t>1.一般公共服务支出(类)民族事务(款)其他民族事务支出(项):支出决算数为509.27万元，比上年决算减少30.09万元，下降5.58%,主要原因是：本年度学历制教育班运行保障项目从一般公共服务支出(类)民族事务(款)其他民族事务支出(项)调整到一般公共服务支出(类)统战事务(款)其他统战事务支出(项)，导致经费减少。</w:t>
      </w:r>
    </w:p>
    <w:p w14:paraId="78E577A0">
      <w:pPr>
        <w:spacing w:line="580" w:lineRule="exact"/>
        <w:ind w:firstLine="640"/>
        <w:jc w:val="both"/>
      </w:pPr>
      <w:r>
        <w:rPr>
          <w:rFonts w:ascii="仿宋_GB2312" w:hAnsi="仿宋_GB2312" w:eastAsia="仿宋_GB2312"/>
          <w:b w:val="0"/>
          <w:sz w:val="32"/>
        </w:rPr>
        <w:t>2.一般公共服务支出(类)统战事务(款)宗教事务(项):支出决算数为27.11万元，比上年决算减少168.62万元，下降86.15%,主要原因是：本年度集中培训班培训人数较上年减少，因此一般公共服务支出(类)统战事务(款)宗教事务(项)减少。</w:t>
      </w:r>
    </w:p>
    <w:p w14:paraId="693FD3E2">
      <w:pPr>
        <w:spacing w:line="580" w:lineRule="exact"/>
        <w:ind w:firstLine="640"/>
        <w:jc w:val="both"/>
      </w:pPr>
      <w:r>
        <w:rPr>
          <w:rFonts w:ascii="仿宋_GB2312" w:hAnsi="仿宋_GB2312" w:eastAsia="仿宋_GB2312"/>
          <w:b w:val="0"/>
          <w:sz w:val="32"/>
        </w:rPr>
        <w:t>3.一般公共服务支出(类)统战事务(款)其他统战事务支出(项):支出决算数为153.73万元，比上年决算增加136.21万元，增长777.45%,主要原因是：本年度学历制教育班运行保障项目从一般公共服务支出(类)民族事务(款)其他民族事务支出(项)调整到一般公共服务支出(类)统战事务(款)其他统战事务支出(项)，导致经费增加。</w:t>
      </w:r>
    </w:p>
    <w:p w14:paraId="10F64CD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47.99万元，比上年决算增加8.30万元，增长20.91%,主要原因是：本年在职人员工资基数调增，养老缴费基数上涨，相应支出增加。</w:t>
      </w:r>
    </w:p>
    <w:p w14:paraId="4CA2B2B3">
      <w:pPr>
        <w:spacing w:line="580" w:lineRule="exact"/>
        <w:ind w:firstLine="640"/>
        <w:jc w:val="both"/>
      </w:pPr>
      <w:r>
        <w:rPr>
          <w:rFonts w:ascii="仿宋_GB2312" w:hAnsi="仿宋_GB2312" w:eastAsia="仿宋_GB2312"/>
          <w:b w:val="0"/>
          <w:sz w:val="32"/>
        </w:rPr>
        <w:t>5.卫生健康支出(类)行政事业单位医疗(款)事业单位医疗(项):支出决算数为20.40万元，比上年决算增加3.53万元，增长20.92%,主要原因是：本年在职人员工资基数调增，医疗缴费基数上涨，相应支出增加。</w:t>
      </w:r>
    </w:p>
    <w:p w14:paraId="7D9FFC46">
      <w:pPr>
        <w:spacing w:line="580" w:lineRule="exact"/>
        <w:ind w:firstLine="640"/>
        <w:jc w:val="both"/>
      </w:pPr>
      <w:r>
        <w:rPr>
          <w:rFonts w:ascii="仿宋_GB2312" w:hAnsi="仿宋_GB2312" w:eastAsia="仿宋_GB2312"/>
          <w:b w:val="0"/>
          <w:sz w:val="32"/>
        </w:rPr>
        <w:t>6.住房保障支出(类)住房改革支出(款)住房公积金(项):支出决算数为39.65万元，比上年决算增加7.41万元，增长22.98%,主要原因是：本年在职人员工资基数调增，公积金缴费基数上涨，相应支出增加。</w:t>
      </w:r>
    </w:p>
    <w:p w14:paraId="0844C266">
      <w:pPr>
        <w:spacing w:line="640" w:lineRule="exact"/>
        <w:ind w:firstLine="640"/>
        <w:jc w:val="both"/>
        <w:outlineLvl w:val="2"/>
      </w:pPr>
      <w:r>
        <w:rPr>
          <w:rFonts w:ascii="黑体" w:hAnsi="黑体" w:eastAsia="黑体"/>
          <w:sz w:val="32"/>
        </w:rPr>
        <w:t>六、一般公共预算财政拨款基本支出决算情况说明</w:t>
      </w:r>
    </w:p>
    <w:p w14:paraId="191433E7">
      <w:pPr>
        <w:spacing w:line="580" w:lineRule="exact"/>
        <w:ind w:firstLine="640"/>
        <w:jc w:val="both"/>
      </w:pPr>
      <w:r>
        <w:rPr>
          <w:rFonts w:ascii="仿宋_GB2312" w:hAnsi="仿宋_GB2312" w:eastAsia="仿宋_GB2312"/>
          <w:b w:val="0"/>
          <w:sz w:val="32"/>
        </w:rPr>
        <w:t>2024年度一般公共预算财政拨款基本支出617.32万元，其中：</w:t>
      </w:r>
      <w:r>
        <w:rPr>
          <w:rFonts w:ascii="仿宋_GB2312" w:hAnsi="仿宋_GB2312" w:eastAsia="仿宋_GB2312"/>
          <w:b/>
          <w:sz w:val="32"/>
        </w:rPr>
        <w:t>人员经费569.40万元，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6D20E6B7">
      <w:pPr>
        <w:spacing w:line="580" w:lineRule="exact"/>
        <w:ind w:firstLine="640"/>
        <w:jc w:val="both"/>
      </w:pPr>
      <w:r>
        <w:rPr>
          <w:rFonts w:ascii="仿宋_GB2312" w:hAnsi="仿宋_GB2312" w:eastAsia="仿宋_GB2312"/>
          <w:b/>
          <w:sz w:val="32"/>
        </w:rPr>
        <w:t>公用经费47.92万元，</w:t>
      </w:r>
      <w:r>
        <w:rPr>
          <w:rFonts w:ascii="仿宋_GB2312" w:hAnsi="仿宋_GB2312" w:eastAsia="仿宋_GB2312"/>
          <w:b w:val="0"/>
          <w:sz w:val="32"/>
        </w:rPr>
        <w:t>包括：办公费、印刷费、邮电费、取暖费、物业管理费、差旅费、专用材料费、工会经费、公务用车运行维护费、其他交通费用、其他商品和服务支出。</w:t>
      </w:r>
    </w:p>
    <w:p w14:paraId="673E32B2">
      <w:pPr>
        <w:spacing w:line="640" w:lineRule="exact"/>
        <w:ind w:firstLine="640"/>
        <w:jc w:val="both"/>
        <w:outlineLvl w:val="2"/>
      </w:pPr>
      <w:r>
        <w:rPr>
          <w:rFonts w:ascii="黑体" w:hAnsi="黑体" w:eastAsia="黑体"/>
          <w:sz w:val="32"/>
        </w:rPr>
        <w:t>七、政府性基金预算财政拨款收入支出决算情况说明</w:t>
      </w:r>
    </w:p>
    <w:p w14:paraId="14A6609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156F87C">
      <w:pPr>
        <w:spacing w:line="640" w:lineRule="exact"/>
        <w:ind w:firstLine="640"/>
        <w:jc w:val="both"/>
        <w:outlineLvl w:val="2"/>
      </w:pPr>
      <w:r>
        <w:rPr>
          <w:rFonts w:ascii="黑体" w:hAnsi="黑体" w:eastAsia="黑体"/>
          <w:sz w:val="32"/>
        </w:rPr>
        <w:t>八、国有资本经营预算财政拨款收入支出决算情况说明</w:t>
      </w:r>
    </w:p>
    <w:p w14:paraId="3296C2A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7F2A35">
      <w:pPr>
        <w:spacing w:line="640" w:lineRule="exact"/>
        <w:ind w:firstLine="640"/>
        <w:jc w:val="both"/>
        <w:outlineLvl w:val="2"/>
      </w:pPr>
      <w:r>
        <w:rPr>
          <w:rFonts w:ascii="黑体" w:hAnsi="黑体" w:eastAsia="黑体"/>
          <w:sz w:val="32"/>
        </w:rPr>
        <w:t>九、财政拨款“三公”经费支出决算情况说明</w:t>
      </w:r>
    </w:p>
    <w:p w14:paraId="68D56EC0">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公务用车运行维护费与上年一致无变化。公务接待费支出0.00万元，占0.00%，比上年增加0.00万元，增长0.00%，主要原因是：2023年与2024年均未安排公务接待费支出。</w:t>
      </w:r>
    </w:p>
    <w:p w14:paraId="4E86CE9D">
      <w:pPr>
        <w:spacing w:line="580" w:lineRule="exact"/>
        <w:ind w:firstLine="640"/>
        <w:jc w:val="both"/>
      </w:pPr>
      <w:r>
        <w:rPr>
          <w:rFonts w:ascii="仿宋_GB2312" w:hAnsi="仿宋_GB2312" w:eastAsia="仿宋_GB2312"/>
          <w:b/>
          <w:sz w:val="32"/>
        </w:rPr>
        <w:t>具体情况如下：</w:t>
      </w:r>
    </w:p>
    <w:p w14:paraId="17A5F92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96E121B">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52A6A95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07893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02A27F1D">
      <w:pPr>
        <w:spacing w:line="640" w:lineRule="exact"/>
        <w:ind w:firstLine="640"/>
        <w:jc w:val="both"/>
        <w:outlineLvl w:val="2"/>
      </w:pPr>
      <w:r>
        <w:rPr>
          <w:rFonts w:ascii="黑体" w:hAnsi="黑体" w:eastAsia="黑体"/>
          <w:sz w:val="32"/>
        </w:rPr>
        <w:t>十、其他重要事项的情况说明</w:t>
      </w:r>
    </w:p>
    <w:p w14:paraId="5702D5A2">
      <w:pPr>
        <w:spacing w:line="640" w:lineRule="exact"/>
        <w:ind w:firstLine="640"/>
        <w:jc w:val="both"/>
        <w:outlineLvl w:val="3"/>
      </w:pPr>
      <w:r>
        <w:rPr>
          <w:rFonts w:ascii="楷体_GB2312" w:hAnsi="楷体_GB2312" w:eastAsia="楷体_GB2312"/>
          <w:b/>
          <w:sz w:val="32"/>
        </w:rPr>
        <w:t>（一）机关运行经费及公用经费支出情况</w:t>
      </w:r>
    </w:p>
    <w:p w14:paraId="7CBDC57F">
      <w:pPr>
        <w:spacing w:line="580" w:lineRule="exact"/>
        <w:ind w:firstLine="640"/>
        <w:jc w:val="both"/>
      </w:pPr>
      <w:r>
        <w:rPr>
          <w:rFonts w:ascii="仿宋_GB2312" w:hAnsi="仿宋_GB2312" w:eastAsia="仿宋_GB2312"/>
          <w:b w:val="0"/>
          <w:sz w:val="32"/>
        </w:rPr>
        <w:t>2024年度新疆伊斯兰教经学院喀什分院（事业单位）公用经费支出47.92万元，比上年增加2.21万元，增长4.83%，主要原因是：本年工会经费增多，导致公用经费增加。</w:t>
      </w:r>
    </w:p>
    <w:p w14:paraId="3EDAA939">
      <w:pPr>
        <w:spacing w:line="640" w:lineRule="exact"/>
        <w:ind w:firstLine="640"/>
        <w:jc w:val="both"/>
        <w:outlineLvl w:val="3"/>
      </w:pPr>
      <w:r>
        <w:rPr>
          <w:rFonts w:ascii="楷体_GB2312" w:hAnsi="楷体_GB2312" w:eastAsia="楷体_GB2312"/>
          <w:b/>
          <w:sz w:val="32"/>
        </w:rPr>
        <w:t>（二）政府采购情况</w:t>
      </w:r>
    </w:p>
    <w:p w14:paraId="43B699C6">
      <w:pPr>
        <w:spacing w:line="580" w:lineRule="exact"/>
        <w:ind w:firstLine="640"/>
        <w:jc w:val="both"/>
      </w:pPr>
      <w:r>
        <w:rPr>
          <w:rFonts w:ascii="仿宋_GB2312" w:hAnsi="仿宋_GB2312" w:eastAsia="仿宋_GB2312"/>
          <w:b w:val="0"/>
          <w:sz w:val="32"/>
        </w:rPr>
        <w:t>2024年度政府采购支出总额58.32万元，其中：政府采购货物支出15.66万元、政府采购工程支出1.13万元、政府采购服务支出41.52万元。</w:t>
      </w:r>
    </w:p>
    <w:p w14:paraId="5BAEBE21">
      <w:pPr>
        <w:spacing w:line="580" w:lineRule="exact"/>
        <w:ind w:firstLine="640"/>
        <w:jc w:val="both"/>
      </w:pPr>
      <w:r>
        <w:rPr>
          <w:rFonts w:ascii="仿宋_GB2312" w:hAnsi="仿宋_GB2312" w:eastAsia="仿宋_GB2312"/>
          <w:b w:val="0"/>
          <w:sz w:val="32"/>
        </w:rPr>
        <w:t>授予中小企业合同金额56.29万元，占政府采购支出总额的96.52%，其中：授予小微企业合同金额29.09万元，占政府采购支出总额的49.88%。</w:t>
      </w:r>
    </w:p>
    <w:p w14:paraId="102D26B7">
      <w:pPr>
        <w:spacing w:line="640" w:lineRule="exact"/>
        <w:ind w:firstLine="640"/>
        <w:jc w:val="both"/>
        <w:outlineLvl w:val="3"/>
      </w:pPr>
      <w:r>
        <w:rPr>
          <w:rFonts w:ascii="楷体_GB2312" w:hAnsi="楷体_GB2312" w:eastAsia="楷体_GB2312"/>
          <w:b/>
          <w:sz w:val="32"/>
        </w:rPr>
        <w:t>（三）国有资产占用情况说明</w:t>
      </w:r>
    </w:p>
    <w:p w14:paraId="682ECABC">
      <w:pPr>
        <w:spacing w:line="580" w:lineRule="exact"/>
        <w:ind w:firstLine="640"/>
        <w:jc w:val="both"/>
      </w:pPr>
      <w:r>
        <w:rPr>
          <w:rFonts w:ascii="仿宋_GB2312" w:hAnsi="仿宋_GB2312" w:eastAsia="仿宋_GB2312"/>
          <w:b w:val="0"/>
          <w:sz w:val="32"/>
        </w:rPr>
        <w:t>截至2024年12月31日，房屋0.00平方米，价值0.00万元。车辆1辆，价值9.72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EB8FF2B">
      <w:pPr>
        <w:spacing w:line="640" w:lineRule="exact"/>
        <w:ind w:firstLine="640"/>
        <w:jc w:val="both"/>
        <w:outlineLvl w:val="2"/>
      </w:pPr>
      <w:r>
        <w:rPr>
          <w:rFonts w:ascii="黑体" w:hAnsi="黑体" w:eastAsia="黑体"/>
          <w:sz w:val="32"/>
        </w:rPr>
        <w:t>十一、预算绩效的情况说明</w:t>
      </w:r>
    </w:p>
    <w:p w14:paraId="331A7D6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1,468.65万元，实际执行总额798.16万元；预算绩效评价项目4个，全年预算数826.35万元，全年执行数180.84万元。预算绩效管理取得的成效：预算绩效项目不予公开。发现的问题及原因：预算绩效项目不予公开。下一步改进措施：预算绩效项目不予公开。</w:t>
      </w:r>
    </w:p>
    <w:p w14:paraId="78E9BC7D">
      <w:r>
        <w:br w:type="page"/>
      </w:r>
    </w:p>
    <w:p w14:paraId="13AA2A6D">
      <w:pPr>
        <w:spacing w:line="640" w:lineRule="exact"/>
        <w:ind w:firstLine="640"/>
        <w:jc w:val="both"/>
        <w:outlineLvl w:val="2"/>
      </w:pPr>
      <w:r>
        <w:rPr>
          <w:rFonts w:ascii="黑体" w:hAnsi="黑体" w:eastAsia="黑体"/>
          <w:sz w:val="32"/>
        </w:rPr>
        <w:t>十二、其他需说明的事项</w:t>
      </w:r>
    </w:p>
    <w:p w14:paraId="324ABCC7">
      <w:pPr>
        <w:spacing w:line="580" w:lineRule="exact"/>
        <w:ind w:firstLine="640"/>
        <w:jc w:val="both"/>
      </w:pPr>
      <w:r>
        <w:rPr>
          <w:rFonts w:ascii="仿宋_GB2312" w:hAnsi="仿宋_GB2312" w:eastAsia="仿宋_GB2312"/>
          <w:b w:val="0"/>
          <w:sz w:val="32"/>
        </w:rPr>
        <w:t>本年度本部门整体绩效自评表不予公开。</w:t>
      </w:r>
    </w:p>
    <w:p w14:paraId="76517214">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sz w:val="32"/>
          <w:lang w:val="en-US" w:eastAsia="zh-CN"/>
        </w:rPr>
        <w:t>涉密</w:t>
      </w:r>
      <w:r>
        <w:rPr>
          <w:rFonts w:ascii="仿宋_GB2312" w:hAnsi="仿宋_GB2312" w:eastAsia="仿宋_GB2312"/>
          <w:b w:val="0"/>
          <w:sz w:val="32"/>
        </w:rPr>
        <w:t>项目4个，全年预算数826.35万元，全年执行数180.84万元。</w:t>
      </w:r>
    </w:p>
    <w:p w14:paraId="10FDDDE6">
      <w:r>
        <w:br w:type="page"/>
      </w:r>
      <w:bookmarkStart w:id="0" w:name="_GoBack"/>
      <w:bookmarkEnd w:id="0"/>
    </w:p>
    <w:p w14:paraId="50141189">
      <w:pPr>
        <w:spacing w:line="240" w:lineRule="auto"/>
        <w:jc w:val="center"/>
        <w:outlineLvl w:val="1"/>
      </w:pPr>
      <w:r>
        <w:rPr>
          <w:rFonts w:ascii="黑体" w:hAnsi="黑体" w:eastAsia="黑体"/>
          <w:sz w:val="32"/>
        </w:rPr>
        <w:t>第三部分 专业名词解释</w:t>
      </w:r>
    </w:p>
    <w:p w14:paraId="0C02756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9B30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669F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D3497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84B9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14FA4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75AE9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02D8C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61EE8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C534D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D5247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B8F4E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07CA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712E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1AF5CA">
      <w:r>
        <w:br w:type="page"/>
      </w:r>
    </w:p>
    <w:p w14:paraId="1478972F">
      <w:pPr>
        <w:spacing w:line="240" w:lineRule="auto"/>
        <w:jc w:val="center"/>
        <w:outlineLvl w:val="1"/>
      </w:pPr>
      <w:r>
        <w:rPr>
          <w:rFonts w:ascii="黑体" w:hAnsi="黑体" w:eastAsia="黑体"/>
          <w:sz w:val="32"/>
        </w:rPr>
        <w:t>第四部分 部门决算报表（见附表）</w:t>
      </w:r>
    </w:p>
    <w:p w14:paraId="421B7B8A">
      <w:pPr>
        <w:spacing w:line="240" w:lineRule="auto"/>
        <w:ind w:firstLine="640"/>
        <w:jc w:val="both"/>
      </w:pPr>
      <w:r>
        <w:rPr>
          <w:rFonts w:ascii="仿宋_GB2312" w:hAnsi="仿宋_GB2312" w:eastAsia="仿宋_GB2312"/>
          <w:b w:val="0"/>
          <w:sz w:val="32"/>
        </w:rPr>
        <w:t>一、《收入支出决算总表》</w:t>
      </w:r>
    </w:p>
    <w:p w14:paraId="1D498251">
      <w:pPr>
        <w:spacing w:line="240" w:lineRule="auto"/>
        <w:ind w:firstLine="640"/>
        <w:jc w:val="both"/>
      </w:pPr>
      <w:r>
        <w:rPr>
          <w:rFonts w:ascii="仿宋_GB2312" w:hAnsi="仿宋_GB2312" w:eastAsia="仿宋_GB2312"/>
          <w:b w:val="0"/>
          <w:sz w:val="32"/>
        </w:rPr>
        <w:t>二、《收入决算表》</w:t>
      </w:r>
    </w:p>
    <w:p w14:paraId="24A35076">
      <w:pPr>
        <w:spacing w:line="240" w:lineRule="auto"/>
        <w:ind w:firstLine="640"/>
        <w:jc w:val="both"/>
      </w:pPr>
      <w:r>
        <w:rPr>
          <w:rFonts w:ascii="仿宋_GB2312" w:hAnsi="仿宋_GB2312" w:eastAsia="仿宋_GB2312"/>
          <w:b w:val="0"/>
          <w:sz w:val="32"/>
        </w:rPr>
        <w:t>三、《支出决算表》</w:t>
      </w:r>
    </w:p>
    <w:p w14:paraId="31E0A4BE">
      <w:pPr>
        <w:spacing w:line="240" w:lineRule="auto"/>
        <w:ind w:firstLine="640"/>
        <w:jc w:val="both"/>
      </w:pPr>
      <w:r>
        <w:rPr>
          <w:rFonts w:ascii="仿宋_GB2312" w:hAnsi="仿宋_GB2312" w:eastAsia="仿宋_GB2312"/>
          <w:b w:val="0"/>
          <w:sz w:val="32"/>
        </w:rPr>
        <w:t>四、《财政拨款收入支出决算总表》</w:t>
      </w:r>
    </w:p>
    <w:p w14:paraId="45517CAE">
      <w:pPr>
        <w:spacing w:line="240" w:lineRule="auto"/>
        <w:ind w:firstLine="640"/>
        <w:jc w:val="both"/>
      </w:pPr>
      <w:r>
        <w:rPr>
          <w:rFonts w:ascii="仿宋_GB2312" w:hAnsi="仿宋_GB2312" w:eastAsia="仿宋_GB2312"/>
          <w:b w:val="0"/>
          <w:sz w:val="32"/>
        </w:rPr>
        <w:t>五、《一般公共预算财政拨款支出决算表》</w:t>
      </w:r>
    </w:p>
    <w:p w14:paraId="4CA2B146">
      <w:pPr>
        <w:spacing w:line="240" w:lineRule="auto"/>
        <w:ind w:firstLine="640"/>
        <w:jc w:val="both"/>
      </w:pPr>
      <w:r>
        <w:rPr>
          <w:rFonts w:ascii="仿宋_GB2312" w:hAnsi="仿宋_GB2312" w:eastAsia="仿宋_GB2312"/>
          <w:b w:val="0"/>
          <w:sz w:val="32"/>
        </w:rPr>
        <w:t>六、《一般公共预算财政拨款基本支出决算表》</w:t>
      </w:r>
    </w:p>
    <w:p w14:paraId="536B7A4A">
      <w:pPr>
        <w:spacing w:line="240" w:lineRule="auto"/>
        <w:ind w:firstLine="640"/>
        <w:jc w:val="both"/>
      </w:pPr>
      <w:r>
        <w:rPr>
          <w:rFonts w:ascii="仿宋_GB2312" w:hAnsi="仿宋_GB2312" w:eastAsia="仿宋_GB2312"/>
          <w:b w:val="0"/>
          <w:sz w:val="32"/>
        </w:rPr>
        <w:t>七、《政府性基金预算财政拨款收入支出决算表》</w:t>
      </w:r>
    </w:p>
    <w:p w14:paraId="4CC83E98">
      <w:pPr>
        <w:spacing w:line="240" w:lineRule="auto"/>
        <w:ind w:firstLine="640"/>
        <w:jc w:val="both"/>
      </w:pPr>
      <w:r>
        <w:rPr>
          <w:rFonts w:ascii="仿宋_GB2312" w:hAnsi="仿宋_GB2312" w:eastAsia="仿宋_GB2312"/>
          <w:b w:val="0"/>
          <w:sz w:val="32"/>
        </w:rPr>
        <w:t>八、《国有资本经营预算财政拨款收入支出决算表》</w:t>
      </w:r>
    </w:p>
    <w:p w14:paraId="577D905A">
      <w:pPr>
        <w:spacing w:line="240" w:lineRule="auto"/>
        <w:ind w:firstLine="640"/>
        <w:jc w:val="both"/>
      </w:pPr>
      <w:r>
        <w:rPr>
          <w:rFonts w:ascii="仿宋_GB2312" w:hAnsi="仿宋_GB2312" w:eastAsia="仿宋_GB2312"/>
          <w:b w:val="0"/>
          <w:sz w:val="32"/>
        </w:rPr>
        <w:t>九、《财政拨款“三公”经费支出决算表》</w:t>
      </w:r>
    </w:p>
    <w:p w14:paraId="5125DEBA">
      <w:pPr>
        <w:spacing w:line="240" w:lineRule="auto"/>
        <w:ind w:firstLine="640"/>
        <w:jc w:val="both"/>
      </w:pPr>
    </w:p>
    <w:p w14:paraId="6C006E91">
      <w:pPr>
        <w:spacing w:line="240" w:lineRule="auto"/>
        <w:ind w:firstLine="640"/>
        <w:jc w:val="both"/>
      </w:pPr>
    </w:p>
    <w:p w14:paraId="74AB3EDE">
      <w:pPr>
        <w:spacing w:line="240" w:lineRule="auto"/>
        <w:ind w:firstLine="640"/>
        <w:jc w:val="both"/>
      </w:pPr>
    </w:p>
    <w:p w14:paraId="1D8FFE69">
      <w:pPr>
        <w:spacing w:line="240" w:lineRule="auto"/>
        <w:ind w:firstLine="640"/>
        <w:jc w:val="both"/>
      </w:pPr>
    </w:p>
    <w:p w14:paraId="73392B6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1AEC8C-334B-4C5A-86C0-2EDDACFBD7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EE47265-C568-483B-8C0C-248594795778}"/>
  </w:font>
  <w:font w:name="方正小标宋_GBK">
    <w:panose1 w:val="02000000000000000000"/>
    <w:charset w:val="86"/>
    <w:family w:val="script"/>
    <w:pitch w:val="default"/>
    <w:sig w:usb0="A00002BF" w:usb1="38CF7CFA" w:usb2="00082016" w:usb3="00000000" w:csb0="00040001" w:csb1="00000000"/>
    <w:embedRegular r:id="rId3" w:fontKey="{4D68F5A2-EF15-4525-BA4D-31BA3308D40B}"/>
  </w:font>
  <w:font w:name="楷体_GB2312">
    <w:altName w:val="楷体"/>
    <w:panose1 w:val="00000000000000000000"/>
    <w:charset w:val="00"/>
    <w:family w:val="auto"/>
    <w:pitch w:val="default"/>
    <w:sig w:usb0="00000000" w:usb1="00000000" w:usb2="00000000" w:usb3="00000000" w:csb0="00000000" w:csb1="00000000"/>
    <w:embedRegular r:id="rId4" w:fontKey="{49DB31F2-4A6B-4556-84B5-5E31638281E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760862"/>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D37F67"/>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A0422C"/>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20377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4880</Words>
  <Characters>5515</Characters>
  <Lines>0</Lines>
  <Paragraphs>0</Paragraphs>
  <TotalTime>0</TotalTime>
  <ScaleCrop>false</ScaleCrop>
  <LinksUpToDate>false</LinksUpToDate>
  <CharactersWithSpaces>5525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