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D68935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新疆维吾尔自治区人大常委会</w:t>
      </w: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喀什地区工作委员会2024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809B21">
      <w:r>
        <w:br w:type="page"/>
      </w:r>
    </w:p>
    <w:p w14:paraId="4CB9393C">
      <w:pPr>
        <w:spacing w:line="640" w:lineRule="exact"/>
        <w:jc w:val="center"/>
        <w:outlineLvl w:val="1"/>
      </w:pPr>
      <w:r>
        <w:rPr>
          <w:rFonts w:ascii="黑体" w:hAnsi="黑体" w:eastAsia="黑体"/>
          <w:sz w:val="32"/>
        </w:rPr>
        <w:t>第一部分 单位概况</w:t>
      </w:r>
    </w:p>
    <w:p w14:paraId="2D96182E">
      <w:pPr>
        <w:spacing w:line="640" w:lineRule="exact"/>
        <w:ind w:firstLine="640"/>
        <w:jc w:val="both"/>
        <w:outlineLvl w:val="2"/>
      </w:pPr>
      <w:r>
        <w:rPr>
          <w:rFonts w:ascii="黑体" w:hAnsi="黑体" w:eastAsia="黑体"/>
          <w:sz w:val="32"/>
        </w:rPr>
        <w:t>一、主要职能</w:t>
      </w:r>
    </w:p>
    <w:p w14:paraId="44142C35">
      <w:pPr>
        <w:spacing w:line="580" w:lineRule="exact"/>
        <w:ind w:firstLine="640"/>
        <w:jc w:val="both"/>
      </w:pPr>
      <w:r>
        <w:rPr>
          <w:rFonts w:ascii="仿宋_GB2312" w:hAnsi="仿宋_GB2312" w:eastAsia="仿宋_GB2312"/>
          <w:sz w:val="32"/>
        </w:rPr>
        <w:t>新疆维吾尔自治区人大常委会喀什地区工作委员会是新疆维吾尔自治区人大常委会的派出机构，其主要职能。</w:t>
      </w:r>
    </w:p>
    <w:p w14:paraId="44D81197">
      <w:pPr>
        <w:spacing w:line="580" w:lineRule="exact"/>
        <w:ind w:firstLine="640"/>
        <w:jc w:val="both"/>
      </w:pPr>
      <w:r>
        <w:rPr>
          <w:rFonts w:ascii="仿宋_GB2312" w:hAnsi="仿宋_GB2312" w:eastAsia="仿宋_GB2312"/>
          <w:sz w:val="32"/>
        </w:rPr>
        <w:t>（1）开展立法工作。参与地方法律法规的制定、开展地方性法律法规意见征集以及开展人大规范性文件备案审查工作。</w:t>
      </w:r>
    </w:p>
    <w:p w14:paraId="32503317">
      <w:pPr>
        <w:spacing w:line="580" w:lineRule="exact"/>
        <w:ind w:firstLine="640"/>
        <w:jc w:val="both"/>
      </w:pPr>
      <w:r>
        <w:rPr>
          <w:rFonts w:ascii="仿宋_GB2312" w:hAnsi="仿宋_GB2312" w:eastAsia="仿宋_GB2312"/>
          <w:sz w:val="32"/>
        </w:rPr>
        <w:t>（2）开展监督工作。监督国家、自治区法律、法规在本行政区域执行情况，对“一府一委两院”开展工作监督。</w:t>
      </w:r>
    </w:p>
    <w:p w14:paraId="7F0F5AD0">
      <w:pPr>
        <w:spacing w:line="580" w:lineRule="exact"/>
        <w:ind w:firstLine="640"/>
        <w:jc w:val="both"/>
      </w:pPr>
      <w:r>
        <w:rPr>
          <w:rFonts w:ascii="仿宋_GB2312" w:hAnsi="仿宋_GB2312" w:eastAsia="仿宋_GB2312"/>
          <w:sz w:val="32"/>
        </w:rPr>
        <w:t>（3）开展代表工作。指导、服务各级人大代表履职。</w:t>
      </w:r>
    </w:p>
    <w:p w14:paraId="0E704BCA">
      <w:pPr>
        <w:spacing w:line="580" w:lineRule="exact"/>
        <w:ind w:firstLine="640"/>
        <w:jc w:val="both"/>
      </w:pPr>
      <w:r>
        <w:rPr>
          <w:rFonts w:ascii="仿宋_GB2312" w:hAnsi="仿宋_GB2312" w:eastAsia="仿宋_GB2312"/>
          <w:sz w:val="32"/>
        </w:rPr>
        <w:t>（4）指导各县、市人大常委会依法开展立法、监督、代表工作。</w:t>
      </w:r>
    </w:p>
    <w:p w14:paraId="5A40CCE7">
      <w:pPr>
        <w:spacing w:line="580" w:lineRule="exact"/>
        <w:ind w:firstLine="640"/>
        <w:jc w:val="both"/>
      </w:pPr>
      <w:r>
        <w:rPr>
          <w:rFonts w:ascii="仿宋_GB2312" w:hAnsi="仿宋_GB2312" w:eastAsia="仿宋_GB2312"/>
          <w:sz w:val="32"/>
        </w:rPr>
        <w:t>（5）协助做好上级人大来喀开展的各项执法检查、调研、视察活动的相关工作，完成自治区人大常委会和地委交办的其他事宜。</w:t>
      </w:r>
    </w:p>
    <w:p w14:paraId="234E9811">
      <w:pPr>
        <w:spacing w:line="640" w:lineRule="exact"/>
        <w:ind w:firstLine="640"/>
        <w:jc w:val="both"/>
        <w:outlineLvl w:val="2"/>
      </w:pPr>
      <w:r>
        <w:rPr>
          <w:rFonts w:ascii="黑体" w:hAnsi="黑体" w:eastAsia="黑体"/>
          <w:sz w:val="32"/>
        </w:rPr>
        <w:t>二、机构设置及人员情况</w:t>
      </w:r>
    </w:p>
    <w:p w14:paraId="430FC914">
      <w:pPr>
        <w:spacing w:line="580" w:lineRule="exact"/>
        <w:ind w:firstLine="640"/>
        <w:jc w:val="both"/>
      </w:pPr>
      <w:r>
        <w:rPr>
          <w:rFonts w:ascii="仿宋_GB2312" w:hAnsi="仿宋_GB2312" w:eastAsia="仿宋_GB2312"/>
          <w:sz w:val="32"/>
        </w:rPr>
        <w:t>新疆维吾尔自治区人大常委会喀什地区工作委员会2024年度，实有人数68人，其中：在职人员39人，减少2人；离休人员0人，增加0人；退休人员29人,增加2人。</w:t>
      </w:r>
    </w:p>
    <w:p w14:paraId="2AAB6447">
      <w:pPr>
        <w:spacing w:line="580" w:lineRule="exact"/>
        <w:ind w:firstLine="640"/>
        <w:jc w:val="both"/>
      </w:pPr>
      <w:r>
        <w:rPr>
          <w:rFonts w:ascii="仿宋_GB2312" w:hAnsi="仿宋_GB2312" w:eastAsia="仿宋_GB2312"/>
          <w:sz w:val="32"/>
        </w:rPr>
        <w:t>新疆维吾尔自治区人大常委会喀什地区工作委员会无下属预算单位，下设4个科室，分别是：办公室、法制处、代表工作处、预算审查处。</w:t>
      </w:r>
    </w:p>
    <w:p w14:paraId="0B0ADE82">
      <w:r>
        <w:br w:type="page"/>
      </w:r>
    </w:p>
    <w:p w14:paraId="041AE70D">
      <w:pPr>
        <w:spacing w:line="240" w:lineRule="auto"/>
        <w:jc w:val="center"/>
        <w:outlineLvl w:val="1"/>
      </w:pPr>
      <w:r>
        <w:rPr>
          <w:rFonts w:ascii="黑体" w:hAnsi="黑体" w:eastAsia="黑体"/>
          <w:sz w:val="32"/>
        </w:rPr>
        <w:t>第二部分 部门决算情况说明</w:t>
      </w:r>
    </w:p>
    <w:p w14:paraId="0CF8FB14">
      <w:pPr>
        <w:spacing w:line="640" w:lineRule="exact"/>
        <w:ind w:firstLine="640"/>
        <w:jc w:val="both"/>
        <w:outlineLvl w:val="2"/>
      </w:pPr>
      <w:r>
        <w:rPr>
          <w:rFonts w:ascii="黑体" w:hAnsi="黑体" w:eastAsia="黑体"/>
          <w:sz w:val="32"/>
        </w:rPr>
        <w:t>一、收入支出决算总体情况说明</w:t>
      </w:r>
    </w:p>
    <w:p w14:paraId="00565C7E">
      <w:pPr>
        <w:spacing w:line="580" w:lineRule="exact"/>
        <w:ind w:firstLine="640"/>
        <w:jc w:val="both"/>
      </w:pPr>
      <w:r>
        <w:rPr>
          <w:rFonts w:ascii="仿宋_GB2312" w:hAnsi="仿宋_GB2312" w:eastAsia="仿宋_GB2312"/>
          <w:b/>
          <w:sz w:val="32"/>
        </w:rPr>
        <w:t>2024年度收入总计1,411.30万元，</w:t>
      </w:r>
      <w:r>
        <w:rPr>
          <w:rFonts w:ascii="仿宋_GB2312" w:hAnsi="仿宋_GB2312" w:eastAsia="仿宋_GB2312"/>
          <w:b w:val="0"/>
          <w:sz w:val="32"/>
        </w:rPr>
        <w:t>其中：本年收入合计1,381.05万元，使用非财政拨款结余（含专用结余）0.00万元，年初结转和结余30.25万元。</w:t>
      </w:r>
    </w:p>
    <w:p w14:paraId="5E8C04FC">
      <w:pPr>
        <w:spacing w:line="580" w:lineRule="exact"/>
        <w:ind w:firstLine="640"/>
        <w:jc w:val="both"/>
      </w:pPr>
      <w:r>
        <w:rPr>
          <w:rFonts w:ascii="仿宋_GB2312" w:hAnsi="仿宋_GB2312" w:eastAsia="仿宋_GB2312"/>
          <w:b/>
          <w:sz w:val="32"/>
        </w:rPr>
        <w:t>2024年度支出总计1,411.30万元，</w:t>
      </w:r>
      <w:r>
        <w:rPr>
          <w:rFonts w:ascii="仿宋_GB2312" w:hAnsi="仿宋_GB2312" w:eastAsia="仿宋_GB2312"/>
          <w:b w:val="0"/>
          <w:sz w:val="32"/>
        </w:rPr>
        <w:t>其中：本年支出合计1,409.99万元，结余分配0.00万元，年末结转和结余1.31万元。</w:t>
      </w:r>
    </w:p>
    <w:p w14:paraId="6C4E4A02">
      <w:pPr>
        <w:spacing w:line="580" w:lineRule="exact"/>
        <w:ind w:firstLine="640"/>
        <w:jc w:val="both"/>
      </w:pPr>
      <w:r>
        <w:rPr>
          <w:rFonts w:ascii="仿宋_GB2312" w:hAnsi="仿宋_GB2312" w:eastAsia="仿宋_GB2312"/>
          <w:b w:val="0"/>
          <w:sz w:val="32"/>
        </w:rPr>
        <w:t>收入支出总体与上年相比，增加53.66万元，增长3.95%，主要原因是：本年增加2024年人大预算联网监督系统续（扩）建项目、新疆人民会堂喀什厅维修改造等项目经费，导致相关经费增加。</w:t>
      </w:r>
    </w:p>
    <w:p w14:paraId="252FDFD5">
      <w:pPr>
        <w:spacing w:line="640" w:lineRule="exact"/>
        <w:ind w:firstLine="640"/>
        <w:jc w:val="both"/>
        <w:outlineLvl w:val="2"/>
      </w:pPr>
      <w:r>
        <w:rPr>
          <w:rFonts w:ascii="黑体" w:hAnsi="黑体" w:eastAsia="黑体"/>
          <w:sz w:val="32"/>
        </w:rPr>
        <w:t>二、收入决算情况说明</w:t>
      </w:r>
    </w:p>
    <w:p w14:paraId="4BB45B64">
      <w:pPr>
        <w:spacing w:line="580" w:lineRule="exact"/>
        <w:ind w:firstLine="640"/>
        <w:jc w:val="both"/>
      </w:pPr>
      <w:r>
        <w:rPr>
          <w:rFonts w:ascii="仿宋_GB2312" w:hAnsi="仿宋_GB2312" w:eastAsia="仿宋_GB2312"/>
          <w:b/>
          <w:sz w:val="32"/>
        </w:rPr>
        <w:t>本年收入1,381.05万元，</w:t>
      </w:r>
      <w:r>
        <w:rPr>
          <w:rFonts w:ascii="仿宋_GB2312" w:hAnsi="仿宋_GB2312" w:eastAsia="仿宋_GB2312"/>
          <w:b w:val="0"/>
          <w:sz w:val="32"/>
        </w:rPr>
        <w:t>其中：财政拨款收入1,363.55万元，占98.73%；上级补助收入0.00万元，占0.00%；事业收入0.00万元，占0.00%；经营收入0.00万元，占0.00%；附属单位上缴收入0.00万元，占0.00%；其他收入17.50万元，占1.27%。</w:t>
      </w:r>
    </w:p>
    <w:p w14:paraId="31E69FCD">
      <w:pPr>
        <w:spacing w:line="640" w:lineRule="exact"/>
        <w:ind w:firstLine="640"/>
        <w:jc w:val="both"/>
        <w:outlineLvl w:val="2"/>
      </w:pPr>
      <w:r>
        <w:rPr>
          <w:rFonts w:ascii="黑体" w:hAnsi="黑体" w:eastAsia="黑体"/>
          <w:sz w:val="32"/>
        </w:rPr>
        <w:t>三、支出决算情况说明</w:t>
      </w:r>
    </w:p>
    <w:p w14:paraId="12282143">
      <w:pPr>
        <w:spacing w:line="580" w:lineRule="exact"/>
        <w:ind w:firstLine="640"/>
        <w:jc w:val="both"/>
      </w:pPr>
      <w:r>
        <w:rPr>
          <w:rFonts w:ascii="仿宋_GB2312" w:hAnsi="仿宋_GB2312" w:eastAsia="仿宋_GB2312"/>
          <w:b/>
          <w:sz w:val="32"/>
        </w:rPr>
        <w:t>本年支出1,409.99万元，</w:t>
      </w:r>
      <w:r>
        <w:rPr>
          <w:rFonts w:ascii="仿宋_GB2312" w:hAnsi="仿宋_GB2312" w:eastAsia="仿宋_GB2312"/>
          <w:b w:val="0"/>
          <w:sz w:val="32"/>
        </w:rPr>
        <w:t>其中：基本支出1,091.38万元，占77.40%；项目支出318.62万元，占22.60%；上缴上级支出0.00万元，占0.00%；经营支出0.00万元，占0.00%；对附属单位补助支出0.00万元，占0.00%。</w:t>
      </w:r>
    </w:p>
    <w:p w14:paraId="694F01EB">
      <w:pPr>
        <w:spacing w:line="640" w:lineRule="exact"/>
        <w:ind w:firstLine="640"/>
        <w:jc w:val="both"/>
        <w:outlineLvl w:val="2"/>
      </w:pPr>
      <w:r>
        <w:rPr>
          <w:rFonts w:ascii="黑体" w:hAnsi="黑体" w:eastAsia="黑体"/>
          <w:sz w:val="32"/>
        </w:rPr>
        <w:t>四、财政拨款收入支出决算总体情况说明</w:t>
      </w:r>
    </w:p>
    <w:p w14:paraId="35FAA581">
      <w:pPr>
        <w:spacing w:line="580" w:lineRule="exact"/>
        <w:ind w:firstLine="640"/>
        <w:jc w:val="both"/>
      </w:pPr>
      <w:r>
        <w:rPr>
          <w:rFonts w:ascii="仿宋_GB2312" w:hAnsi="仿宋_GB2312" w:eastAsia="仿宋_GB2312"/>
          <w:b/>
          <w:sz w:val="32"/>
        </w:rPr>
        <w:t>2024年度财政拨款收入总计1,363.55万元，</w:t>
      </w:r>
      <w:r>
        <w:rPr>
          <w:rFonts w:ascii="仿宋_GB2312" w:hAnsi="仿宋_GB2312" w:eastAsia="仿宋_GB2312"/>
          <w:b w:val="0"/>
          <w:sz w:val="32"/>
        </w:rPr>
        <w:t>其中：年初财政拨款结转和结余0.00万元，本年财政拨款收入1,363.55万元。</w:t>
      </w:r>
      <w:r>
        <w:rPr>
          <w:rFonts w:ascii="仿宋_GB2312" w:hAnsi="仿宋_GB2312" w:eastAsia="仿宋_GB2312"/>
          <w:b/>
          <w:sz w:val="32"/>
        </w:rPr>
        <w:t>财政拨款支出总计1,363.55万元，</w:t>
      </w:r>
      <w:r>
        <w:rPr>
          <w:rFonts w:ascii="仿宋_GB2312" w:hAnsi="仿宋_GB2312" w:eastAsia="仿宋_GB2312"/>
          <w:b w:val="0"/>
          <w:sz w:val="32"/>
        </w:rPr>
        <w:t>其中：年末财政拨款结转和结余0.00万元，本年财政拨款支出1,363.55万元。</w:t>
      </w:r>
    </w:p>
    <w:p w14:paraId="6562F08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增加147.53万元，增长12.13%，主要原因是：本年增加2024年人大预算联网监督系统续（扩）建项目、新疆人民会堂喀什厅维修改造等项目经费，导致相关经费增加。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年初预算数1,317.08万元，决算数1,363.55万元，预决算差异率3.53%，主要原因是：年中追加2024年新疆人民会堂喀什厅维修改造等项目经费，导致预决算存在差异。</w:t>
      </w:r>
    </w:p>
    <w:p w14:paraId="79347CFF">
      <w:pPr>
        <w:spacing w:line="640" w:lineRule="exact"/>
        <w:ind w:firstLine="640"/>
        <w:jc w:val="both"/>
        <w:outlineLvl w:val="2"/>
      </w:pPr>
      <w:r>
        <w:rPr>
          <w:rFonts w:ascii="黑体" w:hAnsi="黑体" w:eastAsia="黑体"/>
          <w:sz w:val="32"/>
        </w:rPr>
        <w:t>五、一般公共预算财政拨款支出决算情况说明</w:t>
      </w:r>
    </w:p>
    <w:p w14:paraId="01FC3EBB">
      <w:pPr>
        <w:spacing w:line="640" w:lineRule="exact"/>
        <w:ind w:firstLine="640"/>
        <w:jc w:val="both"/>
        <w:outlineLvl w:val="3"/>
      </w:pPr>
      <w:r>
        <w:rPr>
          <w:rFonts w:ascii="楷体_GB2312" w:hAnsi="楷体_GB2312" w:eastAsia="楷体_GB2312"/>
          <w:b/>
          <w:sz w:val="32"/>
        </w:rPr>
        <w:t>（一）一般公共预算财政拨款支出决算总体情况</w:t>
      </w:r>
    </w:p>
    <w:p w14:paraId="3957730D">
      <w:pPr>
        <w:spacing w:line="580" w:lineRule="exact"/>
        <w:ind w:firstLine="640"/>
        <w:jc w:val="both"/>
      </w:pPr>
      <w:r>
        <w:rPr>
          <w:rFonts w:ascii="仿宋_GB2312" w:hAnsi="仿宋_GB2312" w:eastAsia="仿宋_GB2312"/>
          <w:b/>
          <w:sz w:val="32"/>
        </w:rPr>
        <w:t>2024年度一般公共预算财政拨款支出1,363.55万元，</w:t>
      </w:r>
      <w:r>
        <w:rPr>
          <w:rFonts w:ascii="仿宋_GB2312" w:hAnsi="仿宋_GB2312" w:eastAsia="仿宋_GB2312"/>
          <w:b w:val="0"/>
          <w:sz w:val="32"/>
        </w:rPr>
        <w:t>占本年支出合计的96.71%。</w:t>
      </w:r>
      <w:r>
        <w:rPr>
          <w:rFonts w:ascii="仿宋_GB2312" w:hAnsi="仿宋_GB2312" w:eastAsia="仿宋_GB2312"/>
          <w:b/>
          <w:sz w:val="32"/>
        </w:rPr>
        <w:t>与上年相比，</w:t>
      </w:r>
      <w:r>
        <w:rPr>
          <w:rFonts w:ascii="仿宋_GB2312" w:hAnsi="仿宋_GB2312" w:eastAsia="仿宋_GB2312"/>
          <w:b w:val="0"/>
          <w:sz w:val="32"/>
        </w:rPr>
        <w:t>增加147.53万元，增长12.13%，主要原因是：本年增加2024年人大预算联网监督系统续（扩）建项目、新疆人民会堂喀什厅维修改造等项目经费，导致相关经费增加。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年初预算数1,317.08万元，决算数1,363.55万元，预决算差异率3.53%，主要原因是：年中追加2024年新疆人民会堂喀什厅维修改造等项目经费，导致预决算存在差异。</w:t>
      </w:r>
    </w:p>
    <w:p w14:paraId="6860CA6F">
      <w:pPr>
        <w:spacing w:line="640" w:lineRule="exact"/>
        <w:ind w:firstLine="640"/>
        <w:jc w:val="both"/>
        <w:outlineLvl w:val="3"/>
      </w:pPr>
      <w:r>
        <w:rPr>
          <w:rFonts w:ascii="楷体_GB2312" w:hAnsi="楷体_GB2312" w:eastAsia="楷体_GB2312"/>
          <w:b/>
          <w:sz w:val="32"/>
        </w:rPr>
        <w:t>（二）一般公共预算财政拨款支出决算结构情况</w:t>
      </w:r>
    </w:p>
    <w:p w14:paraId="37305D66">
      <w:pPr>
        <w:spacing w:line="580" w:lineRule="exact"/>
        <w:ind w:firstLine="640"/>
        <w:jc w:val="both"/>
      </w:pPr>
      <w:r>
        <w:rPr>
          <w:rFonts w:ascii="仿宋_GB2312" w:hAnsi="仿宋_GB2312" w:eastAsia="仿宋_GB2312"/>
          <w:b w:val="0"/>
          <w:sz w:val="32"/>
        </w:rPr>
        <w:t>1.一般公共服务支出(类)1,027.96万元,占75.39%。</w:t>
      </w:r>
    </w:p>
    <w:p w14:paraId="39E6B322">
      <w:pPr>
        <w:spacing w:line="580" w:lineRule="exact"/>
        <w:ind w:firstLine="640"/>
        <w:jc w:val="both"/>
      </w:pPr>
      <w:r>
        <w:rPr>
          <w:rFonts w:ascii="仿宋_GB2312" w:hAnsi="仿宋_GB2312" w:eastAsia="仿宋_GB2312"/>
          <w:b w:val="0"/>
          <w:sz w:val="32"/>
        </w:rPr>
        <w:t>2.社会保障和就业支出(类)216.23万元,占15.86%。</w:t>
      </w:r>
    </w:p>
    <w:p w14:paraId="5F61CE7E">
      <w:pPr>
        <w:spacing w:line="580" w:lineRule="exact"/>
        <w:ind w:firstLine="640"/>
        <w:jc w:val="both"/>
      </w:pPr>
      <w:r>
        <w:rPr>
          <w:rFonts w:ascii="仿宋_GB2312" w:hAnsi="仿宋_GB2312" w:eastAsia="仿宋_GB2312"/>
          <w:b w:val="0"/>
          <w:sz w:val="32"/>
        </w:rPr>
        <w:t>3.卫生健康支出(类)44.81万元,占3.29%。</w:t>
      </w:r>
    </w:p>
    <w:p w14:paraId="67B26F8C">
      <w:pPr>
        <w:spacing w:line="580" w:lineRule="exact"/>
        <w:ind w:firstLine="640"/>
        <w:jc w:val="both"/>
      </w:pPr>
      <w:r>
        <w:rPr>
          <w:rFonts w:ascii="仿宋_GB2312" w:hAnsi="仿宋_GB2312" w:eastAsia="仿宋_GB2312"/>
          <w:b w:val="0"/>
          <w:sz w:val="32"/>
        </w:rPr>
        <w:t>4.住房保障支出(类)74.54万元,占5.47%。</w:t>
      </w:r>
    </w:p>
    <w:p w14:paraId="7B92B33C">
      <w:pPr>
        <w:spacing w:line="640" w:lineRule="exact"/>
        <w:ind w:firstLine="640"/>
        <w:jc w:val="both"/>
        <w:outlineLvl w:val="3"/>
      </w:pPr>
      <w:r>
        <w:rPr>
          <w:rFonts w:ascii="楷体_GB2312" w:hAnsi="楷体_GB2312" w:eastAsia="楷体_GB2312"/>
          <w:b/>
          <w:sz w:val="32"/>
        </w:rPr>
        <w:t>（三）一般公共预算财政拨款支出决算具体情况</w:t>
      </w:r>
    </w:p>
    <w:p w14:paraId="06D7E2F0">
      <w:pPr>
        <w:spacing w:line="580" w:lineRule="exact"/>
        <w:ind w:firstLine="640"/>
        <w:jc w:val="both"/>
      </w:pPr>
      <w:r>
        <w:rPr>
          <w:rFonts w:ascii="仿宋_GB2312" w:hAnsi="仿宋_GB2312" w:eastAsia="仿宋_GB2312"/>
          <w:b w:val="0"/>
          <w:sz w:val="32"/>
        </w:rPr>
        <w:t>1.一般公共服务支出(类)人大事务(款)行政运行(项):支出决算数为755.80万元，比上年决算减少14.55万元，下降1.89%,主要原因是：本年减少劳务费等经费，导致相关经费减少。</w:t>
      </w:r>
    </w:p>
    <w:p w14:paraId="262CA17D">
      <w:pPr>
        <w:spacing w:line="580" w:lineRule="exact"/>
        <w:ind w:firstLine="640"/>
        <w:jc w:val="both"/>
      </w:pPr>
      <w:r>
        <w:rPr>
          <w:rFonts w:ascii="仿宋_GB2312" w:hAnsi="仿宋_GB2312" w:eastAsia="仿宋_GB2312"/>
          <w:b w:val="0"/>
          <w:sz w:val="32"/>
        </w:rPr>
        <w:t>2.一般公共服务支出(类)人大事务(款)一般行政管理事务(项):支出决算数为256.30万元，比上年决算增加145.10万元，增长130.49%,主要原因是：本年增加2024年人大预算联网监督系统续（扩）建项目、新疆人民会堂喀什厅维修改造等项目经费，导致相关经费增加。</w:t>
      </w:r>
    </w:p>
    <w:p w14:paraId="5CC7EB40">
      <w:pPr>
        <w:spacing w:line="580" w:lineRule="exact"/>
        <w:ind w:firstLine="640"/>
        <w:jc w:val="both"/>
      </w:pPr>
      <w:r>
        <w:rPr>
          <w:rFonts w:ascii="仿宋_GB2312" w:hAnsi="仿宋_GB2312" w:eastAsia="仿宋_GB2312"/>
          <w:b w:val="0"/>
          <w:sz w:val="32"/>
        </w:rPr>
        <w:t>3.一般公共服务支出(类)人大事务(款)其他人大事务支出(项):支出决算数为15.87万元，比上年决算减少24.13万元，下降60.32%,主要原因是：本年减少基层人大补助项目经费，导致相关经费减少。</w:t>
      </w:r>
    </w:p>
    <w:p w14:paraId="3D8FA916">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4.社会保障和就业支出(类)行政事业单位养老支出(款)行政单位离退休(项):支出决算数为62.83万元，比上年决算增加16.21万元，增长34.77%,主要原因是：本年退休人员增加，退休费支出增加。</w:t>
      </w:r>
    </w:p>
    <w:p w14:paraId="1F1E5410">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86.91万元，比上年决算增加0.44万元，增长0.51%,主要原因是：本年在职人员工资基数调增，养老缴费基数上涨，相应支出增加。</w:t>
      </w:r>
    </w:p>
    <w:p w14:paraId="2D6BB0A0">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34.01万元，比上年决算增加22.14万元，增长186.52%,主要原因是：本年新增退休人员较上年增加，职业年金缴费支出增加。</w:t>
      </w:r>
    </w:p>
    <w:p w14:paraId="65C86252">
      <w:pPr>
        <w:spacing w:line="580" w:lineRule="exact"/>
        <w:ind w:firstLine="640"/>
        <w:jc w:val="both"/>
      </w:pPr>
      <w:r>
        <w:rPr>
          <w:rFonts w:ascii="仿宋_GB2312" w:hAnsi="仿宋_GB2312" w:eastAsia="仿宋_GB2312"/>
          <w:b w:val="0"/>
          <w:sz w:val="32"/>
        </w:rPr>
        <w:t>7.社会保障和就业支出(类)抚恤(款)死亡抚恤(项):支出决算数为32.47万元，比上年决算增加1.55万元，增长5.01%,主要原因是：本年新增死亡人员较上年增加，死亡抚恤支出增加，此科目经费较上年增加。</w:t>
      </w:r>
    </w:p>
    <w:p w14:paraId="1C3139A0">
      <w:pPr>
        <w:spacing w:line="580" w:lineRule="exact"/>
        <w:ind w:firstLine="640"/>
        <w:jc w:val="both"/>
      </w:pPr>
      <w:r>
        <w:rPr>
          <w:rFonts w:ascii="仿宋_GB2312" w:hAnsi="仿宋_GB2312" w:eastAsia="仿宋_GB2312"/>
          <w:b w:val="0"/>
          <w:sz w:val="32"/>
        </w:rPr>
        <w:t>8.卫生健康支出(类)行政事业单位医疗(款)行政单位医疗(项):支出决算数为36.94万元，比上年决算减少0.74万元，下降1.96%,主要原因是：本年在职人员减少，行政单位医疗支出较上年减少。</w:t>
      </w:r>
    </w:p>
    <w:p w14:paraId="411DEF23">
      <w:pPr>
        <w:spacing w:line="580" w:lineRule="exact"/>
        <w:ind w:firstLine="640"/>
        <w:jc w:val="both"/>
      </w:pPr>
      <w:r>
        <w:rPr>
          <w:rFonts w:ascii="仿宋_GB2312" w:hAnsi="仿宋_GB2312" w:eastAsia="仿宋_GB2312"/>
          <w:b w:val="0"/>
          <w:sz w:val="32"/>
        </w:rPr>
        <w:t>9.卫生健康支出(类)行政事业单位医疗(款)公务员医疗补助(项):支出决算数为7.87万元，比上年决算减少0.43万元，下降5.18%,主要原因是：本年在职人员减少，公务员医疗补助较上年减少。</w:t>
      </w:r>
    </w:p>
    <w:p w14:paraId="4E820C2B">
      <w:pPr>
        <w:spacing w:line="580" w:lineRule="exact"/>
        <w:ind w:firstLine="640"/>
        <w:jc w:val="both"/>
      </w:pPr>
      <w:r>
        <w:rPr>
          <w:rFonts w:ascii="仿宋_GB2312" w:hAnsi="仿宋_GB2312" w:eastAsia="仿宋_GB2312"/>
          <w:b w:val="0"/>
          <w:sz w:val="32"/>
        </w:rPr>
        <w:t>10.住房保障支出(类)住房改革支出(款)住房公积金(项):支出决算数为74.54万元，比上年决算增加2.97万元，增长4.15%,主要原因是：本年在职人员工资基数调增，公积金缴费基数上涨，相应支出增加。</w:t>
      </w:r>
    </w:p>
    <w:p w14:paraId="23EDD374">
      <w:pPr>
        <w:spacing w:line="580" w:lineRule="exact"/>
        <w:ind w:firstLine="640"/>
        <w:jc w:val="both"/>
      </w:pPr>
      <w:r>
        <w:rPr>
          <w:rFonts w:ascii="仿宋_GB2312" w:hAnsi="仿宋_GB2312" w:eastAsia="仿宋_GB2312"/>
          <w:b w:val="0"/>
          <w:sz w:val="32"/>
        </w:rPr>
        <w:t>11.其他支出(类)其他支出(款)其他支出(项):支出决算数为0.00万元，比上年决算减少1.06万元，下降100.00%,主要原因是：本年度功能科目调整，</w:t>
      </w:r>
      <w:r>
        <w:rPr>
          <w:rFonts w:hint="eastAsia" w:ascii="仿宋_GB2312" w:hAnsi="仿宋_GB2312" w:eastAsia="仿宋_GB2312"/>
          <w:b w:val="0"/>
          <w:sz w:val="32"/>
          <w:lang w:val="en-US" w:eastAsia="zh-CN"/>
        </w:rPr>
        <w:t>信息化</w:t>
      </w:r>
      <w:r>
        <w:rPr>
          <w:rFonts w:ascii="仿宋_GB2312" w:hAnsi="仿宋_GB2312" w:eastAsia="仿宋_GB2312"/>
          <w:b w:val="0"/>
          <w:sz w:val="32"/>
        </w:rPr>
        <w:t>项目质保金上年在其他支出科目列支，本年调整至其他人大事务支出科目列支，导致相关经费减少。</w:t>
      </w:r>
      <w:bookmarkStart w:id="0" w:name="_GoBack"/>
      <w:bookmarkEnd w:id="0"/>
    </w:p>
    <w:p w14:paraId="0F7084CF">
      <w:pPr>
        <w:spacing w:line="640" w:lineRule="exact"/>
        <w:ind w:firstLine="640"/>
        <w:jc w:val="both"/>
        <w:outlineLvl w:val="2"/>
      </w:pPr>
      <w:r>
        <w:rPr>
          <w:rFonts w:ascii="黑体" w:hAnsi="黑体" w:eastAsia="黑体"/>
          <w:sz w:val="32"/>
        </w:rPr>
        <w:t>六、一般公共预算财政拨款基本支出决算情况说明</w:t>
      </w:r>
    </w:p>
    <w:p w14:paraId="189136C7">
      <w:pPr>
        <w:spacing w:line="580" w:lineRule="exact"/>
        <w:ind w:firstLine="640"/>
        <w:jc w:val="both"/>
      </w:pPr>
      <w:r>
        <w:rPr>
          <w:rFonts w:ascii="仿宋_GB2312" w:hAnsi="仿宋_GB2312" w:eastAsia="仿宋_GB2312"/>
          <w:b w:val="0"/>
          <w:sz w:val="32"/>
        </w:rPr>
        <w:t>2024年度一般公共预算财政拨款基本支出1,091.38万元，其中：</w:t>
      </w:r>
      <w:r>
        <w:rPr>
          <w:rFonts w:ascii="仿宋_GB2312" w:hAnsi="仿宋_GB2312" w:eastAsia="仿宋_GB2312"/>
          <w:b/>
          <w:sz w:val="32"/>
        </w:rPr>
        <w:t>人员经费1,034.15万元，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5BB8C2F6">
      <w:pPr>
        <w:spacing w:line="580" w:lineRule="exact"/>
        <w:ind w:firstLine="640"/>
        <w:jc w:val="both"/>
      </w:pPr>
      <w:r>
        <w:rPr>
          <w:rFonts w:ascii="仿宋_GB2312" w:hAnsi="仿宋_GB2312" w:eastAsia="仿宋_GB2312"/>
          <w:b/>
          <w:sz w:val="32"/>
        </w:rPr>
        <w:t>公用经费57.23万元，</w:t>
      </w:r>
      <w:r>
        <w:rPr>
          <w:rFonts w:ascii="仿宋_GB2312" w:hAnsi="仿宋_GB2312" w:eastAsia="仿宋_GB2312"/>
          <w:b w:val="0"/>
          <w:sz w:val="32"/>
        </w:rPr>
        <w:t>包括：办公费、印刷费、水费、电费、邮电费、差旅费、维修（护）费、专用材料费、劳务费、工会经费、公务用车运行维护费、其他交通费用、其他商品和服务支出。</w:t>
      </w:r>
    </w:p>
    <w:p w14:paraId="159250E8">
      <w:pPr>
        <w:spacing w:line="640" w:lineRule="exact"/>
        <w:ind w:firstLine="640"/>
        <w:jc w:val="both"/>
        <w:outlineLvl w:val="2"/>
      </w:pPr>
      <w:r>
        <w:rPr>
          <w:rFonts w:ascii="黑体" w:hAnsi="黑体" w:eastAsia="黑体"/>
          <w:sz w:val="32"/>
        </w:rPr>
        <w:t>七、政府性基金预算财政拨款收入支出决算情况说明</w:t>
      </w:r>
    </w:p>
    <w:p w14:paraId="6EB58E4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72F4C9A">
      <w:pPr>
        <w:spacing w:line="640" w:lineRule="exact"/>
        <w:ind w:firstLine="640"/>
        <w:jc w:val="both"/>
        <w:outlineLvl w:val="2"/>
      </w:pPr>
      <w:r>
        <w:rPr>
          <w:rFonts w:ascii="黑体" w:hAnsi="黑体" w:eastAsia="黑体"/>
          <w:sz w:val="32"/>
        </w:rPr>
        <w:t>八、国有资本经营预算财政拨款收入支出决算情况说明</w:t>
      </w:r>
    </w:p>
    <w:p w14:paraId="2072A9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3B00FE4">
      <w:pPr>
        <w:spacing w:line="640" w:lineRule="exact"/>
        <w:ind w:firstLine="640"/>
        <w:jc w:val="both"/>
        <w:outlineLvl w:val="2"/>
      </w:pPr>
      <w:r>
        <w:rPr>
          <w:rFonts w:ascii="黑体" w:hAnsi="黑体" w:eastAsia="黑体"/>
          <w:sz w:val="32"/>
        </w:rPr>
        <w:t>九、财政拨款“三公”经费支出决算情况说明</w:t>
      </w:r>
    </w:p>
    <w:p w14:paraId="00DBA36F">
      <w:pPr>
        <w:spacing w:line="580" w:lineRule="exact"/>
        <w:ind w:firstLine="640"/>
        <w:jc w:val="both"/>
      </w:pPr>
      <w:r>
        <w:rPr>
          <w:rFonts w:ascii="仿宋_GB2312" w:hAnsi="仿宋_GB2312" w:eastAsia="仿宋_GB2312"/>
          <w:b/>
          <w:sz w:val="32"/>
        </w:rPr>
        <w:t>2024年度财政拨款“三公”经费支出21.00万元，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21.00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24BEED5E">
      <w:pPr>
        <w:spacing w:line="580" w:lineRule="exact"/>
        <w:ind w:firstLine="640"/>
        <w:jc w:val="both"/>
      </w:pPr>
      <w:r>
        <w:rPr>
          <w:rFonts w:ascii="仿宋_GB2312" w:hAnsi="仿宋_GB2312" w:eastAsia="仿宋_GB2312"/>
          <w:b/>
          <w:sz w:val="32"/>
        </w:rPr>
        <w:t>具体情况如下：</w:t>
      </w:r>
    </w:p>
    <w:p w14:paraId="10B7A5F0">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84A0B2A">
      <w:pPr>
        <w:spacing w:line="580" w:lineRule="exact"/>
        <w:ind w:firstLine="640"/>
        <w:jc w:val="both"/>
      </w:pPr>
      <w:r>
        <w:rPr>
          <w:rFonts w:ascii="仿宋_GB2312" w:hAnsi="仿宋_GB2312" w:eastAsia="仿宋_GB2312"/>
          <w:b w:val="0"/>
          <w:sz w:val="32"/>
        </w:rPr>
        <w:t>公务用车购置及运行维护费21.00万元，其中：公务用车购置费0.00万元，公务用车运行维护费21.00万元。公务用车运行维护费开支内容包括公务用车车辆燃油费、保险费、通行费及车辆维修和保养服务。公务用车购置数0辆，公务用车保有量7辆。国有资产占用情况中固定资产车辆7辆，与公务用车保有量差异原因是：本单位固定资产车辆与公务用车保有量一致无差异。</w:t>
      </w:r>
    </w:p>
    <w:p w14:paraId="4EE6257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1AC0C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21.00万元，决算数21.00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21.00万元，决算数21.00万元，预决算差异率0.00%，主要原因是：严格按照预算执行，预决算无差异。公务接待费全年预算数0.00万元，决算数0.00万元，预决算差异率0.00%，主要原因是：本单位无公务接待费。</w:t>
      </w:r>
    </w:p>
    <w:p w14:paraId="40F7C6FF">
      <w:pPr>
        <w:spacing w:line="640" w:lineRule="exact"/>
        <w:ind w:firstLine="640"/>
        <w:jc w:val="both"/>
        <w:outlineLvl w:val="2"/>
      </w:pPr>
      <w:r>
        <w:rPr>
          <w:rFonts w:ascii="黑体" w:hAnsi="黑体" w:eastAsia="黑体"/>
          <w:sz w:val="32"/>
        </w:rPr>
        <w:t>十、其他重要事项的情况说明</w:t>
      </w:r>
    </w:p>
    <w:p w14:paraId="77A61BCC">
      <w:pPr>
        <w:spacing w:line="640" w:lineRule="exact"/>
        <w:ind w:firstLine="640"/>
        <w:jc w:val="both"/>
        <w:outlineLvl w:val="3"/>
      </w:pPr>
      <w:r>
        <w:rPr>
          <w:rFonts w:ascii="楷体_GB2312" w:hAnsi="楷体_GB2312" w:eastAsia="楷体_GB2312"/>
          <w:b/>
          <w:sz w:val="32"/>
        </w:rPr>
        <w:t>（一）机关运行经费及公用经费支出情况</w:t>
      </w:r>
    </w:p>
    <w:p w14:paraId="6BFA8769">
      <w:pPr>
        <w:spacing w:line="580" w:lineRule="exact"/>
        <w:ind w:firstLine="640"/>
        <w:jc w:val="both"/>
      </w:pPr>
      <w:r>
        <w:rPr>
          <w:rFonts w:ascii="仿宋_GB2312" w:hAnsi="仿宋_GB2312" w:eastAsia="仿宋_GB2312"/>
          <w:b w:val="0"/>
          <w:sz w:val="32"/>
        </w:rPr>
        <w:t>2024年度新疆维吾尔自治区人大常委会喀什地区工作委员会（行政单位和参照公务员法管理事业单位）机关运行经费支出57.23万元，比上年减少16.05万元，下降21.90%，主要原因是：本年减少劳务费等经费，导致机关运行经费减少。</w:t>
      </w:r>
    </w:p>
    <w:p w14:paraId="766580AE">
      <w:pPr>
        <w:spacing w:line="640" w:lineRule="exact"/>
        <w:ind w:firstLine="640"/>
        <w:jc w:val="both"/>
        <w:outlineLvl w:val="3"/>
      </w:pPr>
      <w:r>
        <w:rPr>
          <w:rFonts w:ascii="楷体_GB2312" w:hAnsi="楷体_GB2312" w:eastAsia="楷体_GB2312"/>
          <w:b/>
          <w:sz w:val="32"/>
        </w:rPr>
        <w:t>（二）政府采购情况</w:t>
      </w:r>
    </w:p>
    <w:p w14:paraId="3B31A010">
      <w:pPr>
        <w:spacing w:line="580" w:lineRule="exact"/>
        <w:ind w:firstLine="640"/>
        <w:jc w:val="both"/>
      </w:pPr>
      <w:r>
        <w:rPr>
          <w:rFonts w:ascii="仿宋_GB2312" w:hAnsi="仿宋_GB2312" w:eastAsia="仿宋_GB2312"/>
          <w:b w:val="0"/>
          <w:sz w:val="32"/>
        </w:rPr>
        <w:t>2024年度政府采购支出总额207.41万元，其中：政府采购货物支出35.17万元、政府采购工程支出29.70万元、政府采购服务支出142.54万元。</w:t>
      </w:r>
    </w:p>
    <w:p w14:paraId="419AAB5E">
      <w:pPr>
        <w:spacing w:line="580" w:lineRule="exact"/>
        <w:ind w:firstLine="640"/>
        <w:jc w:val="both"/>
      </w:pPr>
      <w:r>
        <w:rPr>
          <w:rFonts w:ascii="仿宋_GB2312" w:hAnsi="仿宋_GB2312" w:eastAsia="仿宋_GB2312"/>
          <w:b w:val="0"/>
          <w:sz w:val="32"/>
        </w:rPr>
        <w:t>授予中小企业合同金额87.43万元，占政府采购支出总额的42.15%，其中：授予小微企业合同金额63.42万元，占政府采购支出总额的30.58%。</w:t>
      </w:r>
    </w:p>
    <w:p w14:paraId="0C9D367F">
      <w:pPr>
        <w:spacing w:line="640" w:lineRule="exact"/>
        <w:ind w:firstLine="640"/>
        <w:jc w:val="both"/>
        <w:outlineLvl w:val="3"/>
      </w:pPr>
      <w:r>
        <w:rPr>
          <w:rFonts w:ascii="楷体_GB2312" w:hAnsi="楷体_GB2312" w:eastAsia="楷体_GB2312"/>
          <w:b/>
          <w:sz w:val="32"/>
        </w:rPr>
        <w:t>（三）国有资产占用情况说明</w:t>
      </w:r>
    </w:p>
    <w:p w14:paraId="578DD194">
      <w:pPr>
        <w:spacing w:line="580" w:lineRule="exact"/>
        <w:ind w:firstLine="640"/>
        <w:jc w:val="both"/>
      </w:pPr>
      <w:r>
        <w:rPr>
          <w:rFonts w:ascii="仿宋_GB2312" w:hAnsi="仿宋_GB2312" w:eastAsia="仿宋_GB2312"/>
          <w:b w:val="0"/>
          <w:sz w:val="32"/>
        </w:rPr>
        <w:t>截至2024年12月31日，房屋0.00平方米，价值0.00万元。车辆7辆，价值227.70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0台（套）。</w:t>
      </w:r>
    </w:p>
    <w:p w14:paraId="6F8E0DCE">
      <w:pPr>
        <w:spacing w:line="640" w:lineRule="exact"/>
        <w:ind w:firstLine="640"/>
        <w:jc w:val="both"/>
        <w:outlineLvl w:val="2"/>
      </w:pPr>
      <w:r>
        <w:rPr>
          <w:rFonts w:ascii="黑体" w:hAnsi="黑体" w:eastAsia="黑体"/>
          <w:sz w:val="32"/>
        </w:rPr>
        <w:t>十一、预算绩效的情况说明</w:t>
      </w:r>
    </w:p>
    <w:p w14:paraId="20FE927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1,444.05万元，实际执行总额1,409.99万元；预算绩效评价项目10个，全年预算数336.48万元，全年执行数306.38万元。预算绩效管理取得的成效：一是重视项目预算绩效自评结果运用，对于项目绩效自评结果较差的项目及时进行调整，为下一年度预算编制借鉴经验。二是重视对绩效目标的设置，严格按照年初设置的绩效目标范围执行项目预算，减少预算执行中的随意性。发现的问题及原因：一是绩效目标设置合理性不够，局限于岗位本身，没有从单位整体出发，对各项指标和指标值要进一步优化、完善；二是绩效目标值设置有偏差，偏差原因是预算编制不够精准，工作预见性不够，导致资金分配合理性出现偏差，部分预算执行率不高；三是自</w:t>
      </w:r>
      <w:r>
        <w:rPr>
          <w:rFonts w:hint="eastAsia" w:ascii="仿宋_GB2312" w:hAnsi="仿宋_GB2312" w:eastAsia="仿宋_GB2312"/>
          <w:b w:val="0"/>
          <w:sz w:val="32"/>
          <w:lang w:val="en-US" w:eastAsia="zh-CN"/>
        </w:rPr>
        <w:t>我</w:t>
      </w:r>
      <w:r>
        <w:rPr>
          <w:rFonts w:ascii="仿宋_GB2312" w:hAnsi="仿宋_GB2312" w:eastAsia="仿宋_GB2312"/>
          <w:b w:val="0"/>
          <w:sz w:val="32"/>
        </w:rPr>
        <w:t>评价工作还存在自我审定的局限性，缺少带着问题去评价的意识，会影响评价质量，容易造成问题的疏漏，在客观性和公正性上说服力不强。下一步改进措施：一是进一步加强对相关业务的学习，提高预算编制的准确性，合理设置绩效目标。二是项目建设的程序进一步规范。项目前期做好可行性研究报告，更加细化实施方案，严格执行资金管理办法和财政资金管理制度，严格按照项目实施方案、招投标管理办法等稳步推进工作。三是项目评价资料有待进一步完善。项目启动时同步做好档案的归纳与整理，及时整理、收集、汇总，健全档案资料，项目后续管理有待进一步加强和跟踪。具体附整体支出绩效自评表，项目支出绩效自评表和评价报告。</w:t>
      </w:r>
    </w:p>
    <w:p w14:paraId="00A4EBF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EB17D89">
        <w:tblPrEx>
          <w:tblCellMar>
            <w:top w:w="0" w:type="dxa"/>
            <w:left w:w="108" w:type="dxa"/>
            <w:bottom w:w="0" w:type="dxa"/>
            <w:right w:w="108" w:type="dxa"/>
          </w:tblCellMar>
        </w:tblPrEx>
        <w:tc>
          <w:tcPr>
            <w:tcW w:w="8847" w:type="dxa"/>
            <w:gridSpan w:val="9"/>
            <w:vAlign w:val="center"/>
          </w:tcPr>
          <w:p w14:paraId="799C8B06">
            <w:pPr>
              <w:jc w:val="center"/>
            </w:pPr>
            <w:r>
              <w:rPr>
                <w:rFonts w:ascii="宋体" w:hAnsi="宋体" w:eastAsia="宋体"/>
                <w:sz w:val="24"/>
              </w:rPr>
              <w:t>单位整体支出绩效自评表</w:t>
            </w:r>
          </w:p>
        </w:tc>
      </w:tr>
      <w:tr w14:paraId="63F964E2">
        <w:tblPrEx>
          <w:tblCellMar>
            <w:top w:w="0" w:type="dxa"/>
            <w:left w:w="108" w:type="dxa"/>
            <w:bottom w:w="0" w:type="dxa"/>
            <w:right w:w="108" w:type="dxa"/>
          </w:tblCellMar>
        </w:tblPrEx>
        <w:tc>
          <w:tcPr>
            <w:tcW w:w="8847" w:type="dxa"/>
            <w:gridSpan w:val="9"/>
            <w:vAlign w:val="center"/>
          </w:tcPr>
          <w:p w14:paraId="23F3AB86">
            <w:pPr>
              <w:jc w:val="center"/>
            </w:pPr>
            <w:r>
              <w:rPr>
                <w:rFonts w:ascii="宋体" w:hAnsi="宋体" w:eastAsia="宋体"/>
                <w:sz w:val="24"/>
              </w:rPr>
              <w:t>（2024年度）</w:t>
            </w:r>
          </w:p>
        </w:tc>
      </w:tr>
      <w:tr w14:paraId="3F4A19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8823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9690D28">
            <w:pPr>
              <w:jc w:val="center"/>
            </w:pPr>
            <w:r>
              <w:rPr>
                <w:rFonts w:ascii="宋体" w:hAnsi="宋体" w:eastAsia="宋体"/>
                <w:sz w:val="16"/>
              </w:rPr>
              <w:t>新疆维吾尔自治区人大常委会喀什地区工作委员会</w:t>
            </w:r>
          </w:p>
        </w:tc>
      </w:tr>
      <w:tr w14:paraId="1D23F63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9CFA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8F820">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196B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7FB3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2809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763F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5CE6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DA9D7">
            <w:pPr>
              <w:jc w:val="center"/>
            </w:pPr>
            <w:r>
              <w:rPr>
                <w:rFonts w:ascii="宋体" w:hAnsi="宋体" w:eastAsia="宋体"/>
                <w:sz w:val="16"/>
              </w:rPr>
              <w:t>得分</w:t>
            </w:r>
          </w:p>
        </w:tc>
      </w:tr>
      <w:tr w14:paraId="606002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43CC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656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0BD56">
            <w:pPr>
              <w:jc w:val="center"/>
            </w:pPr>
            <w:r>
              <w:rPr>
                <w:rFonts w:ascii="宋体" w:hAnsi="宋体" w:eastAsia="宋体"/>
                <w:sz w:val="16"/>
              </w:rPr>
              <w:t>1,352.13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13AD6">
            <w:pPr>
              <w:jc w:val="center"/>
            </w:pPr>
            <w:r>
              <w:rPr>
                <w:rFonts w:ascii="宋体" w:hAnsi="宋体" w:eastAsia="宋体"/>
                <w:sz w:val="16"/>
              </w:rPr>
              <w:t>1,444.05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6559C">
            <w:pPr>
              <w:jc w:val="center"/>
            </w:pPr>
            <w:r>
              <w:rPr>
                <w:rFonts w:ascii="宋体" w:hAnsi="宋体" w:eastAsia="宋体"/>
                <w:sz w:val="16"/>
              </w:rPr>
              <w:t>1,409.99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047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A2E53">
            <w:pPr>
              <w:jc w:val="center"/>
            </w:pPr>
            <w:r>
              <w:rPr>
                <w:rFonts w:ascii="宋体" w:hAnsi="宋体" w:eastAsia="宋体"/>
                <w:sz w:val="16"/>
              </w:rPr>
              <w:t>97.64%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5572E">
            <w:pPr>
              <w:jc w:val="center"/>
            </w:pPr>
            <w:r>
              <w:rPr>
                <w:rFonts w:ascii="宋体" w:hAnsi="宋体" w:eastAsia="宋体"/>
                <w:sz w:val="16"/>
              </w:rPr>
              <w:t>9.76</w:t>
            </w:r>
          </w:p>
        </w:tc>
      </w:tr>
      <w:tr w14:paraId="302EEB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92CC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9AAA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1E002">
            <w:pPr>
              <w:jc w:val="center"/>
            </w:pPr>
            <w:r>
              <w:rPr>
                <w:rFonts w:ascii="宋体" w:hAnsi="宋体" w:eastAsia="宋体"/>
                <w:sz w:val="16"/>
              </w:rPr>
              <w:t>21.23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ED5BA">
            <w:pPr>
              <w:jc w:val="center"/>
            </w:pPr>
            <w:r>
              <w:rPr>
                <w:rFonts w:ascii="宋体" w:hAnsi="宋体" w:eastAsia="宋体"/>
                <w:sz w:val="16"/>
              </w:rPr>
              <w:t>111.30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B5D61D">
            <w:pPr>
              <w:jc w:val="center"/>
            </w:pPr>
            <w:r>
              <w:rPr>
                <w:rFonts w:ascii="宋体" w:hAnsi="宋体" w:eastAsia="宋体"/>
                <w:sz w:val="16"/>
              </w:rPr>
              <w:t>88.62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39B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6D0C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EDF10">
            <w:pPr>
              <w:jc w:val="center"/>
            </w:pPr>
            <w:r>
              <w:rPr>
                <w:rFonts w:ascii="宋体" w:hAnsi="宋体" w:eastAsia="宋体"/>
                <w:sz w:val="16"/>
              </w:rPr>
              <w:t>—</w:t>
            </w:r>
          </w:p>
        </w:tc>
      </w:tr>
      <w:tr w14:paraId="7EF9C4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1C0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A64C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206D6">
            <w:pPr>
              <w:jc w:val="center"/>
            </w:pPr>
            <w:r>
              <w:rPr>
                <w:rFonts w:ascii="宋体" w:hAnsi="宋体" w:eastAsia="宋体"/>
                <w:sz w:val="16"/>
              </w:rPr>
              <w:t>1,295.85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0DDE7">
            <w:pPr>
              <w:jc w:val="center"/>
            </w:pPr>
            <w:r>
              <w:rPr>
                <w:rFonts w:ascii="宋体" w:hAnsi="宋体" w:eastAsia="宋体"/>
                <w:sz w:val="16"/>
              </w:rPr>
              <w:t>1,280.20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4ADBA">
            <w:pPr>
              <w:jc w:val="center"/>
            </w:pPr>
            <w:r>
              <w:rPr>
                <w:rFonts w:ascii="宋体" w:hAnsi="宋体" w:eastAsia="宋体"/>
                <w:sz w:val="16"/>
              </w:rPr>
              <w:t>1,274.92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02C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F9D7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D9A6E">
            <w:pPr>
              <w:jc w:val="center"/>
            </w:pPr>
            <w:r>
              <w:rPr>
                <w:rFonts w:ascii="宋体" w:hAnsi="宋体" w:eastAsia="宋体"/>
                <w:sz w:val="16"/>
              </w:rPr>
              <w:t>—</w:t>
            </w:r>
          </w:p>
        </w:tc>
      </w:tr>
      <w:tr w14:paraId="64410A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C07B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FD33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33A6D">
            <w:pPr>
              <w:jc w:val="center"/>
            </w:pPr>
            <w:r>
              <w:rPr>
                <w:rFonts w:ascii="宋体" w:hAnsi="宋体" w:eastAsia="宋体"/>
                <w:sz w:val="16"/>
              </w:rPr>
              <w:t>35.05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E74C0">
            <w:pPr>
              <w:jc w:val="center"/>
            </w:pPr>
            <w:r>
              <w:rPr>
                <w:rFonts w:ascii="宋体" w:hAnsi="宋体" w:eastAsia="宋体"/>
                <w:sz w:val="16"/>
              </w:rPr>
              <w:t>52.55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54E9D">
            <w:pPr>
              <w:jc w:val="center"/>
            </w:pPr>
            <w:r>
              <w:rPr>
                <w:rFonts w:ascii="宋体" w:hAnsi="宋体" w:eastAsia="宋体"/>
                <w:sz w:val="16"/>
              </w:rPr>
              <w:t>46.45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86D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5820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681B7">
            <w:pPr>
              <w:jc w:val="center"/>
            </w:pPr>
            <w:r>
              <w:rPr>
                <w:rFonts w:ascii="宋体" w:hAnsi="宋体" w:eastAsia="宋体"/>
                <w:sz w:val="16"/>
              </w:rPr>
              <w:t>—</w:t>
            </w:r>
          </w:p>
        </w:tc>
      </w:tr>
      <w:tr w14:paraId="7953CD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470D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AB68F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279C30">
            <w:pPr>
              <w:jc w:val="center"/>
            </w:pPr>
            <w:r>
              <w:rPr>
                <w:rFonts w:ascii="宋体" w:hAnsi="宋体" w:eastAsia="宋体"/>
                <w:sz w:val="16"/>
              </w:rPr>
              <w:t>实际完成情况</w:t>
            </w:r>
          </w:p>
        </w:tc>
      </w:tr>
      <w:tr w14:paraId="734BB1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19F3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1CF886">
            <w:pPr>
              <w:jc w:val="both"/>
            </w:pPr>
            <w:r>
              <w:rPr>
                <w:rFonts w:ascii="宋体" w:hAnsi="宋体" w:eastAsia="宋体"/>
                <w:sz w:val="16"/>
              </w:rPr>
              <w:t>地区人大工委工作总体要求是通过召开自治区十四届人大常委会喀什地区工作委员会不少于4次；听取和审议专项报告和工作报告数量不少于17次；全年开展调研、执法检查及赴包联县市指导人大</w:t>
            </w:r>
            <w:r>
              <w:rPr>
                <w:rFonts w:hint="eastAsia" w:ascii="宋体" w:hAnsi="宋体"/>
                <w:sz w:val="16"/>
                <w:lang w:eastAsia="zh-CN"/>
              </w:rPr>
              <w:t>工作</w:t>
            </w:r>
            <w:r>
              <w:rPr>
                <w:rFonts w:ascii="宋体" w:hAnsi="宋体" w:eastAsia="宋体"/>
                <w:sz w:val="16"/>
              </w:rPr>
              <w:t>次数不少于9次；组织自治区人大代表开展地区内和疆内跨区域调研及集中视察活动次数不少于3次；开展自治区人大代表、规范性文件备案、审查培训次数不少于2次。坚持把新时代党的治疆方略作为人大工作的根本遵循，坚持党的领导、人民当家作主、依法治国有机统一，积极践行全过程人民民主，切实发挥人大在立法中的主导作用，推进重点领域地方立法工作，高质量发展、民生保障、民族团结、生态环保、基层社会治理等重要领域，加强立法调研、执法检查，充分发挥预算联网监督平台作用，健全规范性文件备案审查工作机制，加强对各县市人大工作的指导督促，提升全地区各级人大干部和人大代表履职能力和水平。以新思想引领新时代人大工作，进一步加强党对人大工作的领导，认真履行宪法和法律赋予的各项职责，依法开展立法、监督、代表等工作，切实发挥代表作用，确保人大依法履职与推动新时代党的治疆方略贯彻落实更好地结合起来、人大重点工作与全局中心工作更好融合起来，更好助力全地区高质量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254627">
            <w:pPr>
              <w:jc w:val="both"/>
            </w:pPr>
            <w:r>
              <w:rPr>
                <w:rFonts w:ascii="宋体" w:hAnsi="宋体" w:eastAsia="宋体"/>
                <w:sz w:val="16"/>
              </w:rPr>
              <w:t>根据《2024年工委工作要点》安排，召开自治区十四届人大常委会喀什地区工作委</w:t>
            </w:r>
            <w:r>
              <w:rPr>
                <w:rFonts w:hint="eastAsia" w:ascii="宋体" w:hAnsi="宋体"/>
                <w:sz w:val="16"/>
                <w:lang w:eastAsia="zh-CN"/>
              </w:rPr>
              <w:t>员会</w:t>
            </w:r>
            <w:r>
              <w:rPr>
                <w:rFonts w:ascii="宋体" w:hAnsi="宋体" w:eastAsia="宋体"/>
                <w:sz w:val="16"/>
              </w:rPr>
              <w:t>4次；听取和审议专项报告和工作报告数量17次；全年开展调研、执法检查及赴包联县市指导人大工作次数9次；组织自治区人大代表开展地区内和疆内跨区域调研及集中视察活动次数2次；开展自治区人大代表、规范性文件备案、审查培训次数2次。积极践行全过程人民民主，切实发挥人大在立法中的主导作用，加强立法调研、执法检查，充分发挥预算联网监督平台作用，健全规范性文件备案审查工作机制，加强对各县市人大工作的指导督促，提升全地区各级人大干部和人大代表履职能力和水平。认真履行宪法和法律赋予的各项职责，依法开展立法、监督、代表等工作，切实发挥代表作用，确保人大依法履职与推动新时代党的治疆方略贯彻落实更好地结合起来、人大重点工作与全局中心工作更好融合起来，更好助力全地区高质量发展。</w:t>
            </w:r>
          </w:p>
        </w:tc>
      </w:tr>
      <w:tr w14:paraId="7AFB5E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957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7520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EB2F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9240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6229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A93F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B00C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E122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0B501">
            <w:pPr>
              <w:jc w:val="center"/>
            </w:pPr>
            <w:r>
              <w:rPr>
                <w:rFonts w:ascii="宋体" w:hAnsi="宋体" w:eastAsia="宋体"/>
                <w:sz w:val="16"/>
              </w:rPr>
              <w:t>得分</w:t>
            </w:r>
          </w:p>
        </w:tc>
      </w:tr>
      <w:tr w14:paraId="347136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D03C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EDA83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26C83">
            <w:pPr>
              <w:jc w:val="center"/>
            </w:pPr>
            <w:r>
              <w:rPr>
                <w:rFonts w:ascii="宋体" w:hAnsi="宋体" w:eastAsia="宋体"/>
                <w:sz w:val="16"/>
              </w:rPr>
              <w:t>召开自治区十四届人大常委会喀什地区工作委员会次数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CD7BE">
            <w:pPr>
              <w:jc w:val="center"/>
            </w:pPr>
            <w:r>
              <w:rPr>
                <w:rFonts w:ascii="宋体" w:hAnsi="宋体" w:eastAsia="宋体"/>
                <w:sz w:val="16"/>
              </w:rPr>
              <w:t>&gt;=4次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E9B50">
            <w:pPr>
              <w:jc w:val="center"/>
            </w:pPr>
            <w:r>
              <w:rPr>
                <w:rFonts w:ascii="宋体" w:hAnsi="宋体" w:eastAsia="宋体"/>
                <w:sz w:val="16"/>
              </w:rPr>
              <w:t>《喀什地区人大工委2024年工作要点</w:t>
            </w:r>
            <w:r>
              <w:rPr>
                <w:rFonts w:hint="eastAsia" w:ascii="宋体" w:hAnsi="宋体"/>
                <w:sz w:val="16"/>
                <w:lang w:eastAsia="zh-CN"/>
              </w:rPr>
              <w:t>》《</w:t>
            </w:r>
            <w:r>
              <w:rPr>
                <w:rFonts w:ascii="宋体" w:hAnsi="宋体" w:eastAsia="宋体"/>
                <w:sz w:val="16"/>
              </w:rPr>
              <w:t>新疆维吾尔自治区人大常委会地区工作委员会工作条例》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78BB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AF8A">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F03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A6F81">
            <w:pPr>
              <w:jc w:val="center"/>
            </w:pPr>
            <w:r>
              <w:rPr>
                <w:rFonts w:ascii="宋体" w:hAnsi="宋体" w:eastAsia="宋体"/>
                <w:sz w:val="16"/>
              </w:rPr>
              <w:t>20</w:t>
            </w:r>
          </w:p>
        </w:tc>
      </w:tr>
      <w:tr w14:paraId="491F82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0DBB2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9F81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051D8">
            <w:pPr>
              <w:jc w:val="center"/>
            </w:pPr>
            <w:r>
              <w:rPr>
                <w:rFonts w:ascii="宋体" w:hAnsi="宋体" w:eastAsia="宋体"/>
                <w:sz w:val="16"/>
              </w:rPr>
              <w:t>听取和审议专项报告和工作报告数量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5974B">
            <w:pPr>
              <w:jc w:val="center"/>
            </w:pPr>
            <w:r>
              <w:rPr>
                <w:rFonts w:ascii="宋体" w:hAnsi="宋体" w:eastAsia="宋体"/>
                <w:sz w:val="16"/>
              </w:rPr>
              <w:t>&gt;=17个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0D2F0">
            <w:pPr>
              <w:jc w:val="center"/>
            </w:pPr>
            <w:r>
              <w:rPr>
                <w:rFonts w:ascii="宋体" w:hAnsi="宋体" w:eastAsia="宋体"/>
                <w:sz w:val="16"/>
              </w:rPr>
              <w:t>《喀什地区人大工委2024年工作要点》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16C7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87D63">
            <w:pPr>
              <w:jc w:val="center"/>
            </w:pPr>
            <w:r>
              <w:rPr>
                <w:rFonts w:ascii="宋体" w:hAnsi="宋体" w:eastAsia="宋体"/>
                <w:sz w:val="16"/>
              </w:rPr>
              <w:t>17个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E31A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C658C">
            <w:pPr>
              <w:jc w:val="center"/>
            </w:pPr>
            <w:r>
              <w:rPr>
                <w:rFonts w:ascii="宋体" w:hAnsi="宋体" w:eastAsia="宋体"/>
                <w:sz w:val="16"/>
              </w:rPr>
              <w:t>20</w:t>
            </w:r>
          </w:p>
        </w:tc>
      </w:tr>
      <w:tr w14:paraId="16EC45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308A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C362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A911C">
            <w:pPr>
              <w:jc w:val="center"/>
            </w:pPr>
            <w:r>
              <w:rPr>
                <w:rFonts w:ascii="宋体" w:hAnsi="宋体" w:eastAsia="宋体"/>
                <w:sz w:val="16"/>
              </w:rPr>
              <w:t>全年开展调研、执法检查及赴包联县市指导人大工作次数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97555">
            <w:pPr>
              <w:jc w:val="center"/>
            </w:pPr>
            <w:r>
              <w:rPr>
                <w:rFonts w:ascii="宋体" w:hAnsi="宋体" w:eastAsia="宋体"/>
                <w:sz w:val="16"/>
              </w:rPr>
              <w:t>&gt;=9次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40EDA">
            <w:pPr>
              <w:jc w:val="center"/>
            </w:pPr>
            <w:r>
              <w:rPr>
                <w:rFonts w:ascii="宋体" w:hAnsi="宋体" w:eastAsia="宋体"/>
                <w:sz w:val="16"/>
              </w:rPr>
              <w:t>《喀什地区人大工委2024年工作要点》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2E75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7527">
            <w:pPr>
              <w:jc w:val="center"/>
            </w:pPr>
            <w:r>
              <w:rPr>
                <w:rFonts w:ascii="宋体" w:hAnsi="宋体" w:eastAsia="宋体"/>
                <w:sz w:val="16"/>
              </w:rPr>
              <w: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E6F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05A4B">
            <w:pPr>
              <w:jc w:val="center"/>
            </w:pPr>
            <w:r>
              <w:rPr>
                <w:rFonts w:ascii="宋体" w:hAnsi="宋体" w:eastAsia="宋体"/>
                <w:sz w:val="16"/>
              </w:rPr>
              <w:t>20</w:t>
            </w:r>
          </w:p>
        </w:tc>
      </w:tr>
      <w:tr w14:paraId="356C56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DB5A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0B4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EFA7C">
            <w:pPr>
              <w:jc w:val="center"/>
            </w:pPr>
            <w:r>
              <w:rPr>
                <w:rFonts w:ascii="宋体" w:hAnsi="宋体" w:eastAsia="宋体"/>
                <w:sz w:val="16"/>
              </w:rPr>
              <w:t>组织自治区人大代表开展地区内和疆内跨区域调研及集中视察活动次数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AA72B">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BB47">
            <w:pPr>
              <w:jc w:val="center"/>
            </w:pPr>
            <w:r>
              <w:rPr>
                <w:rFonts w:ascii="宋体" w:hAnsi="宋体" w:eastAsia="宋体"/>
                <w:sz w:val="16"/>
              </w:rPr>
              <w:t>《喀什地区人大工委2024年工作要点》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212F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87B1B">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7723">
            <w:pPr>
              <w:jc w:val="center"/>
            </w:pPr>
            <w:r>
              <w:rPr>
                <w:rFonts w:ascii="宋体" w:hAnsi="宋体" w:eastAsia="宋体"/>
                <w:sz w:val="16"/>
              </w:rPr>
              <w:t>66.67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8A3B9">
            <w:pPr>
              <w:jc w:val="center"/>
            </w:pPr>
            <w:r>
              <w:rPr>
                <w:rFonts w:ascii="宋体" w:hAnsi="宋体" w:eastAsia="宋体"/>
                <w:sz w:val="16"/>
              </w:rPr>
              <w:t>13.33</w:t>
            </w:r>
          </w:p>
        </w:tc>
      </w:tr>
      <w:tr w14:paraId="5F6012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C61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887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D193A">
            <w:pPr>
              <w:jc w:val="center"/>
            </w:pPr>
            <w:r>
              <w:rPr>
                <w:rFonts w:ascii="宋体" w:hAnsi="宋体" w:eastAsia="宋体"/>
                <w:sz w:val="16"/>
              </w:rPr>
              <w:t>开展自治区人大代表、规范性文件备案审查培训次数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F977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AB8171">
            <w:pPr>
              <w:jc w:val="center"/>
            </w:pPr>
            <w:r>
              <w:rPr>
                <w:rFonts w:ascii="宋体" w:hAnsi="宋体" w:eastAsia="宋体"/>
                <w:sz w:val="16"/>
              </w:rPr>
              <w:t>《喀什地区人大工委2024年工作要点》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4B2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EAB14">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126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CC0F9">
            <w:pPr>
              <w:jc w:val="center"/>
            </w:pPr>
            <w:r>
              <w:rPr>
                <w:rFonts w:ascii="宋体" w:hAnsi="宋体" w:eastAsia="宋体"/>
                <w:sz w:val="16"/>
              </w:rPr>
              <w:t>10</w:t>
            </w:r>
          </w:p>
        </w:tc>
      </w:tr>
    </w:tbl>
    <w:p w14:paraId="357B24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24E29191">
        <w:tblPrEx>
          <w:tblCellMar>
            <w:top w:w="0" w:type="dxa"/>
            <w:left w:w="108" w:type="dxa"/>
            <w:bottom w:w="0" w:type="dxa"/>
            <w:right w:w="108" w:type="dxa"/>
          </w:tblCellMar>
        </w:tblPrEx>
        <w:tc>
          <w:tcPr>
            <w:tcW w:w="8848" w:type="dxa"/>
            <w:gridSpan w:val="14"/>
            <w:vAlign w:val="center"/>
          </w:tcPr>
          <w:p w14:paraId="6A51E467">
            <w:pPr>
              <w:jc w:val="center"/>
            </w:pPr>
            <w:r>
              <w:rPr>
                <w:rFonts w:ascii="宋体" w:hAnsi="宋体" w:eastAsia="宋体"/>
                <w:sz w:val="24"/>
              </w:rPr>
              <w:t>项目支出绩效自评表</w:t>
            </w:r>
          </w:p>
        </w:tc>
      </w:tr>
      <w:tr w14:paraId="47E6136E">
        <w:tblPrEx>
          <w:tblCellMar>
            <w:top w:w="0" w:type="dxa"/>
            <w:left w:w="108" w:type="dxa"/>
            <w:bottom w:w="0" w:type="dxa"/>
            <w:right w:w="108" w:type="dxa"/>
          </w:tblCellMar>
        </w:tblPrEx>
        <w:tc>
          <w:tcPr>
            <w:tcW w:w="8848" w:type="dxa"/>
            <w:gridSpan w:val="14"/>
            <w:vAlign w:val="center"/>
          </w:tcPr>
          <w:p w14:paraId="7BB87E77">
            <w:pPr>
              <w:jc w:val="center"/>
            </w:pPr>
            <w:r>
              <w:rPr>
                <w:rFonts w:ascii="宋体" w:hAnsi="宋体" w:eastAsia="宋体"/>
                <w:sz w:val="24"/>
              </w:rPr>
              <w:t>(2024年度)</w:t>
            </w:r>
          </w:p>
        </w:tc>
      </w:tr>
      <w:tr w14:paraId="0FF801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22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CA9B06">
            <w:pPr>
              <w:jc w:val="center"/>
            </w:pPr>
            <w:r>
              <w:rPr>
                <w:rFonts w:ascii="宋体" w:hAnsi="宋体" w:eastAsia="宋体"/>
                <w:sz w:val="16"/>
              </w:rPr>
              <w:t>2024年度自治区基层人大补助项目</w:t>
            </w:r>
          </w:p>
        </w:tc>
      </w:tr>
      <w:tr w14:paraId="148374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57F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112AC0">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1090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52989E">
            <w:pPr>
              <w:jc w:val="center"/>
            </w:pPr>
            <w:r>
              <w:rPr>
                <w:rFonts w:ascii="宋体" w:hAnsi="宋体" w:eastAsia="宋体"/>
                <w:sz w:val="16"/>
              </w:rPr>
              <w:t>新疆维吾尔自治区人大常委会喀什地区工作委员会</w:t>
            </w:r>
          </w:p>
        </w:tc>
      </w:tr>
      <w:tr w14:paraId="3BAEC8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E0F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7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D89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06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828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DC11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CBE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0B0DA">
            <w:pPr>
              <w:jc w:val="center"/>
            </w:pPr>
            <w:r>
              <w:rPr>
                <w:rFonts w:ascii="宋体" w:hAnsi="宋体" w:eastAsia="宋体"/>
                <w:sz w:val="16"/>
              </w:rPr>
              <w:t>得分</w:t>
            </w:r>
          </w:p>
        </w:tc>
      </w:tr>
      <w:tr w14:paraId="575E5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C10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39B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10AF3">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90259">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E979D">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07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5E905">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421EF">
            <w:pPr>
              <w:jc w:val="center"/>
            </w:pPr>
            <w:r>
              <w:rPr>
                <w:rFonts w:ascii="宋体" w:hAnsi="宋体" w:eastAsia="宋体"/>
                <w:sz w:val="16"/>
              </w:rPr>
              <w:t>4.56分</w:t>
            </w:r>
          </w:p>
        </w:tc>
      </w:tr>
      <w:tr w14:paraId="7A599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FE9D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4EFC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FD44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8494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CB5EA">
            <w:pPr>
              <w:jc w:val="center"/>
            </w:pPr>
            <w:r>
              <w:rPr>
                <w:rFonts w:ascii="宋体" w:hAnsi="宋体" w:eastAsia="宋体"/>
                <w:sz w:val="16"/>
              </w:rPr>
              <w:t>15.65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F4E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E7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341F">
            <w:pPr>
              <w:jc w:val="center"/>
            </w:pPr>
            <w:r>
              <w:rPr>
                <w:rFonts w:ascii="宋体" w:hAnsi="宋体" w:eastAsia="宋体"/>
                <w:sz w:val="16"/>
              </w:rPr>
              <w:t>—</w:t>
            </w:r>
          </w:p>
        </w:tc>
      </w:tr>
      <w:tr w14:paraId="6E07E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49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F8D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27A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F95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974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8F3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BD2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272F">
            <w:pPr>
              <w:jc w:val="center"/>
            </w:pPr>
            <w:r>
              <w:rPr>
                <w:rFonts w:ascii="宋体" w:hAnsi="宋体" w:eastAsia="宋体"/>
                <w:sz w:val="16"/>
              </w:rPr>
              <w:t>—</w:t>
            </w:r>
          </w:p>
        </w:tc>
      </w:tr>
      <w:tr w14:paraId="46D0AC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2A2E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DDCD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A7A99A">
            <w:pPr>
              <w:jc w:val="center"/>
            </w:pPr>
            <w:r>
              <w:rPr>
                <w:rFonts w:ascii="宋体" w:hAnsi="宋体" w:eastAsia="宋体"/>
                <w:sz w:val="16"/>
              </w:rPr>
              <w:t>实际完成情况</w:t>
            </w:r>
          </w:p>
        </w:tc>
      </w:tr>
      <w:tr w14:paraId="1BB9A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358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30413">
            <w:pPr>
              <w:jc w:val="both"/>
            </w:pPr>
            <w:r>
              <w:rPr>
                <w:rFonts w:ascii="宋体" w:hAnsi="宋体" w:eastAsia="宋体"/>
                <w:sz w:val="16"/>
              </w:rPr>
              <w:t>为贯彻落实中央人大工作会议精神，体现自治区党委对基层人大工作的重视和关心，通过自治区给予的经费补助，弥补基层人大建设中经费不足，加强机关建设和改善办公条件、落实关心关爱干部职工政策。慰问“</w:t>
            </w:r>
            <w:r>
              <w:rPr>
                <w:rFonts w:hint="eastAsia" w:ascii="宋体" w:hAnsi="宋体"/>
                <w:sz w:val="16"/>
                <w:lang w:eastAsia="zh-CN"/>
              </w:rPr>
              <w:t>为民办实事</w:t>
            </w:r>
            <w:r>
              <w:rPr>
                <w:rFonts w:ascii="宋体" w:hAnsi="宋体" w:eastAsia="宋体"/>
                <w:sz w:val="16"/>
              </w:rPr>
              <w:t>”及机关干部职工不少于3次、保障机关干部职工不少于47人、保障代表之家1个，全面加强基层人大建设，保障机关各项工作高质量运转，有效提升地区人大工委机关创新工作方式和水平。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0E2738">
            <w:pPr>
              <w:jc w:val="both"/>
            </w:pPr>
            <w:r>
              <w:rPr>
                <w:rFonts w:ascii="宋体" w:hAnsi="宋体" w:eastAsia="宋体"/>
                <w:sz w:val="16"/>
              </w:rPr>
              <w:t>2024年根据工作实施方案，慰问3次慰问成本6万元，本年度保障机关干部职工47人保障机关日常运行成本8.65万元，保障代表之家1个保障代表之家运行成本1万元，项目的实施使机关各项工作高质量运转得到有效保障和提升。</w:t>
            </w:r>
          </w:p>
        </w:tc>
      </w:tr>
      <w:tr w14:paraId="0464A3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A97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99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BE3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9D0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9B31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CC9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BD25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940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AD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865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E2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33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1C433">
            <w:pPr>
              <w:jc w:val="center"/>
            </w:pPr>
            <w:r>
              <w:rPr>
                <w:rFonts w:ascii="宋体" w:hAnsi="宋体" w:eastAsia="宋体"/>
                <w:sz w:val="16"/>
              </w:rPr>
              <w:t>偏差原因分析及改进措施</w:t>
            </w:r>
          </w:p>
        </w:tc>
      </w:tr>
      <w:tr w14:paraId="4945A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808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83371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B87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8619A">
            <w:pPr>
              <w:jc w:val="center"/>
            </w:pPr>
            <w:r>
              <w:rPr>
                <w:rFonts w:ascii="宋体" w:hAnsi="宋体" w:eastAsia="宋体"/>
                <w:sz w:val="16"/>
              </w:rPr>
              <w:t>慰问干部职工次数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3A88">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B5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3782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62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3A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F42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968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5DD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C0F09">
            <w:pPr>
              <w:jc w:val="center"/>
            </w:pPr>
          </w:p>
        </w:tc>
      </w:tr>
      <w:tr w14:paraId="6633F2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35E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2F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A5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AF73E">
            <w:pPr>
              <w:jc w:val="center"/>
            </w:pPr>
            <w:r>
              <w:rPr>
                <w:rFonts w:ascii="宋体" w:hAnsi="宋体" w:eastAsia="宋体"/>
                <w:sz w:val="16"/>
              </w:rPr>
              <w:t>保障机关干部职工人数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00A7">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074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7EDF">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9C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38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909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3E31">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D76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7E210">
            <w:pPr>
              <w:jc w:val="center"/>
            </w:pPr>
          </w:p>
        </w:tc>
      </w:tr>
      <w:tr w14:paraId="3B7732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B88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BAC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F1C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7CA5">
            <w:pPr>
              <w:jc w:val="center"/>
            </w:pPr>
            <w:r>
              <w:rPr>
                <w:rFonts w:ascii="宋体" w:hAnsi="宋体" w:eastAsia="宋体"/>
                <w:sz w:val="16"/>
              </w:rPr>
              <w:t>保障代表之家数量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2A5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A7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32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8B8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340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31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44F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BAA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05929">
            <w:pPr>
              <w:jc w:val="center"/>
            </w:pPr>
          </w:p>
        </w:tc>
      </w:tr>
      <w:tr w14:paraId="3F646A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B2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E7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4E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5338">
            <w:pPr>
              <w:jc w:val="center"/>
            </w:pPr>
            <w:r>
              <w:rPr>
                <w:rFonts w:ascii="宋体" w:hAnsi="宋体" w:eastAsia="宋体"/>
                <w:sz w:val="16"/>
              </w:rPr>
              <w:t>开展活动覆盖率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D3F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C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4B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A5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46E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9B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E7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8AA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BD2B8">
            <w:pPr>
              <w:jc w:val="center"/>
            </w:pPr>
          </w:p>
        </w:tc>
      </w:tr>
      <w:tr w14:paraId="667317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21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F81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ACB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0FC4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F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9A2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4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68DF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8C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EF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D62B">
            <w:pPr>
              <w:jc w:val="center"/>
            </w:pPr>
            <w:r>
              <w:rPr>
                <w:rFonts w:ascii="宋体" w:hAnsi="宋体" w:eastAsia="宋体"/>
                <w:sz w:val="16"/>
              </w:rPr>
              <w:t>=78.3%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15C4">
            <w:pPr>
              <w:jc w:val="center"/>
            </w:pPr>
            <w:r>
              <w:rPr>
                <w:rFonts w:ascii="宋体" w:hAnsi="宋体" w:eastAsia="宋体"/>
                <w:sz w:val="16"/>
              </w:rPr>
              <w:t>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C4DAA">
            <w:pPr>
              <w:jc w:val="center"/>
            </w:pPr>
            <w:r>
              <w:rPr>
                <w:rFonts w:ascii="宋体" w:hAnsi="宋体" w:eastAsia="宋体"/>
                <w:sz w:val="16"/>
              </w:rPr>
              <w:t>偏差原因：年初制定项目实施方案不够精准，导致年底资金未执行完毕。改进措施：督促项目负责人按照工委工作要点科学制定实施方案，精准设置绩效目标，达到资金使用效益。改进建议</w:t>
            </w:r>
          </w:p>
        </w:tc>
      </w:tr>
      <w:tr w14:paraId="0D16C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780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169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420A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C63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CDC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22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28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47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C4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C47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973">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695B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98D69">
            <w:pPr>
              <w:jc w:val="center"/>
            </w:pPr>
          </w:p>
        </w:tc>
      </w:tr>
      <w:tr w14:paraId="47357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15C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942D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CDD2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37A40">
            <w:pPr>
              <w:jc w:val="center"/>
            </w:pPr>
            <w:r>
              <w:rPr>
                <w:rFonts w:ascii="宋体" w:hAnsi="宋体" w:eastAsia="宋体"/>
                <w:sz w:val="16"/>
              </w:rPr>
              <w:t>慰问干部职工成本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3B6F">
            <w:pPr>
              <w:jc w:val="center"/>
            </w:pPr>
            <w:r>
              <w:rPr>
                <w:rFonts w:ascii="宋体" w:hAnsi="宋体" w:eastAsia="宋体"/>
                <w:sz w:val="16"/>
              </w:rPr>
              <w:t>&lt;=8.6万元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84B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241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FA1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CA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40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259F5">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E6120">
            <w:pPr>
              <w:jc w:val="center"/>
            </w:pPr>
            <w:r>
              <w:rPr>
                <w:rFonts w:ascii="宋体" w:hAnsi="宋体" w:eastAsia="宋体"/>
                <w:sz w:val="16"/>
              </w:rPr>
              <w:t>1.47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28CBF">
            <w:pPr>
              <w:jc w:val="center"/>
            </w:pPr>
            <w:r>
              <w:rPr>
                <w:rFonts w:ascii="宋体" w:hAnsi="宋体" w:eastAsia="宋体"/>
                <w:sz w:val="16"/>
              </w:rPr>
              <w:t>偏差原因：年中根据工作实际情况对经济科目进行调整，未及时调整绩效目标，导致项目执行有偏差。改进措施：资金用途改变后及时对绩效目标相关指标进行调整。</w:t>
            </w:r>
          </w:p>
        </w:tc>
      </w:tr>
      <w:tr w14:paraId="23278E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2F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FF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77C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B510">
            <w:pPr>
              <w:jc w:val="center"/>
            </w:pPr>
            <w:r>
              <w:rPr>
                <w:rFonts w:ascii="宋体" w:hAnsi="宋体" w:eastAsia="宋体"/>
                <w:sz w:val="16"/>
              </w:rPr>
              <w:t>保障机关日常运行成本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26A5">
            <w:pPr>
              <w:jc w:val="center"/>
            </w:pPr>
            <w:r>
              <w:rPr>
                <w:rFonts w:ascii="宋体" w:hAnsi="宋体" w:eastAsia="宋体"/>
                <w:sz w:val="16"/>
              </w:rPr>
              <w:t>=10.4万元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A98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351B">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E93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7E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23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73EA2">
            <w:pPr>
              <w:jc w:val="center"/>
            </w:pPr>
            <w:r>
              <w:rPr>
                <w:rFonts w:ascii="宋体" w:hAnsi="宋体" w:eastAsia="宋体"/>
                <w:sz w:val="16"/>
              </w:rPr>
              <w:t>=8.65万元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1A8E8">
            <w:pPr>
              <w:jc w:val="center"/>
            </w:pPr>
            <w:r>
              <w:rPr>
                <w:rFonts w:ascii="宋体" w:hAnsi="宋体" w:eastAsia="宋体"/>
                <w:sz w:val="16"/>
              </w:rPr>
              <w:t>3.48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6E666">
            <w:pPr>
              <w:jc w:val="center"/>
            </w:pPr>
            <w:r>
              <w:rPr>
                <w:rFonts w:ascii="宋体" w:hAnsi="宋体" w:eastAsia="宋体"/>
                <w:sz w:val="16"/>
              </w:rPr>
              <w:t>偏差原因：未科学制定项目实施方案，导致资金年底未执行完毕。改进措施：督促项目负责人按照工委工作要点科学制定实施方案，精准设置绩效目标，达到资金使用效益。</w:t>
            </w:r>
          </w:p>
        </w:tc>
      </w:tr>
      <w:tr w14:paraId="09F0C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D115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1F1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48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BCA83">
            <w:pPr>
              <w:jc w:val="center"/>
            </w:pPr>
            <w:r>
              <w:rPr>
                <w:rFonts w:ascii="宋体" w:hAnsi="宋体" w:eastAsia="宋体"/>
                <w:sz w:val="16"/>
              </w:rPr>
              <w:t>保障代表之家运行成本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3EA2">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DCF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5C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ABE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19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A71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29859">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B7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E7AFC">
            <w:pPr>
              <w:jc w:val="center"/>
            </w:pPr>
          </w:p>
        </w:tc>
      </w:tr>
      <w:tr w14:paraId="4E9D80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B12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E8EA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245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BB18">
            <w:pPr>
              <w:jc w:val="center"/>
            </w:pPr>
            <w:r>
              <w:rPr>
                <w:rFonts w:ascii="宋体" w:hAnsi="宋体" w:eastAsia="宋体"/>
                <w:sz w:val="16"/>
              </w:rPr>
              <w:t>保障机关各项工作高质量运转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C52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24C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ED8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A4A3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B9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04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C99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207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DECB6">
            <w:pPr>
              <w:jc w:val="center"/>
            </w:pPr>
          </w:p>
        </w:tc>
      </w:tr>
      <w:tr w14:paraId="7A0914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A4F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8E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7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01BF">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D3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5B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AC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A5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279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DF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7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8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B54BB">
            <w:pPr>
              <w:jc w:val="center"/>
            </w:pPr>
          </w:p>
        </w:tc>
      </w:tr>
      <w:tr w14:paraId="35206E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C56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E20F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AD6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4129E">
            <w:pPr>
              <w:jc w:val="center"/>
            </w:pPr>
            <w:r>
              <w:rPr>
                <w:rFonts w:ascii="宋体" w:hAnsi="宋体" w:eastAsia="宋体"/>
                <w:sz w:val="16"/>
              </w:rPr>
              <w:t>85.34分</w:t>
            </w:r>
          </w:p>
        </w:tc>
      </w:tr>
    </w:tbl>
    <w:p w14:paraId="6E4DFA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B13ADD0">
        <w:tblPrEx>
          <w:tblCellMar>
            <w:top w:w="0" w:type="dxa"/>
            <w:left w:w="108" w:type="dxa"/>
            <w:bottom w:w="0" w:type="dxa"/>
            <w:right w:w="108" w:type="dxa"/>
          </w:tblCellMar>
        </w:tblPrEx>
        <w:tc>
          <w:tcPr>
            <w:tcW w:w="8848" w:type="dxa"/>
            <w:gridSpan w:val="14"/>
            <w:vAlign w:val="center"/>
          </w:tcPr>
          <w:p w14:paraId="6982B604">
            <w:pPr>
              <w:jc w:val="center"/>
            </w:pPr>
            <w:r>
              <w:rPr>
                <w:rFonts w:ascii="宋体" w:hAnsi="宋体" w:eastAsia="宋体"/>
                <w:sz w:val="24"/>
              </w:rPr>
              <w:t>项目支出绩效自评表</w:t>
            </w:r>
          </w:p>
        </w:tc>
      </w:tr>
      <w:tr w14:paraId="4ACD2454">
        <w:tblPrEx>
          <w:tblCellMar>
            <w:top w:w="0" w:type="dxa"/>
            <w:left w:w="108" w:type="dxa"/>
            <w:bottom w:w="0" w:type="dxa"/>
            <w:right w:w="108" w:type="dxa"/>
          </w:tblCellMar>
        </w:tblPrEx>
        <w:tc>
          <w:tcPr>
            <w:tcW w:w="8848" w:type="dxa"/>
            <w:gridSpan w:val="14"/>
            <w:vAlign w:val="center"/>
          </w:tcPr>
          <w:p w14:paraId="132DAFB4">
            <w:pPr>
              <w:jc w:val="center"/>
            </w:pPr>
            <w:r>
              <w:rPr>
                <w:rFonts w:ascii="宋体" w:hAnsi="宋体" w:eastAsia="宋体"/>
                <w:sz w:val="24"/>
              </w:rPr>
              <w:t>(2024年度)</w:t>
            </w:r>
          </w:p>
        </w:tc>
      </w:tr>
      <w:tr w14:paraId="5F4C1D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ABF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7DC50A">
            <w:pPr>
              <w:jc w:val="center"/>
            </w:pPr>
            <w:r>
              <w:rPr>
                <w:rFonts w:ascii="宋体" w:hAnsi="宋体" w:eastAsia="宋体"/>
                <w:sz w:val="16"/>
              </w:rPr>
              <w:t>2024年新疆人民会堂喀什厅维修改造项目</w:t>
            </w:r>
          </w:p>
        </w:tc>
      </w:tr>
      <w:tr w14:paraId="6F0D63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7B2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48052">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990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AF355C">
            <w:pPr>
              <w:jc w:val="center"/>
            </w:pPr>
            <w:r>
              <w:rPr>
                <w:rFonts w:ascii="宋体" w:hAnsi="宋体" w:eastAsia="宋体"/>
                <w:sz w:val="16"/>
              </w:rPr>
              <w:t>新疆维吾尔自治区人大常委会喀什地区工作委员会</w:t>
            </w:r>
          </w:p>
        </w:tc>
      </w:tr>
      <w:tr w14:paraId="5B9D8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4DDD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5B2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EDB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C0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A6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39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812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3E5B">
            <w:pPr>
              <w:jc w:val="center"/>
            </w:pPr>
            <w:r>
              <w:rPr>
                <w:rFonts w:ascii="宋体" w:hAnsi="宋体" w:eastAsia="宋体"/>
                <w:sz w:val="16"/>
              </w:rPr>
              <w:t>得分</w:t>
            </w:r>
          </w:p>
        </w:tc>
      </w:tr>
      <w:tr w14:paraId="099D1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36A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571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C554">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5826">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668A6">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2E1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3B96">
            <w:pPr>
              <w:jc w:val="center"/>
            </w:pPr>
            <w:r>
              <w:rPr>
                <w:rFonts w:ascii="宋体" w:hAnsi="宋体" w:eastAsia="宋体"/>
                <w:sz w:val="16"/>
              </w:rPr>
              <w:t>71.2%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71C6D">
            <w:pPr>
              <w:jc w:val="center"/>
            </w:pPr>
            <w:r>
              <w:rPr>
                <w:rFonts w:ascii="宋体" w:hAnsi="宋体" w:eastAsia="宋体"/>
                <w:sz w:val="16"/>
              </w:rPr>
              <w:t>2.81分</w:t>
            </w:r>
          </w:p>
        </w:tc>
      </w:tr>
      <w:tr w14:paraId="7D2D7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63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8F0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FCF4C">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E2ADE">
            <w:pPr>
              <w:jc w:val="center"/>
            </w:pPr>
            <w:r>
              <w:rPr>
                <w:rFonts w:ascii="宋体" w:hAnsi="宋体" w:eastAsia="宋体"/>
                <w:sz w:val="16"/>
              </w:rPr>
              <w:t>49.97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6C672">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B6F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E51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28EC4">
            <w:pPr>
              <w:jc w:val="center"/>
            </w:pPr>
            <w:r>
              <w:rPr>
                <w:rFonts w:ascii="宋体" w:hAnsi="宋体" w:eastAsia="宋体"/>
                <w:sz w:val="16"/>
              </w:rPr>
              <w:t>—</w:t>
            </w:r>
          </w:p>
        </w:tc>
      </w:tr>
      <w:tr w14:paraId="026F1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E31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E81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B52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00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90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605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B5E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1B167">
            <w:pPr>
              <w:jc w:val="center"/>
            </w:pPr>
            <w:r>
              <w:rPr>
                <w:rFonts w:ascii="宋体" w:hAnsi="宋体" w:eastAsia="宋体"/>
                <w:sz w:val="16"/>
              </w:rPr>
              <w:t>—</w:t>
            </w:r>
          </w:p>
        </w:tc>
      </w:tr>
      <w:tr w14:paraId="3A4AC3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1E27B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ABF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91964F">
            <w:pPr>
              <w:jc w:val="center"/>
            </w:pPr>
            <w:r>
              <w:rPr>
                <w:rFonts w:ascii="宋体" w:hAnsi="宋体" w:eastAsia="宋体"/>
                <w:sz w:val="16"/>
              </w:rPr>
              <w:t>实际完成情况</w:t>
            </w:r>
          </w:p>
        </w:tc>
      </w:tr>
      <w:tr w14:paraId="62EAFF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951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DCC7A5">
            <w:pPr>
              <w:jc w:val="both"/>
            </w:pPr>
            <w:r>
              <w:rPr>
                <w:rFonts w:ascii="宋体" w:hAnsi="宋体" w:eastAsia="宋体"/>
                <w:sz w:val="16"/>
              </w:rPr>
              <w:t>新疆人民会堂喀什厅维修改造项目根据自治区人大常委会办公厅《关于新疆人民会堂三段地州厅室维修改造有关工作协调对接的函》，计划维修改造新疆人民会堂喀什厅1个，项目规模为49.97万元。通过该项目的实施，为接待外国来宾和省部级领导干部重要场所做好服务保障,充分发挥新疆人民会堂喀什厅的政治功能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A53198">
            <w:pPr>
              <w:jc w:val="both"/>
            </w:pPr>
            <w:r>
              <w:rPr>
                <w:rFonts w:ascii="宋体" w:hAnsi="宋体" w:eastAsia="宋体"/>
                <w:sz w:val="16"/>
              </w:rPr>
              <w:t>维修改造新疆人民会堂喀什厅1个，项目实际规模为35.6万元。项目的实施达到预期效果，对重大接待服务做好保障工作，使新疆人民会堂喀什厅的政治功能作用得到有效发挥。</w:t>
            </w:r>
          </w:p>
        </w:tc>
      </w:tr>
      <w:tr w14:paraId="34D56C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BA20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E0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7B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34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FF3E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5A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144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FF3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11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F8A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8AA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C34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CE870">
            <w:pPr>
              <w:jc w:val="center"/>
            </w:pPr>
            <w:r>
              <w:rPr>
                <w:rFonts w:ascii="宋体" w:hAnsi="宋体" w:eastAsia="宋体"/>
                <w:sz w:val="16"/>
              </w:rPr>
              <w:t>偏差原因分析及改进措施</w:t>
            </w:r>
          </w:p>
        </w:tc>
      </w:tr>
      <w:tr w14:paraId="2A704C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D1A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8189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F4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820A">
            <w:pPr>
              <w:jc w:val="center"/>
            </w:pPr>
            <w:r>
              <w:rPr>
                <w:rFonts w:ascii="宋体" w:hAnsi="宋体" w:eastAsia="宋体"/>
                <w:sz w:val="16"/>
              </w:rPr>
              <w:t>维修改造新疆人民会堂喀什厅数量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223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6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7F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92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C05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0D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23A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1A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E03DE">
            <w:pPr>
              <w:jc w:val="center"/>
            </w:pPr>
          </w:p>
        </w:tc>
      </w:tr>
      <w:tr w14:paraId="456480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F0B8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D45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352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7BB24">
            <w:pPr>
              <w:jc w:val="center"/>
            </w:pPr>
            <w:r>
              <w:rPr>
                <w:rFonts w:ascii="宋体" w:hAnsi="宋体" w:eastAsia="宋体"/>
                <w:sz w:val="16"/>
              </w:rPr>
              <w:t>维修改造验收合格率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059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EB3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B9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C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789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99A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009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A5B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6D39D">
            <w:pPr>
              <w:jc w:val="center"/>
            </w:pPr>
          </w:p>
        </w:tc>
      </w:tr>
      <w:tr w14:paraId="43163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98F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58A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5185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18D9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871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BE0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75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7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23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DD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88DD">
            <w:pPr>
              <w:jc w:val="center"/>
            </w:pPr>
            <w:r>
              <w:rPr>
                <w:rFonts w:ascii="宋体" w:hAnsi="宋体" w:eastAsia="宋体"/>
                <w:sz w:val="16"/>
              </w:rPr>
              <w:t>=71.2%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19F07">
            <w:pPr>
              <w:jc w:val="center"/>
            </w:pPr>
            <w:r>
              <w:rPr>
                <w:rFonts w:ascii="宋体" w:hAnsi="宋体" w:eastAsia="宋体"/>
                <w:sz w:val="16"/>
              </w:rPr>
              <w:t>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0559F">
            <w:pPr>
              <w:jc w:val="center"/>
            </w:pPr>
            <w:r>
              <w:rPr>
                <w:rFonts w:ascii="宋体" w:hAnsi="宋体" w:eastAsia="宋体"/>
                <w:sz w:val="16"/>
              </w:rPr>
              <w:t>偏差原因：对喀什厅维修改造项目在实施中对部分维修内容进行重新修改，未及时将超出部分的资金退回财政项目实施中对部分维修内容进行重新修订，未及时将超出部分的资金退回财政，导致年底资金执行率较低。改进措施：资金使用用途有变动时需及时和财政对接清退资金并对绩效目标进行调整。</w:t>
            </w:r>
          </w:p>
        </w:tc>
      </w:tr>
      <w:tr w14:paraId="6CFC25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12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21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161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8EDD">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7DD9">
            <w:pPr>
              <w:jc w:val="center"/>
            </w:pPr>
            <w:r>
              <w:rPr>
                <w:rFonts w:ascii="宋体" w:hAnsi="宋体" w:eastAsia="宋体"/>
                <w:sz w:val="16"/>
              </w:rPr>
              <w:t>&lt;=3个月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E8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F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FD8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B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81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8DD1">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99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239E3">
            <w:pPr>
              <w:jc w:val="center"/>
            </w:pPr>
          </w:p>
        </w:tc>
      </w:tr>
      <w:tr w14:paraId="798F7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B86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26E8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EB89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52D4">
            <w:pPr>
              <w:jc w:val="center"/>
            </w:pPr>
            <w:r>
              <w:rPr>
                <w:rFonts w:ascii="宋体" w:hAnsi="宋体" w:eastAsia="宋体"/>
                <w:sz w:val="16"/>
              </w:rPr>
              <w:t>维修改造项目成本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97D6">
            <w:pPr>
              <w:jc w:val="center"/>
            </w:pPr>
            <w:r>
              <w:rPr>
                <w:rFonts w:ascii="宋体" w:hAnsi="宋体" w:eastAsia="宋体"/>
                <w:sz w:val="16"/>
              </w:rPr>
              <w:t>&lt;=44.97万元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0D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22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74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4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74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BE0A">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3A64">
            <w:pPr>
              <w:jc w:val="center"/>
            </w:pPr>
            <w:r>
              <w:rPr>
                <w:rFonts w:ascii="宋体" w:hAnsi="宋体" w:eastAsia="宋体"/>
                <w:sz w:val="16"/>
              </w:rPr>
              <w:t>2.01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23FB6">
            <w:pPr>
              <w:jc w:val="center"/>
            </w:pPr>
            <w:r>
              <w:rPr>
                <w:rFonts w:ascii="宋体" w:hAnsi="宋体" w:eastAsia="宋体"/>
                <w:sz w:val="16"/>
              </w:rPr>
              <w:t>偏差原因：根据自治区主要领导批示，对喀什厅维修改造项目要求节简，项目实施中对部分维修内容进行重新修订，未及时将超出部分的资金退回财政，导致年底资金执行率较低。改进措施：资金使用用途有变动时需及时和财政对接清退资金并对绩效目标进行调整。</w:t>
            </w:r>
          </w:p>
        </w:tc>
      </w:tr>
      <w:tr w14:paraId="7B679E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A30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C52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032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D06E">
            <w:pPr>
              <w:jc w:val="center"/>
            </w:pPr>
            <w:r>
              <w:rPr>
                <w:rFonts w:ascii="宋体" w:hAnsi="宋体" w:eastAsia="宋体"/>
                <w:sz w:val="16"/>
              </w:rPr>
              <w:t>油画费成本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E18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E1B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E20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5E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93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AD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579C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5B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28DD8">
            <w:pPr>
              <w:jc w:val="center"/>
            </w:pPr>
          </w:p>
        </w:tc>
      </w:tr>
      <w:tr w14:paraId="69F2AD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396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352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C59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6F670">
            <w:pPr>
              <w:jc w:val="center"/>
            </w:pPr>
            <w:r>
              <w:rPr>
                <w:rFonts w:ascii="宋体" w:hAnsi="宋体" w:eastAsia="宋体"/>
                <w:sz w:val="16"/>
              </w:rPr>
              <w:t>保障会务接待,体现喀什特色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7D11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A66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C0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68FAE">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1E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46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9E4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410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AFC78">
            <w:pPr>
              <w:jc w:val="center"/>
            </w:pPr>
          </w:p>
        </w:tc>
      </w:tr>
      <w:tr w14:paraId="43B817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4A876">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B38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56A0">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1C777C">
            <w:pPr>
              <w:jc w:val="center"/>
            </w:pPr>
            <w:r>
              <w:rPr>
                <w:rFonts w:ascii="宋体" w:hAnsi="宋体" w:eastAsia="宋体"/>
                <w:sz w:val="16"/>
              </w:rPr>
              <w:t>77.62分</w:t>
            </w:r>
          </w:p>
        </w:tc>
      </w:tr>
    </w:tbl>
    <w:p w14:paraId="06A48B5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9"/>
        <w:gridCol w:w="625"/>
        <w:gridCol w:w="625"/>
        <w:gridCol w:w="625"/>
        <w:gridCol w:w="776"/>
        <w:gridCol w:w="631"/>
        <w:gridCol w:w="615"/>
        <w:gridCol w:w="629"/>
      </w:tblGrid>
      <w:tr w14:paraId="76B7ED55">
        <w:tblPrEx>
          <w:tblCellMar>
            <w:top w:w="0" w:type="dxa"/>
            <w:left w:w="108" w:type="dxa"/>
            <w:bottom w:w="0" w:type="dxa"/>
            <w:right w:w="108" w:type="dxa"/>
          </w:tblCellMar>
        </w:tblPrEx>
        <w:tc>
          <w:tcPr>
            <w:tcW w:w="8848" w:type="dxa"/>
            <w:gridSpan w:val="14"/>
            <w:vAlign w:val="center"/>
          </w:tcPr>
          <w:p w14:paraId="19F8EF5B">
            <w:pPr>
              <w:jc w:val="center"/>
            </w:pPr>
            <w:r>
              <w:rPr>
                <w:rFonts w:ascii="宋体" w:hAnsi="宋体" w:eastAsia="宋体"/>
                <w:sz w:val="24"/>
              </w:rPr>
              <w:t>项目支出绩效自评表</w:t>
            </w:r>
          </w:p>
        </w:tc>
      </w:tr>
      <w:tr w14:paraId="60449294">
        <w:tblPrEx>
          <w:tblCellMar>
            <w:top w:w="0" w:type="dxa"/>
            <w:left w:w="108" w:type="dxa"/>
            <w:bottom w:w="0" w:type="dxa"/>
            <w:right w:w="108" w:type="dxa"/>
          </w:tblCellMar>
        </w:tblPrEx>
        <w:tc>
          <w:tcPr>
            <w:tcW w:w="8848" w:type="dxa"/>
            <w:gridSpan w:val="14"/>
            <w:vAlign w:val="center"/>
          </w:tcPr>
          <w:p w14:paraId="6D301635">
            <w:pPr>
              <w:jc w:val="center"/>
            </w:pPr>
            <w:r>
              <w:rPr>
                <w:rFonts w:ascii="宋体" w:hAnsi="宋体" w:eastAsia="宋体"/>
                <w:sz w:val="24"/>
              </w:rPr>
              <w:t>(2024年度)</w:t>
            </w:r>
          </w:p>
        </w:tc>
      </w:tr>
      <w:tr w14:paraId="480C55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E79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2252515">
            <w:pPr>
              <w:jc w:val="center"/>
            </w:pPr>
            <w:r>
              <w:rPr>
                <w:rFonts w:ascii="宋体" w:hAnsi="宋体" w:eastAsia="宋体"/>
                <w:sz w:val="16"/>
              </w:rPr>
              <w:t>2024年自治区人大代表活动项目</w:t>
            </w:r>
          </w:p>
        </w:tc>
      </w:tr>
      <w:tr w14:paraId="57756B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32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75FC4">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4F6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30092B">
            <w:pPr>
              <w:jc w:val="center"/>
            </w:pPr>
            <w:r>
              <w:rPr>
                <w:rFonts w:ascii="宋体" w:hAnsi="宋体" w:eastAsia="宋体"/>
                <w:sz w:val="16"/>
              </w:rPr>
              <w:t>新疆维吾尔自治区人大常委会喀什地区工作委员会</w:t>
            </w:r>
          </w:p>
        </w:tc>
      </w:tr>
      <w:tr w14:paraId="1E2432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E202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C79D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2AD4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1EF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236D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703A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D2C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79EA">
            <w:pPr>
              <w:jc w:val="center"/>
            </w:pPr>
            <w:r>
              <w:rPr>
                <w:rFonts w:ascii="宋体" w:hAnsi="宋体" w:eastAsia="宋体"/>
                <w:sz w:val="16"/>
              </w:rPr>
              <w:t>得分</w:t>
            </w:r>
          </w:p>
        </w:tc>
      </w:tr>
      <w:tr w14:paraId="72E97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016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6BD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C7261">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D5CC5">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0BDE">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97A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73A90">
            <w:pPr>
              <w:jc w:val="center"/>
            </w:pPr>
            <w:r>
              <w:rPr>
                <w:rFonts w:ascii="宋体" w:hAnsi="宋体" w:eastAsia="宋体"/>
                <w:sz w:val="16"/>
              </w:rPr>
              <w:t>92.5%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EF5">
            <w:pPr>
              <w:jc w:val="center"/>
            </w:pPr>
            <w:r>
              <w:rPr>
                <w:rFonts w:ascii="宋体" w:hAnsi="宋体" w:eastAsia="宋体"/>
                <w:sz w:val="16"/>
              </w:rPr>
              <w:t>8.13分</w:t>
            </w:r>
          </w:p>
        </w:tc>
      </w:tr>
      <w:tr w14:paraId="6726A5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FC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6C25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EE0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250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4D9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249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9B4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D1418">
            <w:pPr>
              <w:jc w:val="center"/>
            </w:pPr>
            <w:r>
              <w:rPr>
                <w:rFonts w:ascii="宋体" w:hAnsi="宋体" w:eastAsia="宋体"/>
                <w:sz w:val="16"/>
              </w:rPr>
              <w:t>—</w:t>
            </w:r>
          </w:p>
        </w:tc>
      </w:tr>
      <w:tr w14:paraId="64EC46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9C5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48F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C64A">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0628D">
            <w:pPr>
              <w:jc w:val="center"/>
            </w:pPr>
            <w:r>
              <w:rPr>
                <w:rFonts w:ascii="宋体" w:hAnsi="宋体" w:eastAsia="宋体"/>
                <w:sz w:val="16"/>
              </w:rPr>
              <w:t>17.50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6A861">
            <w:pPr>
              <w:jc w:val="center"/>
            </w:pPr>
            <w:r>
              <w:rPr>
                <w:rFonts w:ascii="宋体" w:hAnsi="宋体" w:eastAsia="宋体"/>
                <w:sz w:val="16"/>
              </w:rPr>
              <w:t>16.19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12E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18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55E25">
            <w:pPr>
              <w:jc w:val="center"/>
            </w:pPr>
            <w:r>
              <w:rPr>
                <w:rFonts w:ascii="宋体" w:hAnsi="宋体" w:eastAsia="宋体"/>
                <w:sz w:val="16"/>
              </w:rPr>
              <w:t>—</w:t>
            </w:r>
          </w:p>
        </w:tc>
      </w:tr>
      <w:tr w14:paraId="433C4F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CA36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681D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161359">
            <w:pPr>
              <w:jc w:val="center"/>
            </w:pPr>
            <w:r>
              <w:rPr>
                <w:rFonts w:ascii="宋体" w:hAnsi="宋体" w:eastAsia="宋体"/>
                <w:sz w:val="16"/>
              </w:rPr>
              <w:t>实际完成情况</w:t>
            </w:r>
          </w:p>
        </w:tc>
      </w:tr>
      <w:tr w14:paraId="1F99A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193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7F7E3">
            <w:pPr>
              <w:jc w:val="both"/>
            </w:pPr>
            <w:r>
              <w:rPr>
                <w:rFonts w:ascii="宋体" w:hAnsi="宋体" w:eastAsia="宋体"/>
                <w:sz w:val="16"/>
              </w:rPr>
              <w:t>根据《新疆维吾尔自治区代表活动经费管理办法》，组织自治区人大代表开展集中视察、专题调研、参加培训及自治区、地区各类会议等活动，项目资金17.5万元：用于组织自治区人大代表开展学习、视察、专题调研活动不少于2次，组织人大代表开展活动差旅费成本6万元、租车费成本1.708万元，为68名自治区人大代表发放代表履职补助9.792万元。为代表依法履行职务提供支持和保障，提高代表依法履职的能力和水平，充分发挥人大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E2A08">
            <w:pPr>
              <w:jc w:val="both"/>
            </w:pPr>
            <w:r>
              <w:rPr>
                <w:rFonts w:ascii="宋体" w:hAnsi="宋体" w:eastAsia="宋体"/>
                <w:sz w:val="16"/>
              </w:rPr>
              <w:t>用于组织自治区人大代表开展学习、视察、专题调研活动2次，组织人大代表开展活动差旅费成本5.01万元、租车费成本1.39万元，为68名自治区人大代表发放代表履职补助9.792万元。为代表依法履行职务提供支持和保障，使代表依法履职的能力和水平得到提升。</w:t>
            </w:r>
          </w:p>
        </w:tc>
      </w:tr>
      <w:tr w14:paraId="29623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2F03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B87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88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7D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050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D4E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7932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EF6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FC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F1D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33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75B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3C61">
            <w:pPr>
              <w:jc w:val="center"/>
            </w:pPr>
            <w:r>
              <w:rPr>
                <w:rFonts w:ascii="宋体" w:hAnsi="宋体" w:eastAsia="宋体"/>
                <w:sz w:val="16"/>
              </w:rPr>
              <w:t>偏差原因分析及改进措施</w:t>
            </w:r>
          </w:p>
        </w:tc>
      </w:tr>
      <w:tr w14:paraId="5733AC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DDAC4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BC7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B2E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9A004">
            <w:pPr>
              <w:jc w:val="center"/>
            </w:pPr>
            <w:r>
              <w:rPr>
                <w:rFonts w:ascii="宋体" w:hAnsi="宋体" w:eastAsia="宋体"/>
                <w:sz w:val="16"/>
              </w:rPr>
              <w:t>保障自治区人大代表人数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DC28">
            <w:pPr>
              <w:jc w:val="center"/>
            </w:pPr>
            <w:r>
              <w:rPr>
                <w:rFonts w:ascii="宋体" w:hAnsi="宋体" w:eastAsia="宋体"/>
                <w:sz w:val="16"/>
              </w:rPr>
              <w:t>&gt;=68人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4F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BF464">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19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600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E7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E2B7">
            <w:pPr>
              <w:jc w:val="center"/>
            </w:pPr>
            <w:r>
              <w:rPr>
                <w:rFonts w:ascii="宋体" w:hAnsi="宋体" w:eastAsia="宋体"/>
                <w:sz w:val="16"/>
              </w:rPr>
              <w:t>=68人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742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33DD8">
            <w:pPr>
              <w:jc w:val="center"/>
            </w:pPr>
          </w:p>
        </w:tc>
      </w:tr>
      <w:tr w14:paraId="1760B1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AA1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519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24B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CF9D">
            <w:pPr>
              <w:jc w:val="center"/>
            </w:pPr>
            <w:r>
              <w:rPr>
                <w:rFonts w:ascii="宋体" w:hAnsi="宋体" w:eastAsia="宋体"/>
                <w:sz w:val="16"/>
              </w:rPr>
              <w:t>组织代表参加活动次数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CEF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827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BC9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BE8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535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2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DE28">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EB7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3F55A">
            <w:pPr>
              <w:jc w:val="center"/>
            </w:pPr>
          </w:p>
        </w:tc>
      </w:tr>
      <w:tr w14:paraId="3BB73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DC8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06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F1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D9B3">
            <w:pPr>
              <w:jc w:val="center"/>
            </w:pPr>
            <w:r>
              <w:rPr>
                <w:rFonts w:ascii="宋体" w:hAnsi="宋体" w:eastAsia="宋体"/>
                <w:sz w:val="16"/>
              </w:rPr>
              <w:t>代表参加活动出勤率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87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E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6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BB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B5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67E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19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193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C3F66">
            <w:pPr>
              <w:jc w:val="center"/>
            </w:pPr>
          </w:p>
        </w:tc>
      </w:tr>
      <w:tr w14:paraId="4A429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94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F03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528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9CE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B7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D1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F9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04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86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D32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65F7">
            <w:pPr>
              <w:jc w:val="center"/>
            </w:pPr>
            <w:r>
              <w:rPr>
                <w:rFonts w:ascii="宋体" w:hAnsi="宋体" w:eastAsia="宋体"/>
                <w:sz w:val="16"/>
              </w:rPr>
              <w:t>=92.51%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63B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F2840">
            <w:pPr>
              <w:jc w:val="center"/>
            </w:pPr>
            <w:r>
              <w:rPr>
                <w:rFonts w:ascii="宋体" w:hAnsi="宋体" w:eastAsia="宋体"/>
                <w:sz w:val="16"/>
              </w:rPr>
              <w:t>偏差原因：年初项目预算编制不够精准，导致本年度预算资金与实际执行率偏差较大。改进措施：根据工委要点工作安排精准编制预算，督促项目负责人按照方案中的时间节点开展工作，加快资金支付进度，达到资金使用效益。</w:t>
            </w:r>
          </w:p>
        </w:tc>
      </w:tr>
      <w:tr w14:paraId="0BB770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49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6A6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6D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73D9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933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B7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853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FCE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8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1D1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4405">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C6F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D8E5A">
            <w:pPr>
              <w:jc w:val="center"/>
            </w:pPr>
          </w:p>
        </w:tc>
      </w:tr>
      <w:tr w14:paraId="0AD0A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B00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A20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4F34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9FCDC">
            <w:pPr>
              <w:jc w:val="center"/>
            </w:pPr>
            <w:r>
              <w:rPr>
                <w:rFonts w:ascii="宋体" w:hAnsi="宋体" w:eastAsia="宋体"/>
                <w:sz w:val="16"/>
              </w:rPr>
              <w:t>发放代表履职补助成本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8AFD">
            <w:pPr>
              <w:jc w:val="center"/>
            </w:pPr>
            <w:r>
              <w:rPr>
                <w:rFonts w:ascii="宋体" w:hAnsi="宋体" w:eastAsia="宋体"/>
                <w:sz w:val="16"/>
              </w:rPr>
              <w:t>&lt;=97920元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2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1F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26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9F1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0A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B812">
            <w:pPr>
              <w:jc w:val="center"/>
            </w:pPr>
            <w:r>
              <w:rPr>
                <w:rFonts w:ascii="宋体" w:hAnsi="宋体" w:eastAsia="宋体"/>
                <w:sz w:val="16"/>
              </w:rPr>
              <w:t>=97920元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61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A0D6">
            <w:pPr>
              <w:jc w:val="center"/>
            </w:pPr>
          </w:p>
        </w:tc>
      </w:tr>
      <w:tr w14:paraId="29F91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C30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F2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1E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449B">
            <w:pPr>
              <w:jc w:val="center"/>
            </w:pPr>
            <w:r>
              <w:rPr>
                <w:rFonts w:ascii="宋体" w:hAnsi="宋体" w:eastAsia="宋体"/>
                <w:sz w:val="16"/>
              </w:rPr>
              <w:t>保障代表活动成本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8D201">
            <w:pPr>
              <w:jc w:val="center"/>
            </w:pPr>
            <w:r>
              <w:rPr>
                <w:rFonts w:ascii="宋体" w:hAnsi="宋体" w:eastAsia="宋体"/>
                <w:sz w:val="16"/>
              </w:rPr>
              <w:t>&lt;=77080元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F2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F9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1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39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53A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6C943">
            <w:pPr>
              <w:jc w:val="center"/>
            </w:pPr>
            <w:r>
              <w:rPr>
                <w:rFonts w:ascii="宋体" w:hAnsi="宋体" w:eastAsia="宋体"/>
                <w:sz w:val="16"/>
              </w:rPr>
              <w:t>=64001元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0987F">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2CB51">
            <w:pPr>
              <w:jc w:val="center"/>
            </w:pPr>
            <w:r>
              <w:rPr>
                <w:rFonts w:ascii="宋体" w:hAnsi="宋体" w:eastAsia="宋体"/>
                <w:sz w:val="16"/>
              </w:rPr>
              <w:t>偏差原因：项目实施方案未科学编制，绩效目标编制不够精准，导致项目资金有结余。改进措施：结合处室工作计划合理制定实施方案，精准设置绩效目标，并督促项目负责人提前谋划，加快资金支付进度。</w:t>
            </w:r>
          </w:p>
        </w:tc>
      </w:tr>
      <w:tr w14:paraId="3E52AC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28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FB01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DC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FE6F0">
            <w:pPr>
              <w:jc w:val="center"/>
            </w:pPr>
            <w:r>
              <w:rPr>
                <w:rFonts w:ascii="宋体" w:hAnsi="宋体" w:eastAsia="宋体"/>
                <w:sz w:val="16"/>
              </w:rPr>
              <w:t>提升代表履职能力和水平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567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DF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AAE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D4E8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5B9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9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3C4D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3BD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5A24F">
            <w:pPr>
              <w:jc w:val="center"/>
            </w:pPr>
          </w:p>
        </w:tc>
      </w:tr>
      <w:tr w14:paraId="682B84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F0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F7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A0D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9BBC">
            <w:pPr>
              <w:jc w:val="center"/>
            </w:pPr>
            <w:r>
              <w:rPr>
                <w:rFonts w:ascii="宋体" w:hAnsi="宋体" w:eastAsia="宋体"/>
                <w:sz w:val="16"/>
              </w:rPr>
              <w:t>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31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50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3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D15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5D8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33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C4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75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BB02">
            <w:pPr>
              <w:jc w:val="center"/>
            </w:pPr>
          </w:p>
        </w:tc>
      </w:tr>
      <w:tr w14:paraId="68D794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69D98">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91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A364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64FF32">
            <w:pPr>
              <w:jc w:val="center"/>
            </w:pPr>
            <w:r>
              <w:rPr>
                <w:rFonts w:ascii="宋体" w:hAnsi="宋体" w:eastAsia="宋体"/>
                <w:sz w:val="16"/>
              </w:rPr>
              <w:t>85.89分</w:t>
            </w:r>
          </w:p>
        </w:tc>
      </w:tr>
    </w:tbl>
    <w:p w14:paraId="543A6C75">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30"/>
        <w:gridCol w:w="776"/>
        <w:gridCol w:w="625"/>
        <w:gridCol w:w="696"/>
        <w:gridCol w:w="625"/>
        <w:gridCol w:w="625"/>
        <w:gridCol w:w="625"/>
        <w:gridCol w:w="696"/>
        <w:gridCol w:w="631"/>
        <w:gridCol w:w="618"/>
        <w:gridCol w:w="633"/>
      </w:tblGrid>
      <w:tr w14:paraId="27E79F89">
        <w:tblPrEx>
          <w:tblCellMar>
            <w:top w:w="0" w:type="dxa"/>
            <w:left w:w="108" w:type="dxa"/>
            <w:bottom w:w="0" w:type="dxa"/>
            <w:right w:w="108" w:type="dxa"/>
          </w:tblCellMar>
        </w:tblPrEx>
        <w:tc>
          <w:tcPr>
            <w:tcW w:w="8848" w:type="dxa"/>
            <w:gridSpan w:val="14"/>
            <w:vAlign w:val="center"/>
          </w:tcPr>
          <w:p w14:paraId="3BA61658">
            <w:pPr>
              <w:jc w:val="center"/>
            </w:pPr>
            <w:r>
              <w:rPr>
                <w:rFonts w:ascii="宋体" w:hAnsi="宋体" w:eastAsia="宋体"/>
                <w:sz w:val="24"/>
              </w:rPr>
              <w:t>项目支出绩效自评表</w:t>
            </w:r>
          </w:p>
        </w:tc>
      </w:tr>
      <w:tr w14:paraId="41A7BE3D">
        <w:tblPrEx>
          <w:tblCellMar>
            <w:top w:w="0" w:type="dxa"/>
            <w:left w:w="108" w:type="dxa"/>
            <w:bottom w:w="0" w:type="dxa"/>
            <w:right w:w="108" w:type="dxa"/>
          </w:tblCellMar>
        </w:tblPrEx>
        <w:tc>
          <w:tcPr>
            <w:tcW w:w="8848" w:type="dxa"/>
            <w:gridSpan w:val="14"/>
            <w:vAlign w:val="center"/>
          </w:tcPr>
          <w:p w14:paraId="5A3A2433">
            <w:pPr>
              <w:jc w:val="center"/>
            </w:pPr>
            <w:r>
              <w:rPr>
                <w:rFonts w:ascii="宋体" w:hAnsi="宋体" w:eastAsia="宋体"/>
                <w:sz w:val="24"/>
              </w:rPr>
              <w:t>(2024年度)</w:t>
            </w:r>
          </w:p>
        </w:tc>
      </w:tr>
      <w:tr w14:paraId="662335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98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E7BB3F">
            <w:pPr>
              <w:jc w:val="center"/>
            </w:pPr>
            <w:r>
              <w:rPr>
                <w:rFonts w:ascii="宋体" w:hAnsi="宋体" w:eastAsia="宋体"/>
                <w:sz w:val="16"/>
              </w:rPr>
              <w:t>人大业务工作项目</w:t>
            </w:r>
          </w:p>
        </w:tc>
      </w:tr>
      <w:tr w14:paraId="07A163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A1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12B4A">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966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52E1C0">
            <w:pPr>
              <w:jc w:val="center"/>
            </w:pPr>
            <w:r>
              <w:rPr>
                <w:rFonts w:ascii="宋体" w:hAnsi="宋体" w:eastAsia="宋体"/>
                <w:sz w:val="16"/>
              </w:rPr>
              <w:t>新疆维吾尔自治区人大常委会喀什地区工作委员会</w:t>
            </w:r>
          </w:p>
        </w:tc>
      </w:tr>
      <w:tr w14:paraId="585F31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633E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42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FED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64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C37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4986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5BD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8E77">
            <w:pPr>
              <w:jc w:val="center"/>
            </w:pPr>
            <w:r>
              <w:rPr>
                <w:rFonts w:ascii="宋体" w:hAnsi="宋体" w:eastAsia="宋体"/>
                <w:sz w:val="16"/>
              </w:rPr>
              <w:t>得分</w:t>
            </w:r>
          </w:p>
        </w:tc>
      </w:tr>
      <w:tr w14:paraId="6C4BE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26D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1307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76012">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A5196">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20F4E">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333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BEC3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FB44">
            <w:pPr>
              <w:jc w:val="center"/>
            </w:pPr>
            <w:r>
              <w:rPr>
                <w:rFonts w:ascii="宋体" w:hAnsi="宋体" w:eastAsia="宋体"/>
                <w:sz w:val="16"/>
              </w:rPr>
              <w:t>10.00分</w:t>
            </w:r>
          </w:p>
        </w:tc>
      </w:tr>
      <w:tr w14:paraId="059D8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CBC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9932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18A8">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7F407">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5C80E">
            <w:pPr>
              <w:jc w:val="center"/>
            </w:pPr>
            <w:r>
              <w:rPr>
                <w:rFonts w:ascii="宋体" w:hAnsi="宋体" w:eastAsia="宋体"/>
                <w:sz w:val="16"/>
              </w:rPr>
              <w:t>56.64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216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E22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E51F8">
            <w:pPr>
              <w:jc w:val="center"/>
            </w:pPr>
            <w:r>
              <w:rPr>
                <w:rFonts w:ascii="宋体" w:hAnsi="宋体" w:eastAsia="宋体"/>
                <w:sz w:val="16"/>
              </w:rPr>
              <w:t>—</w:t>
            </w:r>
          </w:p>
        </w:tc>
      </w:tr>
      <w:tr w14:paraId="767056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2E72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8F1B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8FE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686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6541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BE9D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6F3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C5DB">
            <w:pPr>
              <w:jc w:val="center"/>
            </w:pPr>
            <w:r>
              <w:rPr>
                <w:rFonts w:ascii="宋体" w:hAnsi="宋体" w:eastAsia="宋体"/>
                <w:sz w:val="16"/>
              </w:rPr>
              <w:t>—</w:t>
            </w:r>
          </w:p>
        </w:tc>
      </w:tr>
      <w:tr w14:paraId="377C41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DA55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1D1EA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B7961B">
            <w:pPr>
              <w:jc w:val="center"/>
            </w:pPr>
            <w:r>
              <w:rPr>
                <w:rFonts w:ascii="宋体" w:hAnsi="宋体" w:eastAsia="宋体"/>
                <w:sz w:val="16"/>
              </w:rPr>
              <w:t>实际完成情况</w:t>
            </w:r>
          </w:p>
        </w:tc>
      </w:tr>
      <w:tr w14:paraId="6E18BD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9CA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9F921D">
            <w:pPr>
              <w:jc w:val="both"/>
            </w:pPr>
            <w:r>
              <w:rPr>
                <w:rFonts w:ascii="宋体" w:hAnsi="宋体" w:eastAsia="宋体"/>
                <w:sz w:val="16"/>
              </w:rPr>
              <w:t>根据《喀什地区人大工委2024年工作要点》，认真履行宪法和法律赋予的各项职能，依法开展监督、立法、代表等工作。参加会议、执法检查、调研、组织培训及代表视察次数不少于20次、购置办公设备不少于1台。项目的实施，有效提升人大干部和代表履职能力和水平，更</w:t>
            </w:r>
            <w:r>
              <w:rPr>
                <w:rFonts w:hint="eastAsia" w:ascii="宋体" w:hAnsi="宋体"/>
                <w:sz w:val="16"/>
                <w:lang w:eastAsia="zh-CN"/>
              </w:rPr>
              <w:t>好地</w:t>
            </w:r>
            <w:r>
              <w:rPr>
                <w:rFonts w:ascii="宋体" w:hAnsi="宋体" w:eastAsia="宋体"/>
                <w:sz w:val="16"/>
              </w:rPr>
              <w:t>发挥人大干部和代表作用，保障2024年人大工作正常开展，有效提升人大工作高质量发展。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EF2031">
            <w:pPr>
              <w:jc w:val="both"/>
            </w:pPr>
            <w:r>
              <w:rPr>
                <w:rFonts w:ascii="宋体" w:hAnsi="宋体" w:eastAsia="宋体"/>
                <w:sz w:val="16"/>
              </w:rPr>
              <w:t>依法开展监督、立法、代表等工作，参加会议、执法检查、调研、组织培训及代表视察次数20次、购置办公设备1台。项目的实施，使2024年人大工作正常开展得到充分保障，人大工作高质量发展得到有效提升。</w:t>
            </w:r>
          </w:p>
        </w:tc>
      </w:tr>
      <w:tr w14:paraId="725605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183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3B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2AB8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CFD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8B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21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43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21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FE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70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1FE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A04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0883">
            <w:pPr>
              <w:jc w:val="center"/>
            </w:pPr>
            <w:r>
              <w:rPr>
                <w:rFonts w:ascii="宋体" w:hAnsi="宋体" w:eastAsia="宋体"/>
                <w:sz w:val="16"/>
              </w:rPr>
              <w:t>偏差原因分析及改进措施</w:t>
            </w:r>
          </w:p>
        </w:tc>
      </w:tr>
      <w:tr w14:paraId="6D659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B4C76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57C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C04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016FC">
            <w:pPr>
              <w:jc w:val="center"/>
            </w:pPr>
            <w:r>
              <w:rPr>
                <w:rFonts w:ascii="宋体" w:hAnsi="宋体" w:eastAsia="宋体"/>
                <w:sz w:val="16"/>
              </w:rPr>
              <w:t>参加会议、执法检查、调研、组织培训及代表视察次数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F497">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6E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AE68">
            <w:pPr>
              <w:jc w:val="center"/>
            </w:pPr>
            <w:r>
              <w:rPr>
                <w:rFonts w:ascii="宋体" w:hAnsi="宋体" w:eastAsia="宋体"/>
                <w:sz w:val="16"/>
              </w:rPr>
              <w:t>30次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21F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FB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59C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F7AA4">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3F8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C596">
            <w:pPr>
              <w:jc w:val="center"/>
            </w:pPr>
          </w:p>
        </w:tc>
      </w:tr>
      <w:tr w14:paraId="5673BB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10D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C9D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AA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F97B3">
            <w:pPr>
              <w:jc w:val="center"/>
            </w:pPr>
            <w:r>
              <w:rPr>
                <w:rFonts w:ascii="宋体" w:hAnsi="宋体" w:eastAsia="宋体"/>
                <w:sz w:val="16"/>
              </w:rPr>
              <w:t>购置办公设备数量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578C">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F82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40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47C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FF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CE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F91E">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0E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A185A">
            <w:pPr>
              <w:jc w:val="center"/>
            </w:pPr>
          </w:p>
        </w:tc>
      </w:tr>
      <w:tr w14:paraId="0B51B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6B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6F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CC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6A57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0D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46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8F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9B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ED0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DC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0E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240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F5B59">
            <w:pPr>
              <w:jc w:val="center"/>
            </w:pPr>
          </w:p>
        </w:tc>
      </w:tr>
      <w:tr w14:paraId="2F3CFE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8B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345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1795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48A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89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C8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BC96">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16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90F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C8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9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7F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45D45">
            <w:pPr>
              <w:jc w:val="center"/>
            </w:pPr>
          </w:p>
        </w:tc>
      </w:tr>
      <w:tr w14:paraId="7DE46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8E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B5C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A5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283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7BC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18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ED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BB7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DC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3E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90AD">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B301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66A8">
            <w:pPr>
              <w:jc w:val="center"/>
            </w:pPr>
          </w:p>
        </w:tc>
      </w:tr>
      <w:tr w14:paraId="4E1A7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B1D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53E5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72F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59A5">
            <w:pPr>
              <w:jc w:val="center"/>
            </w:pPr>
            <w:r>
              <w:rPr>
                <w:rFonts w:ascii="宋体" w:hAnsi="宋体" w:eastAsia="宋体"/>
                <w:sz w:val="16"/>
              </w:rPr>
              <w:t>参加会议、执法检查、调研、组织培训及代表视察成本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A458">
            <w:pPr>
              <w:jc w:val="center"/>
            </w:pPr>
            <w:r>
              <w:rPr>
                <w:rFonts w:ascii="宋体" w:hAnsi="宋体" w:eastAsia="宋体"/>
                <w:sz w:val="16"/>
              </w:rPr>
              <w:t>&lt;=56.34万元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1F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E3068">
            <w:pPr>
              <w:jc w:val="center"/>
            </w:pPr>
            <w:r>
              <w:rPr>
                <w:rFonts w:ascii="宋体" w:hAnsi="宋体" w:eastAsia="宋体"/>
                <w:sz w:val="16"/>
              </w:rPr>
              <w:t>51.64万元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94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A2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87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462C0">
            <w:pPr>
              <w:jc w:val="center"/>
            </w:pPr>
            <w:r>
              <w:rPr>
                <w:rFonts w:ascii="宋体" w:hAnsi="宋体" w:eastAsia="宋体"/>
                <w:sz w:val="16"/>
              </w:rPr>
              <w:t>=56.34万元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4B4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ED192">
            <w:pPr>
              <w:jc w:val="center"/>
            </w:pPr>
          </w:p>
        </w:tc>
      </w:tr>
      <w:tr w14:paraId="58C15F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521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3BC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03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F80B">
            <w:pPr>
              <w:jc w:val="center"/>
            </w:pPr>
            <w:r>
              <w:rPr>
                <w:rFonts w:ascii="宋体" w:hAnsi="宋体" w:eastAsia="宋体"/>
                <w:sz w:val="16"/>
              </w:rPr>
              <w:t>购置办公设备成本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90E2A">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0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7B3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592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26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A3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1FA0">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1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721C">
            <w:pPr>
              <w:jc w:val="center"/>
            </w:pPr>
          </w:p>
        </w:tc>
      </w:tr>
      <w:tr w14:paraId="5A3C5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AF7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460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1E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D8A7">
            <w:pPr>
              <w:jc w:val="center"/>
            </w:pPr>
            <w:r>
              <w:rPr>
                <w:rFonts w:ascii="宋体" w:hAnsi="宋体" w:eastAsia="宋体"/>
                <w:sz w:val="16"/>
              </w:rPr>
              <w:t>提升人大业务工作高质量发展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FB4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D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B7B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11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6D35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49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CAA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B5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031EB">
            <w:pPr>
              <w:jc w:val="center"/>
            </w:pPr>
          </w:p>
        </w:tc>
      </w:tr>
      <w:tr w14:paraId="59E05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1DF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9F5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CE4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2533">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E8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B1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61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81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F9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C3C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A1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D6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61D1">
            <w:pPr>
              <w:jc w:val="center"/>
            </w:pPr>
          </w:p>
        </w:tc>
      </w:tr>
      <w:tr w14:paraId="108BDC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E54F">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C4E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8647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2EC75B">
            <w:pPr>
              <w:jc w:val="center"/>
            </w:pPr>
            <w:r>
              <w:rPr>
                <w:rFonts w:ascii="宋体" w:hAnsi="宋体" w:eastAsia="宋体"/>
                <w:sz w:val="16"/>
              </w:rPr>
              <w:t>100分</w:t>
            </w:r>
          </w:p>
        </w:tc>
      </w:tr>
    </w:tbl>
    <w:p w14:paraId="4C411F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4802BCF">
        <w:tblPrEx>
          <w:tblCellMar>
            <w:top w:w="0" w:type="dxa"/>
            <w:left w:w="108" w:type="dxa"/>
            <w:bottom w:w="0" w:type="dxa"/>
            <w:right w:w="108" w:type="dxa"/>
          </w:tblCellMar>
        </w:tblPrEx>
        <w:tc>
          <w:tcPr>
            <w:tcW w:w="8848" w:type="dxa"/>
            <w:gridSpan w:val="14"/>
            <w:vAlign w:val="center"/>
          </w:tcPr>
          <w:p w14:paraId="33E6732C">
            <w:pPr>
              <w:jc w:val="center"/>
            </w:pPr>
            <w:r>
              <w:rPr>
                <w:rFonts w:ascii="宋体" w:hAnsi="宋体" w:eastAsia="宋体"/>
                <w:sz w:val="24"/>
              </w:rPr>
              <w:t>项目支出绩效自评表</w:t>
            </w:r>
          </w:p>
        </w:tc>
      </w:tr>
      <w:tr w14:paraId="24620038">
        <w:tblPrEx>
          <w:tblCellMar>
            <w:top w:w="0" w:type="dxa"/>
            <w:left w:w="108" w:type="dxa"/>
            <w:bottom w:w="0" w:type="dxa"/>
            <w:right w:w="108" w:type="dxa"/>
          </w:tblCellMar>
        </w:tblPrEx>
        <w:tc>
          <w:tcPr>
            <w:tcW w:w="8848" w:type="dxa"/>
            <w:gridSpan w:val="14"/>
            <w:vAlign w:val="center"/>
          </w:tcPr>
          <w:p w14:paraId="28DD415F">
            <w:pPr>
              <w:jc w:val="center"/>
            </w:pPr>
            <w:r>
              <w:rPr>
                <w:rFonts w:ascii="宋体" w:hAnsi="宋体" w:eastAsia="宋体"/>
                <w:sz w:val="24"/>
              </w:rPr>
              <w:t>(2024年度)</w:t>
            </w:r>
          </w:p>
        </w:tc>
      </w:tr>
      <w:tr w14:paraId="289CE5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9A0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4A64715">
            <w:pPr>
              <w:jc w:val="center"/>
            </w:pPr>
            <w:r>
              <w:rPr>
                <w:rFonts w:ascii="宋体" w:hAnsi="宋体" w:eastAsia="宋体"/>
                <w:sz w:val="16"/>
              </w:rPr>
              <w:t>人大异地交流干部关心关爱项目</w:t>
            </w:r>
          </w:p>
        </w:tc>
      </w:tr>
      <w:tr w14:paraId="208B7F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C0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0F19AA">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9F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FDD677">
            <w:pPr>
              <w:jc w:val="center"/>
            </w:pPr>
            <w:r>
              <w:rPr>
                <w:rFonts w:ascii="宋体" w:hAnsi="宋体" w:eastAsia="宋体"/>
                <w:sz w:val="16"/>
              </w:rPr>
              <w:t>新疆维吾尔自治区人大常委会喀什地区工作委员会</w:t>
            </w:r>
          </w:p>
        </w:tc>
      </w:tr>
      <w:tr w14:paraId="64166A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A400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73E6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A6C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1F1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9FA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297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461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1554D">
            <w:pPr>
              <w:jc w:val="center"/>
            </w:pPr>
            <w:r>
              <w:rPr>
                <w:rFonts w:ascii="宋体" w:hAnsi="宋体" w:eastAsia="宋体"/>
                <w:sz w:val="16"/>
              </w:rPr>
              <w:t>得分</w:t>
            </w:r>
          </w:p>
        </w:tc>
      </w:tr>
      <w:tr w14:paraId="06DBB5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293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04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FC59F">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F4BC5">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17673">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15F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CFA06">
            <w:pPr>
              <w:jc w:val="center"/>
            </w:pPr>
            <w:r>
              <w:rPr>
                <w:rFonts w:ascii="宋体" w:hAnsi="宋体" w:eastAsia="宋体"/>
                <w:sz w:val="16"/>
              </w:rPr>
              <w:t>61.6%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5DBA">
            <w:pPr>
              <w:jc w:val="center"/>
            </w:pPr>
            <w:r>
              <w:rPr>
                <w:rFonts w:ascii="宋体" w:hAnsi="宋体" w:eastAsia="宋体"/>
                <w:sz w:val="16"/>
              </w:rPr>
              <w:t>0.41分</w:t>
            </w:r>
          </w:p>
        </w:tc>
      </w:tr>
      <w:tr w14:paraId="2C27CA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31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62D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5B7B8">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DE162">
            <w:pPr>
              <w:jc w:val="center"/>
            </w:pPr>
            <w:r>
              <w:rPr>
                <w:rFonts w:ascii="宋体" w:hAnsi="宋体" w:eastAsia="宋体"/>
                <w:sz w:val="16"/>
              </w:rPr>
              <w:t>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F91C6">
            <w:pPr>
              <w:jc w:val="center"/>
            </w:pPr>
            <w:r>
              <w:rPr>
                <w:rFonts w:ascii="宋体" w:hAnsi="宋体" w:eastAsia="宋体"/>
                <w:sz w:val="16"/>
              </w:rPr>
              <w:t>5.22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7D1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FBD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37499">
            <w:pPr>
              <w:jc w:val="center"/>
            </w:pPr>
            <w:r>
              <w:rPr>
                <w:rFonts w:ascii="宋体" w:hAnsi="宋体" w:eastAsia="宋体"/>
                <w:sz w:val="16"/>
              </w:rPr>
              <w:t>—</w:t>
            </w:r>
          </w:p>
        </w:tc>
      </w:tr>
      <w:tr w14:paraId="6CC09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563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EED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E1F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8F8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D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97F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348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B2D6">
            <w:pPr>
              <w:jc w:val="center"/>
            </w:pPr>
            <w:r>
              <w:rPr>
                <w:rFonts w:ascii="宋体" w:hAnsi="宋体" w:eastAsia="宋体"/>
                <w:sz w:val="16"/>
              </w:rPr>
              <w:t>—</w:t>
            </w:r>
          </w:p>
        </w:tc>
      </w:tr>
      <w:tr w14:paraId="2E0840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20A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A64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768F9">
            <w:pPr>
              <w:jc w:val="center"/>
            </w:pPr>
            <w:r>
              <w:rPr>
                <w:rFonts w:ascii="宋体" w:hAnsi="宋体" w:eastAsia="宋体"/>
                <w:sz w:val="16"/>
              </w:rPr>
              <w:t>实际完成情况</w:t>
            </w:r>
          </w:p>
        </w:tc>
      </w:tr>
      <w:tr w14:paraId="53C330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5432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C61144">
            <w:pPr>
              <w:jc w:val="both"/>
            </w:pPr>
            <w:r>
              <w:rPr>
                <w:rFonts w:ascii="宋体" w:hAnsi="宋体" w:eastAsia="宋体"/>
                <w:sz w:val="16"/>
              </w:rPr>
              <w:t>为进一步贯彻落实交流干部关心关爱机制，保障</w:t>
            </w:r>
            <w:r>
              <w:rPr>
                <w:rFonts w:hint="eastAsia" w:ascii="宋体" w:hAnsi="宋体"/>
                <w:sz w:val="16"/>
                <w:lang w:eastAsia="zh-CN"/>
              </w:rPr>
              <w:t>本单位</w:t>
            </w:r>
            <w:r>
              <w:rPr>
                <w:rFonts w:ascii="宋体" w:hAnsi="宋体" w:eastAsia="宋体"/>
                <w:sz w:val="16"/>
              </w:rPr>
              <w:t>3名异地交流任职干部交通费71555元和周转房租赁费13145元，确保异地交流干部全身心投入工作、生活上无后顾之忧、身心健康、工作高效。达到有效提升异地交流干部工作热情，推动喀什地区引进人才计划顺利进行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4A7EEF">
            <w:pPr>
              <w:jc w:val="both"/>
            </w:pPr>
            <w:r>
              <w:rPr>
                <w:rFonts w:ascii="宋体" w:hAnsi="宋体" w:eastAsia="宋体"/>
                <w:sz w:val="16"/>
              </w:rPr>
              <w:t>保障</w:t>
            </w:r>
            <w:r>
              <w:rPr>
                <w:rFonts w:hint="eastAsia" w:ascii="宋体" w:hAnsi="宋体"/>
                <w:sz w:val="16"/>
                <w:lang w:eastAsia="zh-CN"/>
              </w:rPr>
              <w:t>本单位</w:t>
            </w:r>
            <w:r>
              <w:rPr>
                <w:rFonts w:ascii="宋体" w:hAnsi="宋体" w:eastAsia="宋体"/>
                <w:sz w:val="16"/>
              </w:rPr>
              <w:t>3名异地交流任职干部交通费39098元和周转房租赁费13145元，项目的实施，为进一步贯彻落实交流干部关心关爱机制得到保障，确保异地交流干部全身心投入工作、生活上无后顾之忧，有效提升异地交流干部工作热情。</w:t>
            </w:r>
          </w:p>
        </w:tc>
      </w:tr>
      <w:tr w14:paraId="522FB4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77A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5ED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3D4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9E7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0DDB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4B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DB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38E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30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D6F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84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A8A0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72DE7">
            <w:pPr>
              <w:jc w:val="center"/>
            </w:pPr>
            <w:r>
              <w:rPr>
                <w:rFonts w:ascii="宋体" w:hAnsi="宋体" w:eastAsia="宋体"/>
                <w:sz w:val="16"/>
              </w:rPr>
              <w:t>偏差原因分析及改进措施</w:t>
            </w:r>
          </w:p>
        </w:tc>
      </w:tr>
      <w:tr w14:paraId="4329F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8502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AEF6A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F60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D77E3">
            <w:pPr>
              <w:jc w:val="center"/>
            </w:pPr>
            <w:r>
              <w:rPr>
                <w:rFonts w:ascii="宋体" w:hAnsi="宋体" w:eastAsia="宋体"/>
                <w:sz w:val="16"/>
              </w:rPr>
              <w:t>保障异地交流干部人数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685F">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166D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D0E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A75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315F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7A00">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DAB8">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6648">
            <w:pPr>
              <w:jc w:val="center"/>
            </w:pPr>
          </w:p>
        </w:tc>
      </w:tr>
      <w:tr w14:paraId="279CB4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F14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6AF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1C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F576C">
            <w:pPr>
              <w:jc w:val="center"/>
            </w:pPr>
            <w:r>
              <w:rPr>
                <w:rFonts w:ascii="宋体" w:hAnsi="宋体" w:eastAsia="宋体"/>
                <w:sz w:val="16"/>
              </w:rPr>
              <w:t>保障异地交流干部覆盖率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868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9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A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3BD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CBEA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3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62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269E">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58362">
            <w:pPr>
              <w:jc w:val="center"/>
            </w:pPr>
          </w:p>
        </w:tc>
      </w:tr>
      <w:tr w14:paraId="3B472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72C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95D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37F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B72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62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A4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2C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AEA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135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04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79980">
            <w:pPr>
              <w:jc w:val="center"/>
            </w:pPr>
            <w:r>
              <w:rPr>
                <w:rFonts w:ascii="宋体" w:hAnsi="宋体" w:eastAsia="宋体"/>
                <w:sz w:val="16"/>
              </w:rPr>
              <w:t>=61.6%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33A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2DF53">
            <w:pPr>
              <w:jc w:val="center"/>
            </w:pPr>
            <w:r>
              <w:rPr>
                <w:rFonts w:ascii="宋体" w:hAnsi="宋体" w:eastAsia="宋体"/>
                <w:sz w:val="16"/>
              </w:rPr>
              <w:t>偏差原因：项目绩效目标编制不够精准，因工作原因异地交流干部没有按计划实施，导致本年度预算资金有结余，未及时退回财政。改进措施：根据异地交流干部所报计划合理编制预算和绩效目标，并提醒异地交流干部按计划实施，加快支付进度。</w:t>
            </w:r>
          </w:p>
        </w:tc>
      </w:tr>
      <w:tr w14:paraId="5BC3F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C2E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0B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BFF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5C9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EE6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1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FB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AE5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25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33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974C6">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BE87">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B355C">
            <w:pPr>
              <w:jc w:val="center"/>
            </w:pPr>
          </w:p>
        </w:tc>
      </w:tr>
      <w:tr w14:paraId="42E2F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002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7B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A2E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D962">
            <w:pPr>
              <w:jc w:val="center"/>
            </w:pPr>
            <w:r>
              <w:rPr>
                <w:rFonts w:ascii="宋体" w:hAnsi="宋体" w:eastAsia="宋体"/>
                <w:sz w:val="16"/>
              </w:rPr>
              <w:t>保障异地交流干部平均成本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BE4FB">
            <w:pPr>
              <w:jc w:val="center"/>
            </w:pPr>
            <w:r>
              <w:rPr>
                <w:rFonts w:ascii="宋体" w:hAnsi="宋体" w:eastAsia="宋体"/>
                <w:sz w:val="16"/>
              </w:rPr>
              <w:t>&lt;=2.82万元/人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296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AE6F">
            <w:pPr>
              <w:jc w:val="center"/>
            </w:pPr>
            <w:r>
              <w:rPr>
                <w:rFonts w:ascii="宋体" w:hAnsi="宋体" w:eastAsia="宋体"/>
                <w:sz w:val="16"/>
              </w:rPr>
              <w:t>6.18万元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99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6B8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4F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699BF">
            <w:pPr>
              <w:jc w:val="center"/>
            </w:pPr>
            <w:r>
              <w:rPr>
                <w:rFonts w:ascii="宋体" w:hAnsi="宋体" w:eastAsia="宋体"/>
                <w:sz w:val="16"/>
              </w:rPr>
              <w:t>=1.74万元/人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1BFA">
            <w:pPr>
              <w:jc w:val="center"/>
            </w:pPr>
            <w:r>
              <w:rPr>
                <w:rFonts w:ascii="宋体" w:hAnsi="宋体" w:eastAsia="宋体"/>
                <w:sz w:val="16"/>
              </w:rPr>
              <w:t>0.85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AECEB">
            <w:pPr>
              <w:jc w:val="center"/>
            </w:pPr>
            <w:r>
              <w:rPr>
                <w:rFonts w:ascii="宋体" w:hAnsi="宋体" w:eastAsia="宋体"/>
                <w:sz w:val="16"/>
              </w:rPr>
              <w:t>偏差原因：年初预算资金精细预测和规划不够科学，项目预算编制不够精准，导致本年度预算资金与实际执行率偏差较大。改进措施：根据异地交流干部所报计划合理编制预算，并提醒异地交流干部按计划实施加快进度，提升项目资金使用效率。</w:t>
            </w:r>
          </w:p>
        </w:tc>
      </w:tr>
      <w:tr w14:paraId="26CFA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EDA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5B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D0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B192">
            <w:pPr>
              <w:jc w:val="center"/>
            </w:pPr>
            <w:r>
              <w:rPr>
                <w:rFonts w:ascii="宋体" w:hAnsi="宋体" w:eastAsia="宋体"/>
                <w:sz w:val="16"/>
              </w:rPr>
              <w:t>有效提高异地交流干部工作效率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A9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2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4AD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52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6B79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74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9AC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C2C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C1055">
            <w:pPr>
              <w:jc w:val="center"/>
            </w:pPr>
          </w:p>
        </w:tc>
      </w:tr>
      <w:tr w14:paraId="6F428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A50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8A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AB9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FE36">
            <w:pPr>
              <w:jc w:val="center"/>
            </w:pPr>
            <w:r>
              <w:rPr>
                <w:rFonts w:ascii="宋体" w:hAnsi="宋体" w:eastAsia="宋体"/>
                <w:sz w:val="16"/>
              </w:rPr>
              <w:t>异地交流干部满意率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3A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BD7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B3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7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7D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2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1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2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43B30">
            <w:pPr>
              <w:jc w:val="center"/>
            </w:pPr>
          </w:p>
        </w:tc>
      </w:tr>
      <w:tr w14:paraId="49CFE8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6DE31">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0A7D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44B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54A149">
            <w:pPr>
              <w:jc w:val="center"/>
            </w:pPr>
            <w:r>
              <w:rPr>
                <w:rFonts w:ascii="宋体" w:hAnsi="宋体" w:eastAsia="宋体"/>
                <w:sz w:val="16"/>
              </w:rPr>
              <w:t>61.26分</w:t>
            </w:r>
          </w:p>
        </w:tc>
      </w:tr>
    </w:tbl>
    <w:p w14:paraId="04917B1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96"/>
        <w:gridCol w:w="632"/>
        <w:gridCol w:w="632"/>
        <w:gridCol w:w="632"/>
      </w:tblGrid>
      <w:tr w14:paraId="635E5315">
        <w:tblPrEx>
          <w:tblCellMar>
            <w:top w:w="0" w:type="dxa"/>
            <w:left w:w="108" w:type="dxa"/>
            <w:bottom w:w="0" w:type="dxa"/>
            <w:right w:w="108" w:type="dxa"/>
          </w:tblCellMar>
        </w:tblPrEx>
        <w:tc>
          <w:tcPr>
            <w:tcW w:w="8848" w:type="dxa"/>
            <w:gridSpan w:val="14"/>
            <w:vAlign w:val="center"/>
          </w:tcPr>
          <w:p w14:paraId="5B7B113C">
            <w:pPr>
              <w:jc w:val="center"/>
            </w:pPr>
            <w:r>
              <w:rPr>
                <w:rFonts w:ascii="宋体" w:hAnsi="宋体" w:eastAsia="宋体"/>
                <w:sz w:val="24"/>
              </w:rPr>
              <w:t>项目支出绩效自评表</w:t>
            </w:r>
          </w:p>
        </w:tc>
      </w:tr>
      <w:tr w14:paraId="72D3EB66">
        <w:tblPrEx>
          <w:tblCellMar>
            <w:top w:w="0" w:type="dxa"/>
            <w:left w:w="108" w:type="dxa"/>
            <w:bottom w:w="0" w:type="dxa"/>
            <w:right w:w="108" w:type="dxa"/>
          </w:tblCellMar>
        </w:tblPrEx>
        <w:tc>
          <w:tcPr>
            <w:tcW w:w="8848" w:type="dxa"/>
            <w:gridSpan w:val="14"/>
            <w:vAlign w:val="center"/>
          </w:tcPr>
          <w:p w14:paraId="119E4DC1">
            <w:pPr>
              <w:jc w:val="center"/>
            </w:pPr>
            <w:r>
              <w:rPr>
                <w:rFonts w:ascii="宋体" w:hAnsi="宋体" w:eastAsia="宋体"/>
                <w:sz w:val="24"/>
              </w:rPr>
              <w:t>(2024年度)</w:t>
            </w:r>
          </w:p>
        </w:tc>
      </w:tr>
      <w:tr w14:paraId="4E9EFC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8E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E5D57F">
            <w:pPr>
              <w:jc w:val="center"/>
            </w:pPr>
            <w:r>
              <w:rPr>
                <w:rFonts w:ascii="宋体" w:hAnsi="宋体" w:eastAsia="宋体"/>
                <w:sz w:val="16"/>
              </w:rPr>
              <w:t>人大收山东援疆拨</w:t>
            </w:r>
            <w:r>
              <w:rPr>
                <w:rFonts w:hint="eastAsia" w:ascii="宋体" w:hAnsi="宋体"/>
                <w:sz w:val="16"/>
                <w:lang w:eastAsia="zh-CN"/>
              </w:rPr>
              <w:t>人大常委会机关</w:t>
            </w:r>
            <w:r>
              <w:rPr>
                <w:rFonts w:ascii="宋体" w:hAnsi="宋体" w:eastAsia="宋体"/>
                <w:sz w:val="16"/>
              </w:rPr>
              <w:t>自身建设项目</w:t>
            </w:r>
          </w:p>
        </w:tc>
      </w:tr>
      <w:tr w14:paraId="609C3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AB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90D25">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EE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2DD3FE">
            <w:pPr>
              <w:jc w:val="center"/>
            </w:pPr>
            <w:r>
              <w:rPr>
                <w:rFonts w:ascii="宋体" w:hAnsi="宋体" w:eastAsia="宋体"/>
                <w:sz w:val="16"/>
              </w:rPr>
              <w:t>新疆维吾尔自治区人大常委会喀什地区工作委员会</w:t>
            </w:r>
          </w:p>
        </w:tc>
      </w:tr>
      <w:tr w14:paraId="7ACAEF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15D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910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462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F2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FD78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E0BE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7D3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A1E4">
            <w:pPr>
              <w:jc w:val="center"/>
            </w:pPr>
            <w:r>
              <w:rPr>
                <w:rFonts w:ascii="宋体" w:hAnsi="宋体" w:eastAsia="宋体"/>
                <w:sz w:val="16"/>
              </w:rPr>
              <w:t>得分</w:t>
            </w:r>
          </w:p>
        </w:tc>
      </w:tr>
      <w:tr w14:paraId="6DD8F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67F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5B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FAC5A">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27B9">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6D2F">
            <w:pPr>
              <w:jc w:val="center"/>
            </w:pPr>
            <w:r>
              <w:rPr>
                <w:rFonts w:ascii="宋体" w:hAnsi="宋体" w:eastAsia="宋体"/>
                <w:sz w:val="16"/>
              </w:rPr>
              <w:t>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96D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1214B">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F8D58">
            <w:pPr>
              <w:jc w:val="center"/>
            </w:pPr>
            <w:r>
              <w:rPr>
                <w:rFonts w:ascii="宋体" w:hAnsi="宋体" w:eastAsia="宋体"/>
                <w:sz w:val="16"/>
              </w:rPr>
              <w:t>10.00分</w:t>
            </w:r>
          </w:p>
        </w:tc>
      </w:tr>
      <w:tr w14:paraId="0FD787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69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AFF0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D99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9B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238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F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A6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053D3">
            <w:pPr>
              <w:jc w:val="center"/>
            </w:pPr>
            <w:r>
              <w:rPr>
                <w:rFonts w:ascii="宋体" w:hAnsi="宋体" w:eastAsia="宋体"/>
                <w:sz w:val="16"/>
              </w:rPr>
              <w:t>—</w:t>
            </w:r>
          </w:p>
        </w:tc>
      </w:tr>
      <w:tr w14:paraId="0E6749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3B2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6FD9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860D">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A9785">
            <w:pPr>
              <w:jc w:val="center"/>
            </w:pPr>
            <w:r>
              <w:rPr>
                <w:rFonts w:ascii="宋体" w:hAnsi="宋体" w:eastAsia="宋体"/>
                <w:sz w:val="16"/>
              </w:rPr>
              <w:t>13.08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7FBF1">
            <w:pPr>
              <w:jc w:val="center"/>
            </w:pPr>
            <w:r>
              <w:rPr>
                <w:rFonts w:ascii="宋体" w:hAnsi="宋体" w:eastAsia="宋体"/>
                <w:sz w:val="16"/>
              </w:rPr>
              <w:t>13.04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F8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6E6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0209">
            <w:pPr>
              <w:jc w:val="center"/>
            </w:pPr>
            <w:r>
              <w:rPr>
                <w:rFonts w:ascii="宋体" w:hAnsi="宋体" w:eastAsia="宋体"/>
                <w:sz w:val="16"/>
              </w:rPr>
              <w:t>—</w:t>
            </w:r>
          </w:p>
        </w:tc>
      </w:tr>
      <w:tr w14:paraId="480117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D3BD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ADED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AF656E">
            <w:pPr>
              <w:jc w:val="center"/>
            </w:pPr>
            <w:r>
              <w:rPr>
                <w:rFonts w:ascii="宋体" w:hAnsi="宋体" w:eastAsia="宋体"/>
                <w:sz w:val="16"/>
              </w:rPr>
              <w:t>实际完成情况</w:t>
            </w:r>
          </w:p>
        </w:tc>
      </w:tr>
      <w:tr w14:paraId="1F808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5475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5FE98">
            <w:pPr>
              <w:jc w:val="both"/>
            </w:pPr>
            <w:r>
              <w:rPr>
                <w:rFonts w:ascii="宋体" w:hAnsi="宋体" w:eastAsia="宋体"/>
                <w:sz w:val="16"/>
              </w:rPr>
              <w:t>山东省对口支援援疆工作指挥部为人大常委会机关拨付的自身建设项目资金，弥补机关自身建设经费不足，保障机关干部职工人数不少于47人，主要用于机关办公自动化、信息化、人文环境改善，关心关爱机关干部职工，保障机关运行，进一步加强机关规范化、科学化、信息化、人文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CB2A9">
            <w:pPr>
              <w:jc w:val="both"/>
            </w:pPr>
            <w:r>
              <w:rPr>
                <w:rFonts w:ascii="宋体" w:hAnsi="宋体" w:eastAsia="宋体"/>
                <w:sz w:val="16"/>
              </w:rPr>
              <w:t>保障机关干部职工人数47人，主要用于购置机关办公设备8.98万元，对新调整的办公室进行维修维护2.5万元及关心关爱机关干部职工1.56万元，结余资金退回山东援疆指挥部0.04万元。项目的实施保障机关正常运行，机关建设得到进一步提升。</w:t>
            </w:r>
          </w:p>
        </w:tc>
      </w:tr>
      <w:tr w14:paraId="3EE0DD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C62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5B8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BB6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10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81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F7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B9B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3A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814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54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2F3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47FA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39F1B">
            <w:pPr>
              <w:jc w:val="center"/>
            </w:pPr>
            <w:r>
              <w:rPr>
                <w:rFonts w:ascii="宋体" w:hAnsi="宋体" w:eastAsia="宋体"/>
                <w:sz w:val="16"/>
              </w:rPr>
              <w:t>偏差原因分析及改进措施</w:t>
            </w:r>
          </w:p>
        </w:tc>
      </w:tr>
      <w:tr w14:paraId="43D4B0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006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DEF2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59E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5946">
            <w:pPr>
              <w:jc w:val="center"/>
            </w:pPr>
            <w:r>
              <w:rPr>
                <w:rFonts w:ascii="宋体" w:hAnsi="宋体" w:eastAsia="宋体"/>
                <w:sz w:val="16"/>
              </w:rPr>
              <w:t>保障机关干部职工人数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8E8A1">
            <w:pPr>
              <w:jc w:val="center"/>
            </w:pPr>
            <w:r>
              <w:rPr>
                <w:rFonts w:ascii="宋体" w:hAnsi="宋体" w:eastAsia="宋体"/>
                <w:sz w:val="16"/>
              </w:rPr>
              <w:t>&gt;=47人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8CC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F7019">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FA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6B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A0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F3BD4">
            <w:pPr>
              <w:jc w:val="center"/>
            </w:pPr>
            <w:r>
              <w:rPr>
                <w:rFonts w:ascii="宋体" w:hAnsi="宋体" w:eastAsia="宋体"/>
                <w:sz w:val="16"/>
              </w:rPr>
              <w:t>=47人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5E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DCBA1">
            <w:pPr>
              <w:jc w:val="center"/>
            </w:pPr>
          </w:p>
        </w:tc>
      </w:tr>
      <w:tr w14:paraId="238C2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F2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1FC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2DB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5252">
            <w:pPr>
              <w:jc w:val="center"/>
            </w:pPr>
            <w:r>
              <w:rPr>
                <w:rFonts w:ascii="宋体" w:hAnsi="宋体" w:eastAsia="宋体"/>
                <w:sz w:val="16"/>
              </w:rPr>
              <w:t>工作开展及时性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2B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51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45910">
            <w:pPr>
              <w:jc w:val="center"/>
            </w:pPr>
            <w:r>
              <w:rPr>
                <w:rFonts w:ascii="宋体" w:hAnsi="宋体" w:eastAsia="宋体"/>
                <w:sz w:val="16"/>
              </w:rPr>
              <w:t>58.56%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7E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11A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9E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65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09B9">
            <w:pPr>
              <w:jc w:val="center"/>
            </w:pPr>
            <w:r>
              <w:rPr>
                <w:rFonts w:ascii="宋体" w:hAnsi="宋体" w:eastAsia="宋体"/>
                <w:sz w:val="16"/>
              </w:rPr>
              <w:t>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71B9">
            <w:pPr>
              <w:jc w:val="center"/>
            </w:pPr>
            <w:r>
              <w:rPr>
                <w:rFonts w:ascii="宋体" w:hAnsi="宋体" w:eastAsia="宋体"/>
                <w:sz w:val="16"/>
              </w:rPr>
              <w:t>偏差原因：根据工作实际调整经济科目后未及时调整绩效目标，导致与实际执行率有偏差。改进措施：科学合理</w:t>
            </w:r>
            <w:r>
              <w:rPr>
                <w:rFonts w:hint="eastAsia" w:ascii="宋体" w:hAnsi="宋体"/>
                <w:sz w:val="16"/>
                <w:lang w:eastAsia="zh-CN"/>
              </w:rPr>
              <w:t>地</w:t>
            </w:r>
            <w:r>
              <w:rPr>
                <w:rFonts w:ascii="宋体" w:hAnsi="宋体" w:eastAsia="宋体"/>
                <w:sz w:val="16"/>
              </w:rPr>
              <w:t>设置绩效目标，调整资金用途后应及时对相关绩效目标指标进行调整</w:t>
            </w:r>
          </w:p>
        </w:tc>
      </w:tr>
      <w:tr w14:paraId="01FDEF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ACB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124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12E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0B84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B36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2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80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E5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F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73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DAB0D">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960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EEBAA">
            <w:pPr>
              <w:jc w:val="center"/>
            </w:pPr>
          </w:p>
        </w:tc>
      </w:tr>
      <w:tr w14:paraId="297C4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AA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7E5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68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6863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D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5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1B75">
            <w:pPr>
              <w:jc w:val="center"/>
            </w:pPr>
            <w:r>
              <w:rPr>
                <w:rFonts w:ascii="宋体" w:hAnsi="宋体" w:eastAsia="宋体"/>
                <w:sz w:val="16"/>
              </w:rPr>
              <w:t>58.86%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1D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4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A6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3EBF">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5C95">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5AD39">
            <w:pPr>
              <w:jc w:val="center"/>
            </w:pPr>
            <w:r>
              <w:rPr>
                <w:rFonts w:ascii="宋体" w:hAnsi="宋体" w:eastAsia="宋体"/>
                <w:sz w:val="16"/>
              </w:rPr>
              <w:t>偏差原因：绩效目标设置不够精准，调整经济科目后未及时对绩效目标进行调整，导致资金有结余与实际执行率稍有偏差。改进措施：结合工委要点科学制定项目实施方案，精准设置绩效目标，对中途有调整的应及时对相关绩效目标指标进行调整，达到资金使用效益。</w:t>
            </w:r>
          </w:p>
        </w:tc>
      </w:tr>
      <w:tr w14:paraId="3B516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0B53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118D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A91D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C246">
            <w:pPr>
              <w:jc w:val="center"/>
            </w:pPr>
            <w:r>
              <w:rPr>
                <w:rFonts w:ascii="宋体" w:hAnsi="宋体" w:eastAsia="宋体"/>
                <w:sz w:val="16"/>
              </w:rPr>
              <w:t>关心关爱机关干部职工成本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8DB0">
            <w:pPr>
              <w:jc w:val="center"/>
            </w:pPr>
            <w:r>
              <w:rPr>
                <w:rFonts w:ascii="宋体" w:hAnsi="宋体" w:eastAsia="宋体"/>
                <w:sz w:val="16"/>
              </w:rPr>
              <w:t>&lt;=1.6万元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B1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F9698">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CD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80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8DA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1130C">
            <w:pPr>
              <w:jc w:val="center"/>
            </w:pPr>
            <w:r>
              <w:rPr>
                <w:rFonts w:ascii="宋体" w:hAnsi="宋体" w:eastAsia="宋体"/>
                <w:sz w:val="16"/>
              </w:rPr>
              <w: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174D">
            <w:pPr>
              <w:jc w:val="center"/>
            </w:pPr>
            <w:r>
              <w:rPr>
                <w:rFonts w:ascii="宋体" w:hAnsi="宋体" w:eastAsia="宋体"/>
                <w:sz w:val="16"/>
              </w:rPr>
              <w:t>9.38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20FEA">
            <w:pPr>
              <w:jc w:val="center"/>
            </w:pPr>
            <w:r>
              <w:rPr>
                <w:rFonts w:ascii="宋体" w:hAnsi="宋体" w:eastAsia="宋体"/>
                <w:sz w:val="16"/>
              </w:rPr>
              <w:t>偏差原因：未科学编制项目实施方案，资金用途改变后未对项目绩效目标及时进行调整，导致与实际执行率偏差较大。改进措施：根据项目实施方案科学设置绩效目标，对中途有调整的及时对绩效目标进行调整。</w:t>
            </w:r>
          </w:p>
        </w:tc>
      </w:tr>
      <w:tr w14:paraId="798CB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A4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A15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64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75D4">
            <w:pPr>
              <w:jc w:val="center"/>
            </w:pPr>
            <w:r>
              <w:rPr>
                <w:rFonts w:ascii="宋体" w:hAnsi="宋体" w:eastAsia="宋体"/>
                <w:sz w:val="16"/>
              </w:rPr>
              <w:t>保障机关运行成本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DFC2">
            <w:pPr>
              <w:jc w:val="center"/>
            </w:pPr>
            <w:r>
              <w:rPr>
                <w:rFonts w:ascii="宋体" w:hAnsi="宋体" w:eastAsia="宋体"/>
                <w:sz w:val="16"/>
              </w:rPr>
              <w: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AE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05288">
            <w:pPr>
              <w:jc w:val="center"/>
            </w:pPr>
            <w:r>
              <w:rPr>
                <w:rFonts w:ascii="宋体" w:hAnsi="宋体" w:eastAsia="宋体"/>
                <w:sz w:val="16"/>
              </w:rPr>
              <w:t>14.96万元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D5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45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D3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B2A8">
            <w:pPr>
              <w:jc w:val="center"/>
            </w:pPr>
            <w:r>
              <w:rPr>
                <w:rFonts w:ascii="宋体" w:hAnsi="宋体" w:eastAsia="宋体"/>
                <w:sz w:val="16"/>
              </w:rPr>
              <w:t>=11.48万元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40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1ACA">
            <w:pPr>
              <w:jc w:val="center"/>
            </w:pPr>
            <w:r>
              <w:rPr>
                <w:rFonts w:ascii="宋体" w:hAnsi="宋体" w:eastAsia="宋体"/>
                <w:sz w:val="16"/>
              </w:rPr>
              <w:t>偏差原因：年初项目预算编制不够精准，后期根据机关实际情况对项目经济科目进行调整，未及时对项目绩效目标进行调整，导致本年度预算与实际执行率偏差较大。改进措施：根据工委要点工作安排，合理制定项目实施方案，科学设置绩效目标，中途有调整的及时对绩效目标进行调整。</w:t>
            </w:r>
          </w:p>
        </w:tc>
      </w:tr>
      <w:tr w14:paraId="71ECF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9F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3F1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18E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FE393">
            <w:pPr>
              <w:jc w:val="center"/>
            </w:pPr>
            <w:r>
              <w:rPr>
                <w:rFonts w:ascii="宋体" w:hAnsi="宋体" w:eastAsia="宋体"/>
                <w:sz w:val="16"/>
              </w:rPr>
              <w:t>有效提升机关自身建设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F720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C7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403F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E4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68D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0B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671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78F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F67CD">
            <w:pPr>
              <w:jc w:val="center"/>
            </w:pPr>
          </w:p>
        </w:tc>
      </w:tr>
      <w:tr w14:paraId="23C23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E56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AFB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4C8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3C01">
            <w:pPr>
              <w:jc w:val="center"/>
            </w:pPr>
            <w:r>
              <w:rPr>
                <w:rFonts w:ascii="宋体" w:hAnsi="宋体" w:eastAsia="宋体"/>
                <w:sz w:val="16"/>
              </w:rPr>
              <w:t>机关干部职工满意度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FAB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E5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D8A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0C6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A0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65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B0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B8C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05C94">
            <w:pPr>
              <w:jc w:val="center"/>
            </w:pPr>
          </w:p>
        </w:tc>
      </w:tr>
      <w:tr w14:paraId="077E37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2C7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0A1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943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918F41">
            <w:pPr>
              <w:jc w:val="center"/>
            </w:pPr>
            <w:r>
              <w:rPr>
                <w:rFonts w:ascii="宋体" w:hAnsi="宋体" w:eastAsia="宋体"/>
                <w:sz w:val="16"/>
              </w:rPr>
              <w:t>98.81分</w:t>
            </w:r>
          </w:p>
        </w:tc>
      </w:tr>
    </w:tbl>
    <w:p w14:paraId="08ADE5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32"/>
        <w:gridCol w:w="632"/>
        <w:gridCol w:w="632"/>
        <w:gridCol w:w="776"/>
        <w:gridCol w:w="632"/>
        <w:gridCol w:w="632"/>
        <w:gridCol w:w="632"/>
      </w:tblGrid>
      <w:tr w14:paraId="02C53920">
        <w:tblPrEx>
          <w:tblCellMar>
            <w:top w:w="0" w:type="dxa"/>
            <w:left w:w="108" w:type="dxa"/>
            <w:bottom w:w="0" w:type="dxa"/>
            <w:right w:w="108" w:type="dxa"/>
          </w:tblCellMar>
        </w:tblPrEx>
        <w:tc>
          <w:tcPr>
            <w:tcW w:w="8848" w:type="dxa"/>
            <w:gridSpan w:val="14"/>
            <w:vAlign w:val="center"/>
          </w:tcPr>
          <w:p w14:paraId="3B0A5E78">
            <w:pPr>
              <w:jc w:val="center"/>
            </w:pPr>
            <w:r>
              <w:rPr>
                <w:rFonts w:ascii="宋体" w:hAnsi="宋体" w:eastAsia="宋体"/>
                <w:sz w:val="24"/>
              </w:rPr>
              <w:t>项目支出绩效自评表</w:t>
            </w:r>
          </w:p>
        </w:tc>
      </w:tr>
      <w:tr w14:paraId="1EAA16A7">
        <w:tblPrEx>
          <w:tblCellMar>
            <w:top w:w="0" w:type="dxa"/>
            <w:left w:w="108" w:type="dxa"/>
            <w:bottom w:w="0" w:type="dxa"/>
            <w:right w:w="108" w:type="dxa"/>
          </w:tblCellMar>
        </w:tblPrEx>
        <w:tc>
          <w:tcPr>
            <w:tcW w:w="8848" w:type="dxa"/>
            <w:gridSpan w:val="14"/>
            <w:vAlign w:val="center"/>
          </w:tcPr>
          <w:p w14:paraId="67504640">
            <w:pPr>
              <w:jc w:val="center"/>
            </w:pPr>
            <w:r>
              <w:rPr>
                <w:rFonts w:ascii="宋体" w:hAnsi="宋体" w:eastAsia="宋体"/>
                <w:sz w:val="24"/>
              </w:rPr>
              <w:t>(2024年度)</w:t>
            </w:r>
          </w:p>
        </w:tc>
      </w:tr>
      <w:tr w14:paraId="67A69A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D6B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352F89">
            <w:pPr>
              <w:jc w:val="center"/>
            </w:pPr>
            <w:r>
              <w:rPr>
                <w:rFonts w:ascii="宋体" w:hAnsi="宋体" w:eastAsia="宋体"/>
                <w:sz w:val="16"/>
              </w:rPr>
              <w:t>人大收山东援疆拨喀什地区人大干部和各级人大代表能力提升项目</w:t>
            </w:r>
          </w:p>
        </w:tc>
      </w:tr>
      <w:tr w14:paraId="5C0561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D54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64BC5">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9CD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C7B0A0">
            <w:pPr>
              <w:jc w:val="center"/>
            </w:pPr>
            <w:r>
              <w:rPr>
                <w:rFonts w:ascii="宋体" w:hAnsi="宋体" w:eastAsia="宋体"/>
                <w:sz w:val="16"/>
              </w:rPr>
              <w:t>新疆维吾尔自治区人大常委会喀什地区工作委员会</w:t>
            </w:r>
          </w:p>
        </w:tc>
      </w:tr>
      <w:tr w14:paraId="0BCB4E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DBC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086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E11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9F1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B81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6A9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71EA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E422">
            <w:pPr>
              <w:jc w:val="center"/>
            </w:pPr>
            <w:r>
              <w:rPr>
                <w:rFonts w:ascii="宋体" w:hAnsi="宋体" w:eastAsia="宋体"/>
                <w:sz w:val="16"/>
              </w:rPr>
              <w:t>得分</w:t>
            </w:r>
          </w:p>
        </w:tc>
      </w:tr>
      <w:tr w14:paraId="50958B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D2A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3181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1197C">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B3E25">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4325E">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FE5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4871">
            <w:pPr>
              <w:jc w:val="center"/>
            </w:pPr>
            <w:r>
              <w:rPr>
                <w:rFonts w:ascii="宋体" w:hAnsi="宋体" w:eastAsia="宋体"/>
                <w:sz w:val="16"/>
              </w:rPr>
              <w:t>71.4%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2A899">
            <w:pPr>
              <w:jc w:val="center"/>
            </w:pPr>
            <w:r>
              <w:rPr>
                <w:rFonts w:ascii="宋体" w:hAnsi="宋体" w:eastAsia="宋体"/>
                <w:sz w:val="16"/>
              </w:rPr>
              <w:t>2.86分</w:t>
            </w:r>
          </w:p>
        </w:tc>
      </w:tr>
      <w:tr w14:paraId="592CA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B25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944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70F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87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E05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F68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678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96EBE">
            <w:pPr>
              <w:jc w:val="center"/>
            </w:pPr>
            <w:r>
              <w:rPr>
                <w:rFonts w:ascii="宋体" w:hAnsi="宋体" w:eastAsia="宋体"/>
                <w:sz w:val="16"/>
              </w:rPr>
              <w:t>—</w:t>
            </w:r>
          </w:p>
        </w:tc>
      </w:tr>
      <w:tr w14:paraId="080881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8F8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1529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2DD6D">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A4573">
            <w:pPr>
              <w:jc w:val="center"/>
            </w:pPr>
            <w:r>
              <w:rPr>
                <w:rFonts w:ascii="宋体" w:hAnsi="宋体" w:eastAsia="宋体"/>
                <w:sz w:val="16"/>
              </w:rPr>
              <w:t>16.63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25244">
            <w:pPr>
              <w:jc w:val="center"/>
            </w:pPr>
            <w:r>
              <w:rPr>
                <w:rFonts w:ascii="宋体" w:hAnsi="宋体" w:eastAsia="宋体"/>
                <w:sz w:val="16"/>
              </w:rPr>
              <w:t>11.88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097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D86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AC29">
            <w:pPr>
              <w:jc w:val="center"/>
            </w:pPr>
            <w:r>
              <w:rPr>
                <w:rFonts w:ascii="宋体" w:hAnsi="宋体" w:eastAsia="宋体"/>
                <w:sz w:val="16"/>
              </w:rPr>
              <w:t>—</w:t>
            </w:r>
          </w:p>
        </w:tc>
      </w:tr>
      <w:tr w14:paraId="0B3409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BB3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0B18A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835312">
            <w:pPr>
              <w:jc w:val="center"/>
            </w:pPr>
            <w:r>
              <w:rPr>
                <w:rFonts w:ascii="宋体" w:hAnsi="宋体" w:eastAsia="宋体"/>
                <w:sz w:val="16"/>
              </w:rPr>
              <w:t>实际完成情况</w:t>
            </w:r>
          </w:p>
        </w:tc>
      </w:tr>
      <w:tr w14:paraId="743E4C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F37C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7BFC5B">
            <w:pPr>
              <w:jc w:val="both"/>
            </w:pPr>
            <w:r>
              <w:rPr>
                <w:rFonts w:ascii="宋体" w:hAnsi="宋体" w:eastAsia="宋体"/>
                <w:sz w:val="16"/>
              </w:rPr>
              <w:t>组织参加培训学习考察人数不少于198人，组织参加培训学习考察不少于1次，通过组织喀什地区人大干部和代表赴疆内和援疆省市培训、交流学习、考察，学习借鉴疆内和援疆省市人大先进经验和做法，提升喀什地区各级人大代表和人大干部依法履职的水平和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9A6F7B">
            <w:pPr>
              <w:jc w:val="both"/>
            </w:pPr>
            <w:r>
              <w:rPr>
                <w:rFonts w:ascii="宋体" w:hAnsi="宋体" w:eastAsia="宋体"/>
                <w:sz w:val="16"/>
              </w:rPr>
              <w:t>组织喀什地区198名人大干部参加“2024年乡镇人大主席能力提升培训班”1次，项目的实施，使喀什地区各级人大干部依法履职的水平和能力得到提升。</w:t>
            </w:r>
          </w:p>
        </w:tc>
      </w:tr>
      <w:tr w14:paraId="046916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0361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766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9EEF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2C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0DA6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305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CC7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EA7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58F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545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B3D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A07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ECA3">
            <w:pPr>
              <w:jc w:val="center"/>
            </w:pPr>
            <w:r>
              <w:rPr>
                <w:rFonts w:ascii="宋体" w:hAnsi="宋体" w:eastAsia="宋体"/>
                <w:sz w:val="16"/>
              </w:rPr>
              <w:t>偏差原因分析及改进措施</w:t>
            </w:r>
          </w:p>
        </w:tc>
      </w:tr>
      <w:tr w14:paraId="6B7B08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00DA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4663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DA2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6EC5">
            <w:pPr>
              <w:jc w:val="center"/>
            </w:pPr>
            <w:r>
              <w:rPr>
                <w:rFonts w:ascii="宋体" w:hAnsi="宋体" w:eastAsia="宋体"/>
                <w:sz w:val="16"/>
              </w:rPr>
              <w:t>组织参加培训学习考察人数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B2BC">
            <w:pPr>
              <w:jc w:val="center"/>
            </w:pPr>
            <w:r>
              <w:rPr>
                <w:rFonts w:ascii="宋体" w:hAnsi="宋体" w:eastAsia="宋体"/>
                <w:sz w:val="16"/>
              </w:rPr>
              <w:t>&gt;=198人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B8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0FF0D">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3F6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44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82F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7227B">
            <w:pPr>
              <w:jc w:val="center"/>
            </w:pPr>
            <w:r>
              <w:rPr>
                <w:rFonts w:ascii="宋体" w:hAnsi="宋体" w:eastAsia="宋体"/>
                <w:sz w:val="16"/>
              </w:rPr>
              <w:t>=198人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6702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2D796">
            <w:pPr>
              <w:jc w:val="center"/>
            </w:pPr>
            <w:r>
              <w:rPr>
                <w:rFonts w:ascii="宋体" w:hAnsi="宋体" w:eastAsia="宋体"/>
                <w:sz w:val="16"/>
              </w:rPr>
              <w:t>偏差原因：项目在执行过程中进行了调整，未及时调整项目绩效目标，导致项目偏差率大。改进措施：根据处室工作计划科学编制项目实施方案，精准</w:t>
            </w:r>
            <w:r>
              <w:rPr>
                <w:rFonts w:hint="eastAsia" w:ascii="宋体" w:hAnsi="宋体"/>
                <w:sz w:val="16"/>
                <w:lang w:eastAsia="zh-CN"/>
              </w:rPr>
              <w:t>设置</w:t>
            </w:r>
            <w:r>
              <w:rPr>
                <w:rFonts w:ascii="宋体" w:hAnsi="宋体" w:eastAsia="宋体"/>
                <w:sz w:val="16"/>
              </w:rPr>
              <w:t>绩效目标，中途执行有调整时应及时</w:t>
            </w:r>
            <w:r>
              <w:rPr>
                <w:rFonts w:hint="eastAsia" w:ascii="宋体" w:hAnsi="宋体"/>
                <w:sz w:val="16"/>
                <w:lang w:eastAsia="zh-CN"/>
              </w:rPr>
              <w:t>调整</w:t>
            </w:r>
            <w:r>
              <w:rPr>
                <w:rFonts w:ascii="宋体" w:hAnsi="宋体" w:eastAsia="宋体"/>
                <w:sz w:val="16"/>
              </w:rPr>
              <w:t>绩效目标。</w:t>
            </w:r>
          </w:p>
        </w:tc>
      </w:tr>
      <w:tr w14:paraId="7DF1D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62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A3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1D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EAB2">
            <w:pPr>
              <w:jc w:val="center"/>
            </w:pPr>
            <w:r>
              <w:rPr>
                <w:rFonts w:ascii="宋体" w:hAnsi="宋体" w:eastAsia="宋体"/>
                <w:sz w:val="16"/>
              </w:rPr>
              <w:t>组织参加培训学习考察次数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0EA9">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02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D1D8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185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2D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4A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461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8DE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5957C">
            <w:pPr>
              <w:jc w:val="center"/>
            </w:pPr>
          </w:p>
        </w:tc>
      </w:tr>
      <w:tr w14:paraId="26822F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64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CD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E8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2D4CE">
            <w:pPr>
              <w:jc w:val="center"/>
            </w:pPr>
            <w:r>
              <w:rPr>
                <w:rFonts w:ascii="宋体" w:hAnsi="宋体" w:eastAsia="宋体"/>
                <w:sz w:val="16"/>
              </w:rPr>
              <w:t>开展活动参与率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E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2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58A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DC3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FF8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EA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7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121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6C32">
            <w:pPr>
              <w:jc w:val="center"/>
            </w:pPr>
          </w:p>
        </w:tc>
      </w:tr>
      <w:tr w14:paraId="3B9E4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0C2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7CE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C189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632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E6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8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A6BE2">
            <w:pPr>
              <w:jc w:val="center"/>
            </w:pPr>
            <w:r>
              <w:rPr>
                <w:rFonts w:ascii="宋体" w:hAnsi="宋体" w:eastAsia="宋体"/>
                <w:sz w:val="16"/>
              </w:rPr>
              <w:t>72.28%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81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0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9A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F73D">
            <w:pPr>
              <w:jc w:val="center"/>
            </w:pPr>
            <w:r>
              <w:rPr>
                <w:rFonts w:ascii="宋体" w:hAnsi="宋体" w:eastAsia="宋体"/>
                <w:sz w:val="16"/>
              </w:rPr>
              <w:t>=71.44%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1C7C">
            <w:pPr>
              <w:jc w:val="center"/>
            </w:pPr>
            <w:r>
              <w:rPr>
                <w:rFonts w:ascii="宋体" w:hAnsi="宋体" w:eastAsia="宋体"/>
                <w:sz w:val="16"/>
              </w:rPr>
              <w:t>2.86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98855">
            <w:pPr>
              <w:jc w:val="center"/>
            </w:pPr>
            <w:r>
              <w:rPr>
                <w:rFonts w:ascii="宋体" w:hAnsi="宋体" w:eastAsia="宋体"/>
                <w:sz w:val="16"/>
              </w:rPr>
              <w:t>偏差原因：项目绩效目标指标设置不够精准，导致本年度预算资金与实际执行率偏差较大。改进措施：根据工委工作要点科学制定项目实施方案，精准设置项目绩效目标，督促项目负责人根据方案尽早执行加快进度，提高资金使用效益。</w:t>
            </w:r>
          </w:p>
        </w:tc>
      </w:tr>
      <w:tr w14:paraId="592C4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FB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D3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A0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38F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76B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B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5A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82E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4D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1F5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FF2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C71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C9C64">
            <w:pPr>
              <w:jc w:val="center"/>
            </w:pPr>
          </w:p>
        </w:tc>
      </w:tr>
      <w:tr w14:paraId="08417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29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0136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08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F074E">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61EF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66A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CD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9E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F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E7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1749">
            <w:pPr>
              <w:jc w:val="center"/>
            </w:pPr>
            <w:r>
              <w:rPr>
                <w:rFonts w:ascii="宋体" w:hAnsi="宋体" w:eastAsia="宋体"/>
                <w:sz w:val="16"/>
              </w:rPr>
              <w:t>=28.6%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D6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0F395">
            <w:pPr>
              <w:jc w:val="center"/>
            </w:pPr>
          </w:p>
        </w:tc>
      </w:tr>
      <w:tr w14:paraId="3A548B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119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5A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22FA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839C">
            <w:pPr>
              <w:jc w:val="center"/>
            </w:pPr>
            <w:r>
              <w:rPr>
                <w:rFonts w:ascii="宋体" w:hAnsi="宋体" w:eastAsia="宋体"/>
                <w:sz w:val="16"/>
              </w:rPr>
              <w:t>提升人大干部和代表履职水平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B2AB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042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CDA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80A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09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D9D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A89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5FB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AED16">
            <w:pPr>
              <w:jc w:val="center"/>
            </w:pPr>
          </w:p>
        </w:tc>
      </w:tr>
      <w:tr w14:paraId="00251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912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A2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64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DF51">
            <w:pPr>
              <w:jc w:val="center"/>
            </w:pPr>
            <w:r>
              <w:rPr>
                <w:rFonts w:ascii="宋体" w:hAnsi="宋体" w:eastAsia="宋体"/>
                <w:sz w:val="16"/>
              </w:rPr>
              <w:t>参加培训学习考察人员满意度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D2D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C9B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0DD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F1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4314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AE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2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B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B2034">
            <w:pPr>
              <w:jc w:val="center"/>
            </w:pPr>
          </w:p>
        </w:tc>
      </w:tr>
      <w:tr w14:paraId="5C22016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426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DF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2E15">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3E667A">
            <w:pPr>
              <w:jc w:val="center"/>
            </w:pPr>
            <w:r>
              <w:rPr>
                <w:rFonts w:ascii="宋体" w:hAnsi="宋体" w:eastAsia="宋体"/>
                <w:sz w:val="16"/>
              </w:rPr>
              <w:t>85.72分</w:t>
            </w:r>
          </w:p>
        </w:tc>
      </w:tr>
    </w:tbl>
    <w:p w14:paraId="4C9BFDA9">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23"/>
        <w:gridCol w:w="856"/>
        <w:gridCol w:w="609"/>
        <w:gridCol w:w="696"/>
        <w:gridCol w:w="609"/>
        <w:gridCol w:w="609"/>
        <w:gridCol w:w="609"/>
        <w:gridCol w:w="776"/>
        <w:gridCol w:w="629"/>
        <w:gridCol w:w="579"/>
        <w:gridCol w:w="624"/>
      </w:tblGrid>
      <w:tr w14:paraId="2A8DF40F">
        <w:tblPrEx>
          <w:tblCellMar>
            <w:top w:w="0" w:type="dxa"/>
            <w:left w:w="108" w:type="dxa"/>
            <w:bottom w:w="0" w:type="dxa"/>
            <w:right w:w="108" w:type="dxa"/>
          </w:tblCellMar>
        </w:tblPrEx>
        <w:tc>
          <w:tcPr>
            <w:tcW w:w="8848" w:type="dxa"/>
            <w:gridSpan w:val="14"/>
            <w:vAlign w:val="center"/>
          </w:tcPr>
          <w:p w14:paraId="68111882">
            <w:pPr>
              <w:jc w:val="center"/>
            </w:pPr>
            <w:r>
              <w:rPr>
                <w:rFonts w:ascii="宋体" w:hAnsi="宋体" w:eastAsia="宋体"/>
                <w:sz w:val="24"/>
              </w:rPr>
              <w:t>项目支出绩效自评表</w:t>
            </w:r>
          </w:p>
        </w:tc>
      </w:tr>
      <w:tr w14:paraId="627FA480">
        <w:tblPrEx>
          <w:tblCellMar>
            <w:top w:w="0" w:type="dxa"/>
            <w:left w:w="108" w:type="dxa"/>
            <w:bottom w:w="0" w:type="dxa"/>
            <w:right w:w="108" w:type="dxa"/>
          </w:tblCellMar>
        </w:tblPrEx>
        <w:tc>
          <w:tcPr>
            <w:tcW w:w="8848" w:type="dxa"/>
            <w:gridSpan w:val="14"/>
            <w:vAlign w:val="center"/>
          </w:tcPr>
          <w:p w14:paraId="7377A92D">
            <w:pPr>
              <w:jc w:val="center"/>
            </w:pPr>
            <w:r>
              <w:rPr>
                <w:rFonts w:ascii="宋体" w:hAnsi="宋体" w:eastAsia="宋体"/>
                <w:sz w:val="24"/>
              </w:rPr>
              <w:t>(2024年度)</w:t>
            </w:r>
          </w:p>
        </w:tc>
      </w:tr>
      <w:tr w14:paraId="1AAF68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219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66FD5F">
            <w:pPr>
              <w:jc w:val="center"/>
            </w:pPr>
            <w:r>
              <w:rPr>
                <w:rFonts w:ascii="宋体" w:hAnsi="宋体" w:eastAsia="宋体"/>
                <w:sz w:val="16"/>
              </w:rPr>
              <w:t>人大预算联网监督工作项目</w:t>
            </w:r>
          </w:p>
        </w:tc>
      </w:tr>
      <w:tr w14:paraId="403B04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15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A3B80">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621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D48B6F">
            <w:pPr>
              <w:jc w:val="center"/>
            </w:pPr>
            <w:r>
              <w:rPr>
                <w:rFonts w:ascii="宋体" w:hAnsi="宋体" w:eastAsia="宋体"/>
                <w:sz w:val="16"/>
              </w:rPr>
              <w:t>新疆维吾尔自治区人大常委会喀什地区工作委员会</w:t>
            </w:r>
          </w:p>
        </w:tc>
      </w:tr>
      <w:tr w14:paraId="6CA3FA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2D9F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D03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E77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79C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7A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541B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122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A9FE3">
            <w:pPr>
              <w:jc w:val="center"/>
            </w:pPr>
            <w:r>
              <w:rPr>
                <w:rFonts w:ascii="宋体" w:hAnsi="宋体" w:eastAsia="宋体"/>
                <w:sz w:val="16"/>
              </w:rPr>
              <w:t>得分</w:t>
            </w:r>
          </w:p>
        </w:tc>
      </w:tr>
      <w:tr w14:paraId="0D050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A3B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34F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2C4DA">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13817">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E6622">
            <w:pPr>
              <w:jc w:val="center"/>
            </w:pPr>
            <w:r>
              <w:rPr>
                <w:rFonts w:ascii="宋体" w:hAnsi="宋体" w:eastAsia="宋体"/>
                <w:sz w:val="16"/>
              </w:rPr>
              <w:t>28.83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2FB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49C8F">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F783">
            <w:pPr>
              <w:jc w:val="center"/>
            </w:pPr>
            <w:r>
              <w:rPr>
                <w:rFonts w:ascii="宋体" w:hAnsi="宋体" w:eastAsia="宋体"/>
                <w:sz w:val="16"/>
              </w:rPr>
              <w:t>9.98分</w:t>
            </w:r>
          </w:p>
        </w:tc>
      </w:tr>
      <w:tr w14:paraId="5B02C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42D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140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48B9B">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CB7D5">
            <w:pPr>
              <w:jc w:val="center"/>
            </w:pPr>
            <w:r>
              <w:rPr>
                <w:rFonts w:ascii="宋体" w:hAnsi="宋体" w:eastAsia="宋体"/>
                <w:sz w:val="16"/>
              </w:rPr>
              <w:t>28.86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43F6D">
            <w:pPr>
              <w:jc w:val="center"/>
            </w:pPr>
            <w:r>
              <w:rPr>
                <w:rFonts w:ascii="宋体" w:hAnsi="宋体" w:eastAsia="宋体"/>
                <w:sz w:val="16"/>
              </w:rPr>
              <w:t>28.83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3395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3A2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4366">
            <w:pPr>
              <w:jc w:val="center"/>
            </w:pPr>
            <w:r>
              <w:rPr>
                <w:rFonts w:ascii="宋体" w:hAnsi="宋体" w:eastAsia="宋体"/>
                <w:sz w:val="16"/>
              </w:rPr>
              <w:t>—</w:t>
            </w:r>
          </w:p>
        </w:tc>
      </w:tr>
      <w:tr w14:paraId="36C5FA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1E6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CE6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B69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26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C52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4EA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5A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F639">
            <w:pPr>
              <w:jc w:val="center"/>
            </w:pPr>
            <w:r>
              <w:rPr>
                <w:rFonts w:ascii="宋体" w:hAnsi="宋体" w:eastAsia="宋体"/>
                <w:sz w:val="16"/>
              </w:rPr>
              <w:t>—</w:t>
            </w:r>
          </w:p>
        </w:tc>
      </w:tr>
      <w:tr w14:paraId="3759B8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F8F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1810F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701F3">
            <w:pPr>
              <w:jc w:val="center"/>
            </w:pPr>
            <w:r>
              <w:rPr>
                <w:rFonts w:ascii="宋体" w:hAnsi="宋体" w:eastAsia="宋体"/>
                <w:sz w:val="16"/>
              </w:rPr>
              <w:t>实际完成情况</w:t>
            </w:r>
          </w:p>
        </w:tc>
      </w:tr>
      <w:tr w14:paraId="2BCF0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1AA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E9C3D">
            <w:pPr>
              <w:jc w:val="both"/>
            </w:pPr>
            <w:r>
              <w:rPr>
                <w:rFonts w:ascii="宋体" w:hAnsi="宋体" w:eastAsia="宋体"/>
                <w:sz w:val="16"/>
              </w:rPr>
              <w:t>为深化预算联网监督服务中心信息化、智慧化，大数据分析直观有效，维护地区本级系统数量1套，租用云平台服务器数量5台，租用网络数量1条，全年培训、指导检查、学习交流次数不少于3次，为地区人大工委和人大代表开展预算审查监督等提供相关服务，确保人大预算联网监督工作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B858F2">
            <w:pPr>
              <w:jc w:val="both"/>
            </w:pPr>
            <w:r>
              <w:rPr>
                <w:rFonts w:ascii="宋体" w:hAnsi="宋体" w:eastAsia="宋体"/>
                <w:sz w:val="16"/>
              </w:rPr>
              <w:t>维护地区本级系统数量1套，租用云平台服务器数量5台，租用网络数量1条，全年培训、指导检查2次，项目的实施，确保预算联网监督系统为人大工委和人大代表开展预算审查监督等提供相关服务，并确保</w:t>
            </w:r>
            <w:r>
              <w:rPr>
                <w:rFonts w:hint="eastAsia" w:ascii="宋体" w:hAnsi="宋体"/>
                <w:sz w:val="16"/>
                <w:lang w:eastAsia="zh-CN"/>
              </w:rPr>
              <w:t>了</w:t>
            </w:r>
            <w:r>
              <w:rPr>
                <w:rFonts w:ascii="宋体" w:hAnsi="宋体" w:eastAsia="宋体"/>
                <w:sz w:val="16"/>
              </w:rPr>
              <w:t>预算联网监督工作正常运转。</w:t>
            </w:r>
          </w:p>
        </w:tc>
      </w:tr>
      <w:tr w14:paraId="63E0AA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66D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823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5E7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C5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04D1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C3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3C7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F73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157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2B5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54E2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267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43971">
            <w:pPr>
              <w:jc w:val="center"/>
            </w:pPr>
            <w:r>
              <w:rPr>
                <w:rFonts w:ascii="宋体" w:hAnsi="宋体" w:eastAsia="宋体"/>
                <w:sz w:val="16"/>
              </w:rPr>
              <w:t>偏差原因分析及改进措施</w:t>
            </w:r>
          </w:p>
        </w:tc>
      </w:tr>
      <w:tr w14:paraId="776695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C563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463D0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DF7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3076C">
            <w:pPr>
              <w:jc w:val="center"/>
            </w:pPr>
            <w:r>
              <w:rPr>
                <w:rFonts w:ascii="宋体" w:hAnsi="宋体" w:eastAsia="宋体"/>
                <w:sz w:val="16"/>
              </w:rPr>
              <w:t>维护地区本级系统数量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90C7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01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2AC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BB0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52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5F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A291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52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ADB68">
            <w:pPr>
              <w:jc w:val="center"/>
            </w:pPr>
          </w:p>
        </w:tc>
      </w:tr>
      <w:tr w14:paraId="3CE5C6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66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E9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F3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8798E">
            <w:pPr>
              <w:jc w:val="center"/>
            </w:pPr>
            <w:r>
              <w:rPr>
                <w:rFonts w:ascii="宋体" w:hAnsi="宋体" w:eastAsia="宋体"/>
                <w:sz w:val="16"/>
              </w:rPr>
              <w:t>租用云平台服务器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B172">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1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4B4CB">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67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91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49E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251B">
            <w:pPr>
              <w:jc w:val="center"/>
            </w:pPr>
            <w:r>
              <w:rPr>
                <w:rFonts w:ascii="宋体" w:hAnsi="宋体" w:eastAsia="宋体"/>
                <w:sz w:val="16"/>
              </w:rPr>
              <w: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CD6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825AF">
            <w:pPr>
              <w:jc w:val="center"/>
            </w:pPr>
          </w:p>
        </w:tc>
      </w:tr>
      <w:tr w14:paraId="646DA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4F7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833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5AE7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FABAA">
            <w:pPr>
              <w:jc w:val="center"/>
            </w:pPr>
            <w:r>
              <w:rPr>
                <w:rFonts w:ascii="宋体" w:hAnsi="宋体" w:eastAsia="宋体"/>
                <w:sz w:val="16"/>
              </w:rPr>
              <w:t>租用电子政务外网电路数量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5E574">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E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B2103">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104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EA8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E3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6728">
            <w:pPr>
              <w:jc w:val="center"/>
            </w:pPr>
            <w:r>
              <w:rPr>
                <w:rFonts w:ascii="宋体" w:hAnsi="宋体" w:eastAsia="宋体"/>
                <w:sz w:val="16"/>
              </w:rPr>
              <w:t>=1条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F6F21">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15441">
            <w:pPr>
              <w:jc w:val="center"/>
            </w:pPr>
          </w:p>
        </w:tc>
      </w:tr>
      <w:tr w14:paraId="68B1B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B98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C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6F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FEB2">
            <w:pPr>
              <w:jc w:val="center"/>
            </w:pPr>
            <w:r>
              <w:rPr>
                <w:rFonts w:ascii="宋体" w:hAnsi="宋体" w:eastAsia="宋体"/>
                <w:sz w:val="16"/>
              </w:rPr>
              <w:t>全年培训、指导检查、调研次数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611C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0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5BE8">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5742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9C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35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9695">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F757">
            <w:pPr>
              <w:jc w:val="center"/>
            </w:pPr>
            <w:r>
              <w:rPr>
                <w:rFonts w:ascii="宋体" w:hAnsi="宋体" w:eastAsia="宋体"/>
                <w:sz w:val="16"/>
              </w:rPr>
              <w:t>0.33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CE147">
            <w:pPr>
              <w:jc w:val="center"/>
            </w:pPr>
            <w:r>
              <w:rPr>
                <w:rFonts w:ascii="宋体" w:hAnsi="宋体" w:eastAsia="宋体"/>
                <w:sz w:val="16"/>
              </w:rPr>
              <w:t>偏差原因：项目科室未按工作方案实施，导致项目实施有偏差。改进措施：督促项目负责人根据项目实施方案加快工作进度，根据工作实际调整工作计划后，及时对项目绩效目标进行调整。</w:t>
            </w:r>
          </w:p>
        </w:tc>
      </w:tr>
      <w:tr w14:paraId="1C9678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001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34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05C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B560">
            <w:pPr>
              <w:jc w:val="center"/>
            </w:pPr>
            <w:r>
              <w:rPr>
                <w:rFonts w:ascii="宋体" w:hAnsi="宋体" w:eastAsia="宋体"/>
                <w:sz w:val="16"/>
              </w:rPr>
              <w:t>购置办公设备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C568">
            <w:pPr>
              <w:jc w:val="center"/>
            </w:pPr>
            <w:r>
              <w:rPr>
                <w:rFonts w:ascii="宋体" w:hAnsi="宋体" w:eastAsia="宋体"/>
                <w:sz w:val="16"/>
              </w:rPr>
              <w:t>&gt;=2台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14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9864">
            <w:pPr>
              <w:jc w:val="center"/>
            </w:pPr>
            <w:r>
              <w:rPr>
                <w:rFonts w:ascii="宋体" w:hAnsi="宋体" w:eastAsia="宋体"/>
                <w:sz w:val="16"/>
              </w:rPr>
              <w:t>4台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42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08B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1D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2F32">
            <w:pPr>
              <w:jc w:val="center"/>
            </w:pPr>
            <w:r>
              <w:rPr>
                <w:rFonts w:ascii="宋体" w:hAnsi="宋体" w:eastAsia="宋体"/>
                <w:sz w:val="16"/>
              </w:rPr>
              <w:t>=2台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781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54EF1">
            <w:pPr>
              <w:jc w:val="center"/>
            </w:pPr>
          </w:p>
        </w:tc>
      </w:tr>
      <w:tr w14:paraId="308215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5A6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1B0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9A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2CC1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5C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E99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48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4E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7DC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AB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EE3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376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EC571">
            <w:pPr>
              <w:jc w:val="center"/>
            </w:pPr>
          </w:p>
        </w:tc>
      </w:tr>
      <w:tr w14:paraId="248C51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CB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432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F96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4D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F13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97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1C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E55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3C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9D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6E38">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67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1D0BA">
            <w:pPr>
              <w:jc w:val="center"/>
            </w:pPr>
          </w:p>
        </w:tc>
      </w:tr>
      <w:tr w14:paraId="1A7BC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B12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A6190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9A2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2DBA">
            <w:pPr>
              <w:jc w:val="center"/>
            </w:pPr>
            <w:r>
              <w:rPr>
                <w:rFonts w:ascii="宋体" w:hAnsi="宋体" w:eastAsia="宋体"/>
                <w:sz w:val="16"/>
              </w:rPr>
              <w:t>维护地区本级系统运行成本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5EC92">
            <w:pPr>
              <w:jc w:val="center"/>
            </w:pPr>
            <w:r>
              <w:rPr>
                <w:rFonts w:ascii="宋体" w:hAnsi="宋体" w:eastAsia="宋体"/>
                <w:sz w:val="16"/>
              </w:rPr>
              <w:t>&lt;=116940元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C3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A431">
            <w:pPr>
              <w:jc w:val="center"/>
            </w:pPr>
            <w:r>
              <w:rPr>
                <w:rFonts w:ascii="宋体" w:hAnsi="宋体" w:eastAsia="宋体"/>
                <w:sz w:val="16"/>
              </w:rPr>
              <w:t>116940元/年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62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F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654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C56F">
            <w:pPr>
              <w:jc w:val="center"/>
            </w:pPr>
            <w:r>
              <w:rPr>
                <w:rFonts w:ascii="宋体" w:hAnsi="宋体" w:eastAsia="宋体"/>
                <w:sz w:val="16"/>
              </w:rPr>
              <w:t>=116940元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0D7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8E7FA">
            <w:pPr>
              <w:jc w:val="center"/>
            </w:pPr>
          </w:p>
        </w:tc>
      </w:tr>
      <w:tr w14:paraId="0BF14F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D18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8F4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E9B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B6E0">
            <w:pPr>
              <w:jc w:val="center"/>
            </w:pPr>
            <w:r>
              <w:rPr>
                <w:rFonts w:ascii="宋体" w:hAnsi="宋体" w:eastAsia="宋体"/>
                <w:sz w:val="16"/>
              </w:rPr>
              <w:t>租用云平台服务器成本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A58C4">
            <w:pPr>
              <w:jc w:val="center"/>
            </w:pPr>
            <w:r>
              <w:rPr>
                <w:rFonts w:ascii="宋体" w:hAnsi="宋体" w:eastAsia="宋体"/>
                <w:sz w:val="16"/>
              </w:rPr>
              <w:t>&lt;=26372元/台/年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7F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0E43">
            <w:pPr>
              <w:jc w:val="center"/>
            </w:pPr>
            <w:r>
              <w:rPr>
                <w:rFonts w:ascii="宋体" w:hAnsi="宋体" w:eastAsia="宋体"/>
                <w:sz w:val="16"/>
              </w:rPr>
              <w: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942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DF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17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8E29">
            <w:pPr>
              <w:jc w:val="center"/>
            </w:pPr>
            <w:r>
              <w:rPr>
                <w:rFonts w:ascii="宋体" w:hAnsi="宋体" w:eastAsia="宋体"/>
                <w:sz w:val="16"/>
              </w:rPr>
              <w:t>=26372元/台/年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534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365A1">
            <w:pPr>
              <w:jc w:val="center"/>
            </w:pPr>
          </w:p>
        </w:tc>
      </w:tr>
      <w:tr w14:paraId="74FF9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1D2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0E2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B1A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3A1D">
            <w:pPr>
              <w:jc w:val="center"/>
            </w:pPr>
            <w:r>
              <w:rPr>
                <w:rFonts w:ascii="宋体" w:hAnsi="宋体" w:eastAsia="宋体"/>
                <w:sz w:val="16"/>
              </w:rPr>
              <w:t>租用电子政务外网成本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146E">
            <w:pPr>
              <w:jc w:val="center"/>
            </w:pPr>
            <w:r>
              <w:rPr>
                <w:rFonts w:ascii="宋体" w:hAnsi="宋体" w:eastAsia="宋体"/>
                <w:sz w:val="16"/>
              </w:rPr>
              <w:t>&lt;=1200元/年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6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DC3E1">
            <w:pPr>
              <w:jc w:val="center"/>
            </w:pPr>
            <w:r>
              <w:rPr>
                <w:rFonts w:ascii="宋体" w:hAnsi="宋体" w:eastAsia="宋体"/>
                <w:sz w:val="16"/>
              </w:rPr>
              <w: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E3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DCC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02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2E7B">
            <w:pPr>
              <w:jc w:val="center"/>
            </w:pPr>
            <w:r>
              <w:rPr>
                <w:rFonts w:ascii="宋体" w:hAnsi="宋体" w:eastAsia="宋体"/>
                <w:sz w:val="16"/>
              </w:rPr>
              <w:t>=1200元/年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17124">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69F0">
            <w:pPr>
              <w:jc w:val="center"/>
            </w:pPr>
          </w:p>
        </w:tc>
      </w:tr>
      <w:tr w14:paraId="6A1A69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7A4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40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63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BD23">
            <w:pPr>
              <w:jc w:val="center"/>
            </w:pPr>
            <w:r>
              <w:rPr>
                <w:rFonts w:ascii="宋体" w:hAnsi="宋体" w:eastAsia="宋体"/>
                <w:sz w:val="16"/>
              </w:rPr>
              <w:t>保障全年培训、指导检查、调研，包括差旅费、交通费、培训费等成本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2BBF0">
            <w:pPr>
              <w:jc w:val="center"/>
            </w:pPr>
            <w:r>
              <w:rPr>
                <w:rFonts w:ascii="宋体" w:hAnsi="宋体" w:eastAsia="宋体"/>
                <w:sz w:val="16"/>
              </w:rPr>
              <w:t>&lt;=30700元/年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79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8A66">
            <w:pPr>
              <w:jc w:val="center"/>
            </w:pPr>
            <w:r>
              <w:rPr>
                <w:rFonts w:ascii="宋体" w:hAnsi="宋体" w:eastAsia="宋体"/>
                <w:sz w:val="16"/>
              </w:rPr>
              <w:t>28500元/年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C6ED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829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3D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EACCE">
            <w:pPr>
              <w:jc w:val="center"/>
            </w:pPr>
            <w:r>
              <w:rPr>
                <w:rFonts w:ascii="宋体" w:hAnsi="宋体" w:eastAsia="宋体"/>
                <w:sz w:val="16"/>
              </w:rPr>
              <w:t>=30385元/年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DE210">
            <w:pPr>
              <w:jc w:val="center"/>
            </w:pPr>
            <w:r>
              <w:rPr>
                <w:rFonts w:ascii="宋体" w:hAnsi="宋体" w:eastAsia="宋体"/>
                <w:sz w:val="16"/>
              </w:rPr>
              <w:t>1.95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A73D3">
            <w:pPr>
              <w:jc w:val="center"/>
            </w:pPr>
            <w:r>
              <w:rPr>
                <w:rFonts w:ascii="宋体" w:hAnsi="宋体" w:eastAsia="宋体"/>
                <w:sz w:val="16"/>
              </w:rPr>
              <w:t>偏差原因：对项目的实施没有精准测算，年底资金未使用完毕导致资金有偏差。改进措施：督促项目负责人科学制定实施方案、精准设置项目绩效目标。</w:t>
            </w:r>
          </w:p>
        </w:tc>
      </w:tr>
      <w:tr w14:paraId="6606EA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AD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F67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D59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4DE2">
            <w:pPr>
              <w:jc w:val="center"/>
            </w:pPr>
            <w:r>
              <w:rPr>
                <w:rFonts w:ascii="宋体" w:hAnsi="宋体" w:eastAsia="宋体"/>
                <w:sz w:val="16"/>
              </w:rPr>
              <w:t>购置办公设备成本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928C">
            <w:pPr>
              <w:jc w:val="center"/>
            </w:pPr>
            <w:r>
              <w:rPr>
                <w:rFonts w:ascii="宋体" w:hAnsi="宋体" w:eastAsia="宋体"/>
                <w:sz w:val="16"/>
              </w:rPr>
              <w:t>&lt;=3950元/台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40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2519E">
            <w:pPr>
              <w:jc w:val="center"/>
            </w:pPr>
            <w:r>
              <w:rPr>
                <w:rFonts w:ascii="宋体" w:hAnsi="宋体" w:eastAsia="宋体"/>
                <w:sz w:val="16"/>
              </w:rPr>
              <w:t>2525元/台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B5A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AD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A2A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12E9">
            <w:pPr>
              <w:jc w:val="center"/>
            </w:pPr>
            <w:r>
              <w:rPr>
                <w:rFonts w:ascii="宋体" w:hAnsi="宋体" w:eastAsia="宋体"/>
                <w:sz w:val="16"/>
              </w:rPr>
              <w:t>=3950元/台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5C4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AAC15">
            <w:pPr>
              <w:jc w:val="center"/>
            </w:pPr>
          </w:p>
        </w:tc>
      </w:tr>
      <w:tr w14:paraId="1B3EC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3AF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DDE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53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C4EE">
            <w:pPr>
              <w:jc w:val="center"/>
            </w:pPr>
            <w:r>
              <w:rPr>
                <w:rFonts w:ascii="宋体" w:hAnsi="宋体" w:eastAsia="宋体"/>
                <w:sz w:val="16"/>
              </w:rPr>
              <w:t>有效提升人大预算联网监督质效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DAF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7C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4AC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21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0E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48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75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85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09E9F">
            <w:pPr>
              <w:jc w:val="center"/>
            </w:pPr>
          </w:p>
        </w:tc>
      </w:tr>
      <w:tr w14:paraId="6E831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30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50C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E8E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7C674">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8E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D7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7DC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BA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98E6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9C0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C63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4D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51B8">
            <w:pPr>
              <w:jc w:val="center"/>
            </w:pPr>
          </w:p>
        </w:tc>
      </w:tr>
      <w:tr w14:paraId="781FD2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EA6F9">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49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2CA8">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35D5EE">
            <w:pPr>
              <w:jc w:val="center"/>
            </w:pPr>
            <w:r>
              <w:rPr>
                <w:rFonts w:ascii="宋体" w:hAnsi="宋体" w:eastAsia="宋体"/>
                <w:sz w:val="16"/>
              </w:rPr>
              <w:t>98.26分</w:t>
            </w:r>
          </w:p>
        </w:tc>
      </w:tr>
    </w:tbl>
    <w:p w14:paraId="1673BCD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856"/>
        <w:gridCol w:w="625"/>
        <w:gridCol w:w="625"/>
        <w:gridCol w:w="625"/>
        <w:gridCol w:w="625"/>
        <w:gridCol w:w="625"/>
        <w:gridCol w:w="696"/>
        <w:gridCol w:w="631"/>
        <w:gridCol w:w="615"/>
        <w:gridCol w:w="633"/>
      </w:tblGrid>
      <w:tr w14:paraId="07E54962">
        <w:tblPrEx>
          <w:tblCellMar>
            <w:top w:w="0" w:type="dxa"/>
            <w:left w:w="108" w:type="dxa"/>
            <w:bottom w:w="0" w:type="dxa"/>
            <w:right w:w="108" w:type="dxa"/>
          </w:tblCellMar>
        </w:tblPrEx>
        <w:tc>
          <w:tcPr>
            <w:tcW w:w="8848" w:type="dxa"/>
            <w:gridSpan w:val="14"/>
            <w:vAlign w:val="center"/>
          </w:tcPr>
          <w:p w14:paraId="2EE9E459">
            <w:pPr>
              <w:jc w:val="center"/>
            </w:pPr>
            <w:r>
              <w:rPr>
                <w:rFonts w:ascii="宋体" w:hAnsi="宋体" w:eastAsia="宋体"/>
                <w:sz w:val="24"/>
              </w:rPr>
              <w:t>项目支出绩效自评表</w:t>
            </w:r>
          </w:p>
        </w:tc>
      </w:tr>
      <w:tr w14:paraId="467D2CE3">
        <w:tblPrEx>
          <w:tblCellMar>
            <w:top w:w="0" w:type="dxa"/>
            <w:left w:w="108" w:type="dxa"/>
            <w:bottom w:w="0" w:type="dxa"/>
            <w:right w:w="108" w:type="dxa"/>
          </w:tblCellMar>
        </w:tblPrEx>
        <w:tc>
          <w:tcPr>
            <w:tcW w:w="8848" w:type="dxa"/>
            <w:gridSpan w:val="14"/>
            <w:vAlign w:val="center"/>
          </w:tcPr>
          <w:p w14:paraId="09D635B3">
            <w:pPr>
              <w:jc w:val="center"/>
            </w:pPr>
            <w:r>
              <w:rPr>
                <w:rFonts w:ascii="宋体" w:hAnsi="宋体" w:eastAsia="宋体"/>
                <w:sz w:val="24"/>
              </w:rPr>
              <w:t>(2024年度)</w:t>
            </w:r>
          </w:p>
        </w:tc>
      </w:tr>
      <w:tr w14:paraId="6299CA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8B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82B3E9">
            <w:pPr>
              <w:jc w:val="center"/>
            </w:pPr>
            <w:r>
              <w:rPr>
                <w:rFonts w:ascii="宋体" w:hAnsi="宋体" w:eastAsia="宋体"/>
                <w:sz w:val="16"/>
              </w:rPr>
              <w:t>人大预算联网监督系统续（扩）建项目</w:t>
            </w:r>
          </w:p>
        </w:tc>
      </w:tr>
      <w:tr w14:paraId="5D4E66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C9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A72CE7">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59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219B82">
            <w:pPr>
              <w:jc w:val="center"/>
            </w:pPr>
            <w:r>
              <w:rPr>
                <w:rFonts w:ascii="宋体" w:hAnsi="宋体" w:eastAsia="宋体"/>
                <w:sz w:val="16"/>
              </w:rPr>
              <w:t>新疆维吾尔自治区人大常委会喀什地区工作委员会</w:t>
            </w:r>
          </w:p>
        </w:tc>
      </w:tr>
      <w:tr w14:paraId="1E1D23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0C6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DC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293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8AA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D1B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5CB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9C04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BEDE">
            <w:pPr>
              <w:jc w:val="center"/>
            </w:pPr>
            <w:r>
              <w:rPr>
                <w:rFonts w:ascii="宋体" w:hAnsi="宋体" w:eastAsia="宋体"/>
                <w:sz w:val="16"/>
              </w:rPr>
              <w:t>得分</w:t>
            </w:r>
          </w:p>
        </w:tc>
      </w:tr>
      <w:tr w14:paraId="59471F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C4F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7E97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EEFEC">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E5913">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879E1">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709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7F3E9">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C8EF">
            <w:pPr>
              <w:jc w:val="center"/>
            </w:pPr>
            <w:r>
              <w:rPr>
                <w:rFonts w:ascii="宋体" w:hAnsi="宋体" w:eastAsia="宋体"/>
                <w:sz w:val="16"/>
              </w:rPr>
              <w:t>10.00分</w:t>
            </w:r>
          </w:p>
        </w:tc>
      </w:tr>
      <w:tr w14:paraId="5DE66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F0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51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F9CDE">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BFE1F">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9B1FE">
            <w:pPr>
              <w:jc w:val="center"/>
            </w:pPr>
            <w:r>
              <w:rPr>
                <w:rFonts w:ascii="宋体" w:hAnsi="宋体" w:eastAsia="宋体"/>
                <w:sz w:val="16"/>
              </w:rPr>
              <w:t>118.00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3BC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1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948F">
            <w:pPr>
              <w:jc w:val="center"/>
            </w:pPr>
            <w:r>
              <w:rPr>
                <w:rFonts w:ascii="宋体" w:hAnsi="宋体" w:eastAsia="宋体"/>
                <w:sz w:val="16"/>
              </w:rPr>
              <w:t>—</w:t>
            </w:r>
          </w:p>
        </w:tc>
      </w:tr>
      <w:tr w14:paraId="7B154C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CF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A5B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2F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925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26B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18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B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BBAE">
            <w:pPr>
              <w:jc w:val="center"/>
            </w:pPr>
            <w:r>
              <w:rPr>
                <w:rFonts w:ascii="宋体" w:hAnsi="宋体" w:eastAsia="宋体"/>
                <w:sz w:val="16"/>
              </w:rPr>
              <w:t>—</w:t>
            </w:r>
          </w:p>
        </w:tc>
      </w:tr>
      <w:tr w14:paraId="643AD9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DBC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C95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F34A88">
            <w:pPr>
              <w:jc w:val="center"/>
            </w:pPr>
            <w:r>
              <w:rPr>
                <w:rFonts w:ascii="宋体" w:hAnsi="宋体" w:eastAsia="宋体"/>
                <w:sz w:val="16"/>
              </w:rPr>
              <w:t>实际完成情况</w:t>
            </w:r>
          </w:p>
        </w:tc>
      </w:tr>
      <w:tr w14:paraId="28BE0F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9C9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8F6AFE">
            <w:pPr>
              <w:jc w:val="both"/>
            </w:pPr>
            <w:r>
              <w:rPr>
                <w:rFonts w:ascii="宋体" w:hAnsi="宋体" w:eastAsia="宋体"/>
                <w:sz w:val="16"/>
              </w:rPr>
              <w:t>根据自治区人大办公厅下发《关于印发〈自治区人大预算联网监督系统建设和使用发展中期规划实施方案〉的通知》要求，到2024年，预算联网监督系统数据连通范围进一步拓展。项目的实施，达到人大预算联网监督系统软件升级、模块扩建（包含国资、审计、政府债务、财政转移支付、重点支出、重大投资项目、收入监督、社保监督、代表服务（移动APP）</w:t>
            </w:r>
            <w:r>
              <w:rPr>
                <w:rFonts w:hint="eastAsia" w:ascii="宋体" w:hAnsi="宋体"/>
                <w:sz w:val="16"/>
                <w:lang w:eastAsia="zh-CN"/>
              </w:rPr>
              <w:t>九个</w:t>
            </w:r>
            <w:r>
              <w:rPr>
                <w:rFonts w:ascii="宋体" w:hAnsi="宋体" w:eastAsia="宋体"/>
                <w:sz w:val="16"/>
              </w:rPr>
              <w:t>模块），维护实施费用及上线后一年免费运维120万元。系统开展持续性维保，建立以数据驱动预算审查监督的高效数据信息共享交互体系，进一步提升人大预算审查工</w:t>
            </w:r>
            <w:r>
              <w:rPr>
                <w:rFonts w:hint="eastAsia" w:ascii="宋体" w:hAnsi="宋体"/>
                <w:sz w:val="16"/>
                <w:lang w:eastAsia="zh-CN"/>
              </w:rPr>
              <w:t>作的</w:t>
            </w:r>
            <w:r>
              <w:rPr>
                <w:rFonts w:ascii="宋体" w:hAnsi="宋体" w:eastAsia="宋体"/>
                <w:sz w:val="16"/>
              </w:rPr>
              <w:t>精准性和针对性。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D5E16B">
            <w:pPr>
              <w:jc w:val="both"/>
            </w:pPr>
            <w:r>
              <w:rPr>
                <w:rFonts w:ascii="宋体" w:hAnsi="宋体" w:eastAsia="宋体"/>
                <w:sz w:val="16"/>
              </w:rPr>
              <w:t>扩建国资、审计、政府债务、财政转移支付、重点支出、重大投资项目、收入监督、社保监督、代表服务（移动APP）</w:t>
            </w:r>
            <w:r>
              <w:rPr>
                <w:rFonts w:hint="eastAsia" w:ascii="宋体" w:hAnsi="宋体"/>
                <w:sz w:val="16"/>
                <w:lang w:eastAsia="zh-CN"/>
              </w:rPr>
              <w:t>九个</w:t>
            </w:r>
            <w:r>
              <w:rPr>
                <w:rFonts w:ascii="宋体" w:hAnsi="宋体" w:eastAsia="宋体"/>
                <w:sz w:val="16"/>
              </w:rPr>
              <w:t>模块，项目实施服务费118万元，项目的实施，使预算联网监督系统数据连通范围进一步拓展、达到人大预算联网监督系统软件升级、模块扩建，建立了以数据驱动预算审查监督的高效数据信息共享交互体系，使人大预算审查工作精准性和针对性得到进一步提升。</w:t>
            </w:r>
          </w:p>
        </w:tc>
      </w:tr>
      <w:tr w14:paraId="3F19A6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9C7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1DF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EE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E79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15EB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1C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6A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3BF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BA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47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62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C896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FC564">
            <w:pPr>
              <w:jc w:val="center"/>
            </w:pPr>
            <w:r>
              <w:rPr>
                <w:rFonts w:ascii="宋体" w:hAnsi="宋体" w:eastAsia="宋体"/>
                <w:sz w:val="16"/>
              </w:rPr>
              <w:t>偏差原因分析及改进措施</w:t>
            </w:r>
          </w:p>
        </w:tc>
      </w:tr>
      <w:tr w14:paraId="157512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290E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741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D2B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9B4E">
            <w:pPr>
              <w:jc w:val="center"/>
            </w:pPr>
            <w:r>
              <w:rPr>
                <w:rFonts w:ascii="宋体" w:hAnsi="宋体" w:eastAsia="宋体"/>
                <w:sz w:val="16"/>
              </w:rPr>
              <w:t>预算联网监督系统模块扩建数量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6581">
            <w:pPr>
              <w:jc w:val="center"/>
            </w:pPr>
            <w:r>
              <w:rPr>
                <w:rFonts w:ascii="宋体" w:hAnsi="宋体" w:eastAsia="宋体"/>
                <w:sz w:val="16"/>
              </w:rPr>
              <w:t>&gt;=9个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56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8ED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E02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C7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A9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24497">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19F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7CB01">
            <w:pPr>
              <w:jc w:val="center"/>
            </w:pPr>
          </w:p>
        </w:tc>
      </w:tr>
      <w:tr w14:paraId="4FDD6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91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37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E2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9F29">
            <w:pPr>
              <w:jc w:val="center"/>
            </w:pPr>
            <w:r>
              <w:rPr>
                <w:rFonts w:ascii="宋体" w:hAnsi="宋体" w:eastAsia="宋体"/>
                <w:sz w:val="16"/>
              </w:rPr>
              <w:t>预算联网监督功能升级项目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3DB0">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44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66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34E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CC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82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7C4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66B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7F563">
            <w:pPr>
              <w:jc w:val="center"/>
            </w:pPr>
          </w:p>
        </w:tc>
      </w:tr>
      <w:tr w14:paraId="5DE1B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8EE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0E2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60DA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81E5">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8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E3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B3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82A6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EC4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AA8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54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A9D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09CF">
            <w:pPr>
              <w:jc w:val="center"/>
            </w:pPr>
          </w:p>
        </w:tc>
      </w:tr>
      <w:tr w14:paraId="717708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71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AD6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FDE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A4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964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3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51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4F00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6B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60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A281">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81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2B2D5">
            <w:pPr>
              <w:jc w:val="center"/>
            </w:pPr>
          </w:p>
        </w:tc>
      </w:tr>
      <w:tr w14:paraId="30CED3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3B2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A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0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8FF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18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FC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EC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34A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03D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BC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B56EB">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00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DA12B">
            <w:pPr>
              <w:jc w:val="center"/>
            </w:pPr>
            <w:r>
              <w:rPr>
                <w:rFonts w:ascii="宋体" w:hAnsi="宋体" w:eastAsia="宋体"/>
                <w:sz w:val="16"/>
              </w:rPr>
              <w:t>偏差原因：项目设置绩效目标中的赋分规则不科学，导致资金支付及时率有偏差。改进措施：根据处室的项目实施方案科学制定绩效目标指标，提高资金使用效益。</w:t>
            </w:r>
          </w:p>
        </w:tc>
      </w:tr>
      <w:tr w14:paraId="36B38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055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E5C6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56C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DBD5D">
            <w:pPr>
              <w:jc w:val="center"/>
            </w:pPr>
            <w:r>
              <w:rPr>
                <w:rFonts w:ascii="宋体" w:hAnsi="宋体" w:eastAsia="宋体"/>
                <w:sz w:val="16"/>
              </w:rPr>
              <w:t>预算联网监督系统模块扩建成本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4ED0C">
            <w:pPr>
              <w:jc w:val="center"/>
            </w:pPr>
            <w:r>
              <w:rPr>
                <w:rFonts w:ascii="宋体" w:hAnsi="宋体" w:eastAsia="宋体"/>
                <w:sz w:val="16"/>
              </w:rPr>
              <w:t>&lt;=111.70万元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36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439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BC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8A2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9EB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D0786">
            <w:pPr>
              <w:jc w:val="center"/>
            </w:pPr>
            <w:r>
              <w:rPr>
                <w:rFonts w:ascii="宋体" w:hAnsi="宋体" w:eastAsia="宋体"/>
                <w:sz w:val="16"/>
              </w:rPr>
              <w:t>=109.7万元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954C">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B8443">
            <w:pPr>
              <w:jc w:val="center"/>
            </w:pPr>
            <w:r>
              <w:rPr>
                <w:rFonts w:ascii="宋体" w:hAnsi="宋体" w:eastAsia="宋体"/>
                <w:sz w:val="16"/>
              </w:rPr>
              <w:t>偏差原因：经公开招标，项目实施费用为118万元，未能及时与财政沟通对多余的资金未及时办理退回财政手续，导致年底资金有</w:t>
            </w:r>
            <w:r>
              <w:rPr>
                <w:rFonts w:hint="eastAsia" w:ascii="宋体" w:hAnsi="宋体"/>
                <w:sz w:val="16"/>
                <w:lang w:eastAsia="zh-CN"/>
              </w:rPr>
              <w:t>结余</w:t>
            </w:r>
            <w:r>
              <w:rPr>
                <w:rFonts w:ascii="宋体" w:hAnsi="宋体" w:eastAsia="宋体"/>
                <w:sz w:val="16"/>
              </w:rPr>
              <w:t>与实际执行率有偏差。改进措施：根据资金的实际用途科学设置绩效目标，对无法执行的资金预算及时办理退回财政手续并及时调整绩效目标。</w:t>
            </w:r>
          </w:p>
        </w:tc>
      </w:tr>
      <w:tr w14:paraId="3C4983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786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0B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92F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1663">
            <w:pPr>
              <w:jc w:val="center"/>
            </w:pPr>
            <w:r>
              <w:rPr>
                <w:rFonts w:ascii="宋体" w:hAnsi="宋体" w:eastAsia="宋体"/>
                <w:sz w:val="16"/>
              </w:rPr>
              <w:t>预算联网监督功能升级项目成本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3CED">
            <w:pPr>
              <w:jc w:val="center"/>
            </w:pPr>
            <w:r>
              <w:rPr>
                <w:rFonts w:ascii="宋体" w:hAnsi="宋体" w:eastAsia="宋体"/>
                <w:sz w:val="16"/>
              </w:rPr>
              <w:t>&lt;=8.30万元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79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5E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F2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1EF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B63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CF114">
            <w:pPr>
              <w:jc w:val="center"/>
            </w:pPr>
            <w:r>
              <w:rPr>
                <w:rFonts w:ascii="宋体" w:hAnsi="宋体" w:eastAsia="宋体"/>
                <w:sz w:val="16"/>
              </w:rPr>
              <w: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33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BE256">
            <w:pPr>
              <w:jc w:val="center"/>
            </w:pPr>
          </w:p>
        </w:tc>
      </w:tr>
      <w:tr w14:paraId="620D0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9E8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3E0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59C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B38F">
            <w:pPr>
              <w:jc w:val="center"/>
            </w:pPr>
            <w:r>
              <w:rPr>
                <w:rFonts w:ascii="宋体" w:hAnsi="宋体" w:eastAsia="宋体"/>
                <w:sz w:val="16"/>
              </w:rPr>
              <w:t>进一步提升人大预算审查工作精准性和针对性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6F1BE">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A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1A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C3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EBA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92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DD7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19BC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6E990">
            <w:pPr>
              <w:jc w:val="center"/>
            </w:pPr>
          </w:p>
        </w:tc>
      </w:tr>
      <w:tr w14:paraId="73FE89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855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76E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304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3D42">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AD5D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C3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B48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C2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14E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31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64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913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B854">
            <w:pPr>
              <w:jc w:val="center"/>
            </w:pPr>
            <w:r>
              <w:rPr>
                <w:rFonts w:ascii="宋体" w:hAnsi="宋体" w:eastAsia="宋体"/>
                <w:sz w:val="16"/>
              </w:rPr>
              <w:t>偏差原因：项目绩效目标指标设置不合理，导致该指标与实际有偏差。改进措施：按照上年度绩效管理、绩效评价结果合理评估项目预算，精准设置绩效目标，提高绩效评价。</w:t>
            </w:r>
          </w:p>
        </w:tc>
      </w:tr>
      <w:tr w14:paraId="21ED3C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491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3E00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BCE5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277682">
            <w:pPr>
              <w:jc w:val="center"/>
            </w:pPr>
            <w:r>
              <w:rPr>
                <w:rFonts w:ascii="宋体" w:hAnsi="宋体" w:eastAsia="宋体"/>
                <w:sz w:val="16"/>
              </w:rPr>
              <w:t>91.55分</w:t>
            </w:r>
          </w:p>
        </w:tc>
      </w:tr>
    </w:tbl>
    <w:p w14:paraId="21CCE1E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1E2A8BE">
        <w:tblPrEx>
          <w:tblCellMar>
            <w:top w:w="0" w:type="dxa"/>
            <w:left w:w="108" w:type="dxa"/>
            <w:bottom w:w="0" w:type="dxa"/>
            <w:right w:w="108" w:type="dxa"/>
          </w:tblCellMar>
        </w:tblPrEx>
        <w:tc>
          <w:tcPr>
            <w:tcW w:w="8848" w:type="dxa"/>
            <w:gridSpan w:val="14"/>
            <w:vAlign w:val="center"/>
          </w:tcPr>
          <w:p w14:paraId="0F33C48F">
            <w:pPr>
              <w:jc w:val="center"/>
            </w:pPr>
            <w:r>
              <w:rPr>
                <w:rFonts w:ascii="宋体" w:hAnsi="宋体" w:eastAsia="宋体"/>
                <w:sz w:val="24"/>
              </w:rPr>
              <w:t>项目支出绩效自评表</w:t>
            </w:r>
          </w:p>
        </w:tc>
      </w:tr>
      <w:tr w14:paraId="639A1C86">
        <w:tblPrEx>
          <w:tblCellMar>
            <w:top w:w="0" w:type="dxa"/>
            <w:left w:w="108" w:type="dxa"/>
            <w:bottom w:w="0" w:type="dxa"/>
            <w:right w:w="108" w:type="dxa"/>
          </w:tblCellMar>
        </w:tblPrEx>
        <w:tc>
          <w:tcPr>
            <w:tcW w:w="8848" w:type="dxa"/>
            <w:gridSpan w:val="14"/>
            <w:vAlign w:val="center"/>
          </w:tcPr>
          <w:p w14:paraId="1A489BE2">
            <w:pPr>
              <w:jc w:val="center"/>
            </w:pPr>
            <w:r>
              <w:rPr>
                <w:rFonts w:ascii="宋体" w:hAnsi="宋体" w:eastAsia="宋体"/>
                <w:sz w:val="24"/>
              </w:rPr>
              <w:t>(2024年度)</w:t>
            </w:r>
          </w:p>
        </w:tc>
      </w:tr>
      <w:tr w14:paraId="717B5F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492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9A5A4C">
            <w:pPr>
              <w:jc w:val="center"/>
            </w:pPr>
            <w:r>
              <w:rPr>
                <w:rFonts w:ascii="宋体" w:hAnsi="宋体" w:eastAsia="宋体"/>
                <w:sz w:val="16"/>
              </w:rPr>
              <w:t>自治区</w:t>
            </w:r>
            <w:r>
              <w:rPr>
                <w:rFonts w:hint="eastAsia" w:ascii="宋体" w:hAnsi="宋体"/>
                <w:sz w:val="16"/>
                <w:lang w:eastAsia="zh-CN"/>
              </w:rPr>
              <w:t>人大</w:t>
            </w:r>
            <w:r>
              <w:rPr>
                <w:rFonts w:ascii="宋体" w:hAnsi="宋体" w:eastAsia="宋体"/>
                <w:sz w:val="16"/>
              </w:rPr>
              <w:t>代表活动项目</w:t>
            </w:r>
          </w:p>
        </w:tc>
      </w:tr>
      <w:tr w14:paraId="57F08E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AFA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4E13B3">
            <w:pPr>
              <w:jc w:val="center"/>
            </w:pPr>
            <w:r>
              <w:rPr>
                <w:rFonts w:ascii="宋体" w:hAnsi="宋体" w:eastAsia="宋体"/>
                <w:sz w:val="16"/>
              </w:rPr>
              <w:t>新疆维吾尔自治区人大常委会喀什地区工作委员会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62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DCEA11">
            <w:pPr>
              <w:jc w:val="center"/>
            </w:pPr>
            <w:r>
              <w:rPr>
                <w:rFonts w:ascii="宋体" w:hAnsi="宋体" w:eastAsia="宋体"/>
                <w:sz w:val="16"/>
              </w:rPr>
              <w:t>新疆维吾尔自治区人大常委会喀什地区工作委员会</w:t>
            </w:r>
          </w:p>
        </w:tc>
      </w:tr>
      <w:tr w14:paraId="35056E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24B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53F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84D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47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8FA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8E2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60DE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37BFF">
            <w:pPr>
              <w:jc w:val="center"/>
            </w:pPr>
            <w:r>
              <w:rPr>
                <w:rFonts w:ascii="宋体" w:hAnsi="宋体" w:eastAsia="宋体"/>
                <w:sz w:val="16"/>
              </w:rPr>
              <w:t>得分</w:t>
            </w:r>
          </w:p>
        </w:tc>
      </w:tr>
      <w:tr w14:paraId="4761ED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AC7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BE2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6D5AE">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DF56E">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FDC3D">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9F1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8C5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5BB79">
            <w:pPr>
              <w:jc w:val="center"/>
            </w:pPr>
            <w:r>
              <w:rPr>
                <w:rFonts w:ascii="宋体" w:hAnsi="宋体" w:eastAsia="宋体"/>
                <w:sz w:val="16"/>
              </w:rPr>
              <w:t>10.00分</w:t>
            </w:r>
          </w:p>
        </w:tc>
      </w:tr>
      <w:tr w14:paraId="6835F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E8E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E97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D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E9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B88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647F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AF6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3665C">
            <w:pPr>
              <w:jc w:val="center"/>
            </w:pPr>
            <w:r>
              <w:rPr>
                <w:rFonts w:ascii="宋体" w:hAnsi="宋体" w:eastAsia="宋体"/>
                <w:sz w:val="16"/>
              </w:rPr>
              <w:t>—</w:t>
            </w:r>
          </w:p>
        </w:tc>
      </w:tr>
      <w:tr w14:paraId="17B2A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7C7B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D542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BB8A">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9FE67">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790E6">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F84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B10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178D9">
            <w:pPr>
              <w:jc w:val="center"/>
            </w:pPr>
            <w:r>
              <w:rPr>
                <w:rFonts w:ascii="宋体" w:hAnsi="宋体" w:eastAsia="宋体"/>
                <w:sz w:val="16"/>
              </w:rPr>
              <w:t>—</w:t>
            </w:r>
          </w:p>
        </w:tc>
      </w:tr>
      <w:tr w14:paraId="5EC975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45CE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E2FA9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C9D0E1">
            <w:pPr>
              <w:jc w:val="center"/>
            </w:pPr>
            <w:r>
              <w:rPr>
                <w:rFonts w:ascii="宋体" w:hAnsi="宋体" w:eastAsia="宋体"/>
                <w:sz w:val="16"/>
              </w:rPr>
              <w:t>实际完成情况</w:t>
            </w:r>
          </w:p>
        </w:tc>
      </w:tr>
      <w:tr w14:paraId="49E969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F2E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511F79">
            <w:pPr>
              <w:jc w:val="both"/>
            </w:pPr>
            <w:r>
              <w:rPr>
                <w:rFonts w:ascii="宋体" w:hAnsi="宋体" w:eastAsia="宋体"/>
                <w:sz w:val="16"/>
              </w:rPr>
              <w:t>根据《新疆维吾尔自治区代表活动经费管理办法》和《喀什地区人大工委2024年工作要点》安排，保障自治区人大代表人数不少于69人，组织自治区人大代表参加人代会、培训、视察、专题调研等活动不少于2次，差旅费成本53347.5元。为代表依法履行职务提供支持和保障，提高代表依法履职的能力和水平，充分发挥人大代表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7FB98">
            <w:pPr>
              <w:jc w:val="both"/>
            </w:pPr>
            <w:r>
              <w:rPr>
                <w:rFonts w:ascii="宋体" w:hAnsi="宋体" w:eastAsia="宋体"/>
                <w:sz w:val="16"/>
              </w:rPr>
              <w:t>保障自治区人大代表35人，组织自治区人大代表参加人代会、培训2次，差旅费成本53347.5元。为代表依法履行职务提供支持和保障，使代表依法履职的能力和水平得到提高，充分发挥人大代表作用。</w:t>
            </w:r>
          </w:p>
        </w:tc>
      </w:tr>
      <w:tr w14:paraId="62CE37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515E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F1B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EBF8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242B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C30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390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7C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B94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38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29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EE7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C0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63905">
            <w:pPr>
              <w:jc w:val="center"/>
            </w:pPr>
            <w:r>
              <w:rPr>
                <w:rFonts w:ascii="宋体" w:hAnsi="宋体" w:eastAsia="宋体"/>
                <w:sz w:val="16"/>
              </w:rPr>
              <w:t>偏差原因分析及改进措施</w:t>
            </w:r>
          </w:p>
        </w:tc>
      </w:tr>
      <w:tr w14:paraId="4E7E3F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11E9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021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E29C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143F">
            <w:pPr>
              <w:jc w:val="center"/>
            </w:pPr>
            <w:r>
              <w:rPr>
                <w:rFonts w:ascii="宋体" w:hAnsi="宋体" w:eastAsia="宋体"/>
                <w:sz w:val="16"/>
              </w:rPr>
              <w:t>保障自治区人大代表人数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1518">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E7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AF410">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E3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23F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97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FC39">
            <w:pPr>
              <w:jc w:val="center"/>
            </w:pPr>
            <w:r>
              <w:rPr>
                <w:rFonts w:ascii="宋体" w:hAnsi="宋体" w:eastAsia="宋体"/>
                <w:sz w:val="16"/>
              </w:rPr>
              <w:t>=35人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7050">
            <w:pPr>
              <w:jc w:val="center"/>
            </w:pPr>
            <w:r>
              <w:rPr>
                <w:rFonts w:ascii="宋体" w:hAnsi="宋体" w:eastAsia="宋体"/>
                <w:sz w:val="16"/>
              </w:rPr>
              <w:t>7.44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1A1A0">
            <w:pPr>
              <w:jc w:val="center"/>
            </w:pPr>
            <w:r>
              <w:rPr>
                <w:rFonts w:ascii="宋体" w:hAnsi="宋体" w:eastAsia="宋体"/>
                <w:sz w:val="16"/>
              </w:rPr>
              <w:t>偏差原因：因代表临时另有工作安排无法参加培训，导致实际执行时与预算有偏差。改进措施：开展培训工作前及时与代表沟通，对参加培训的</w:t>
            </w:r>
            <w:r>
              <w:rPr>
                <w:rFonts w:hint="eastAsia" w:ascii="宋体" w:hAnsi="宋体"/>
                <w:sz w:val="16"/>
                <w:lang w:eastAsia="zh-CN"/>
              </w:rPr>
              <w:t>人员</w:t>
            </w:r>
            <w:r>
              <w:rPr>
                <w:rFonts w:ascii="宋体" w:hAnsi="宋体" w:eastAsia="宋体"/>
                <w:sz w:val="16"/>
              </w:rPr>
              <w:t>进行调整，提高资金使用效益。</w:t>
            </w:r>
          </w:p>
        </w:tc>
      </w:tr>
      <w:tr w14:paraId="7A0C7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F9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CD8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282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9E6B">
            <w:pPr>
              <w:jc w:val="center"/>
            </w:pPr>
            <w:r>
              <w:rPr>
                <w:rFonts w:ascii="宋体" w:hAnsi="宋体" w:eastAsia="宋体"/>
                <w:sz w:val="16"/>
              </w:rPr>
              <w:t>组织代表参加活动次数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FA6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1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B552">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E6B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65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2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C49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757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36D61">
            <w:pPr>
              <w:jc w:val="center"/>
            </w:pPr>
          </w:p>
        </w:tc>
      </w:tr>
      <w:tr w14:paraId="6D293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2DB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F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6C9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8A3A">
            <w:pPr>
              <w:jc w:val="center"/>
            </w:pPr>
            <w:r>
              <w:rPr>
                <w:rFonts w:ascii="宋体" w:hAnsi="宋体" w:eastAsia="宋体"/>
                <w:sz w:val="16"/>
              </w:rPr>
              <w:t>代表参加活动出勤率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B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95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52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A9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AE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8D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1A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FF1A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7FCA4">
            <w:pPr>
              <w:jc w:val="center"/>
            </w:pPr>
          </w:p>
        </w:tc>
      </w:tr>
      <w:tr w14:paraId="6C37D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DBE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491F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04C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6D65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0B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66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76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8BA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D7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1E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0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D4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B8E8F">
            <w:pPr>
              <w:jc w:val="center"/>
            </w:pPr>
          </w:p>
        </w:tc>
      </w:tr>
      <w:tr w14:paraId="7DD93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416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ECB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11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E8E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5874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7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9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0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A21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78A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4CCC">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2A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9C076">
            <w:pPr>
              <w:jc w:val="center"/>
            </w:pPr>
          </w:p>
        </w:tc>
      </w:tr>
      <w:tr w14:paraId="2D5B3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8EC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B16C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69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034C">
            <w:pPr>
              <w:jc w:val="center"/>
            </w:pPr>
            <w:r>
              <w:rPr>
                <w:rFonts w:ascii="宋体" w:hAnsi="宋体" w:eastAsia="宋体"/>
                <w:sz w:val="16"/>
              </w:rPr>
              <w:t>代表参加活动平均成本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9838">
            <w:pPr>
              <w:jc w:val="center"/>
            </w:pPr>
            <w:r>
              <w:rPr>
                <w:rFonts w:ascii="宋体" w:hAnsi="宋体" w:eastAsia="宋体"/>
                <w:sz w:val="16"/>
              </w:rPr>
              <w:t>&lt;=2.67万元/次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97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F2A46">
            <w:pPr>
              <w:jc w:val="center"/>
            </w:pPr>
            <w:r>
              <w:rPr>
                <w:rFonts w:ascii="宋体" w:hAnsi="宋体" w:eastAsia="宋体"/>
                <w:sz w:val="16"/>
              </w:rPr>
              <w:t>20.22万元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7E9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0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00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1095">
            <w:pPr>
              <w:jc w:val="center"/>
            </w:pPr>
            <w:r>
              <w:rPr>
                <w:rFonts w:ascii="宋体" w:hAnsi="宋体" w:eastAsia="宋体"/>
                <w:sz w:val="16"/>
              </w:rPr>
              <w:t>=2.67万元/次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4C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9DB33">
            <w:pPr>
              <w:jc w:val="center"/>
            </w:pPr>
          </w:p>
        </w:tc>
      </w:tr>
      <w:tr w14:paraId="38461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F7C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23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E5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03A5">
            <w:pPr>
              <w:jc w:val="center"/>
            </w:pPr>
            <w:r>
              <w:rPr>
                <w:rFonts w:ascii="宋体" w:hAnsi="宋体" w:eastAsia="宋体"/>
                <w:sz w:val="16"/>
              </w:rPr>
              <w:t>提升代表履职能力和水平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A376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87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614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43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B5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AF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B4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48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498B">
            <w:pPr>
              <w:jc w:val="center"/>
            </w:pPr>
          </w:p>
        </w:tc>
      </w:tr>
      <w:tr w14:paraId="025D9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3B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8C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E11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0C6B">
            <w:pPr>
              <w:jc w:val="center"/>
            </w:pPr>
            <w:r>
              <w:rPr>
                <w:rFonts w:ascii="宋体" w:hAnsi="宋体" w:eastAsia="宋体"/>
                <w:sz w:val="16"/>
              </w:rPr>
              <w:t>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8E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9B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ADE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4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25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AC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62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DFE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BC94">
            <w:pPr>
              <w:jc w:val="center"/>
            </w:pPr>
          </w:p>
        </w:tc>
      </w:tr>
      <w:tr w14:paraId="0CDA9C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97D3">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DCA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4AC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6E9069">
            <w:pPr>
              <w:jc w:val="center"/>
            </w:pPr>
            <w:r>
              <w:rPr>
                <w:rFonts w:ascii="宋体" w:hAnsi="宋体" w:eastAsia="宋体"/>
                <w:sz w:val="16"/>
              </w:rPr>
              <w:t>99.44分</w:t>
            </w:r>
          </w:p>
        </w:tc>
      </w:tr>
    </w:tbl>
    <w:p w14:paraId="1B0763C0">
      <w:r>
        <w:br w:type="page"/>
      </w:r>
    </w:p>
    <w:p w14:paraId="7EA221B4">
      <w:pPr>
        <w:spacing w:line="640" w:lineRule="exact"/>
        <w:ind w:firstLine="640"/>
        <w:jc w:val="both"/>
        <w:outlineLvl w:val="2"/>
      </w:pPr>
      <w:r>
        <w:rPr>
          <w:rFonts w:ascii="黑体" w:hAnsi="黑体" w:eastAsia="黑体"/>
          <w:sz w:val="32"/>
        </w:rPr>
        <w:t>十二、其他需说明的事项</w:t>
      </w:r>
    </w:p>
    <w:p w14:paraId="0E663F45">
      <w:pPr>
        <w:spacing w:line="580" w:lineRule="exact"/>
        <w:ind w:firstLine="640"/>
        <w:jc w:val="both"/>
      </w:pPr>
      <w:r>
        <w:rPr>
          <w:rFonts w:ascii="仿宋_GB2312" w:hAnsi="仿宋_GB2312" w:eastAsia="仿宋_GB2312"/>
          <w:b w:val="0"/>
          <w:sz w:val="32"/>
        </w:rPr>
        <w:t>本单位无其他需说明的事项。</w:t>
      </w:r>
    </w:p>
    <w:p w14:paraId="399AE6E8">
      <w:r>
        <w:br w:type="page"/>
      </w:r>
    </w:p>
    <w:p w14:paraId="725FD1DD">
      <w:pPr>
        <w:spacing w:line="240" w:lineRule="auto"/>
        <w:jc w:val="center"/>
        <w:outlineLvl w:val="1"/>
      </w:pPr>
      <w:r>
        <w:rPr>
          <w:rFonts w:ascii="黑体" w:hAnsi="黑体" w:eastAsia="黑体"/>
          <w:sz w:val="32"/>
        </w:rPr>
        <w:t>第三部分 专业名词解释</w:t>
      </w:r>
    </w:p>
    <w:p w14:paraId="1D6B823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68B2E5F">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A377F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A880E8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53588B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4B0D23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8DF6C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17F5A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4FB5B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F084B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431C1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59A55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90AC36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3797A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40611D0">
      <w:r>
        <w:br w:type="page"/>
      </w:r>
    </w:p>
    <w:p w14:paraId="379F2D13">
      <w:pPr>
        <w:spacing w:line="240" w:lineRule="auto"/>
        <w:jc w:val="center"/>
        <w:outlineLvl w:val="1"/>
      </w:pPr>
      <w:r>
        <w:rPr>
          <w:rFonts w:ascii="黑体" w:hAnsi="黑体" w:eastAsia="黑体"/>
          <w:sz w:val="32"/>
        </w:rPr>
        <w:t>第四部分 部门决算报表（见附表）</w:t>
      </w:r>
    </w:p>
    <w:p w14:paraId="58ACDB01">
      <w:pPr>
        <w:spacing w:line="240" w:lineRule="auto"/>
        <w:ind w:firstLine="640"/>
        <w:jc w:val="both"/>
      </w:pPr>
      <w:r>
        <w:rPr>
          <w:rFonts w:ascii="仿宋_GB2312" w:hAnsi="仿宋_GB2312" w:eastAsia="仿宋_GB2312"/>
          <w:b w:val="0"/>
          <w:sz w:val="32"/>
        </w:rPr>
        <w:t>一、《收入支出决算总表》</w:t>
      </w:r>
    </w:p>
    <w:p w14:paraId="69AA93A1">
      <w:pPr>
        <w:spacing w:line="240" w:lineRule="auto"/>
        <w:ind w:firstLine="640"/>
        <w:jc w:val="both"/>
      </w:pPr>
      <w:r>
        <w:rPr>
          <w:rFonts w:ascii="仿宋_GB2312" w:hAnsi="仿宋_GB2312" w:eastAsia="仿宋_GB2312"/>
          <w:b w:val="0"/>
          <w:sz w:val="32"/>
        </w:rPr>
        <w:t>二、《收入决算表》</w:t>
      </w:r>
    </w:p>
    <w:p w14:paraId="4AF2B8A4">
      <w:pPr>
        <w:spacing w:line="240" w:lineRule="auto"/>
        <w:ind w:firstLine="640"/>
        <w:jc w:val="both"/>
      </w:pPr>
      <w:r>
        <w:rPr>
          <w:rFonts w:ascii="仿宋_GB2312" w:hAnsi="仿宋_GB2312" w:eastAsia="仿宋_GB2312"/>
          <w:b w:val="0"/>
          <w:sz w:val="32"/>
        </w:rPr>
        <w:t>三、《支出决算表》</w:t>
      </w:r>
    </w:p>
    <w:p w14:paraId="1DD53F83">
      <w:pPr>
        <w:spacing w:line="240" w:lineRule="auto"/>
        <w:ind w:firstLine="640"/>
        <w:jc w:val="both"/>
      </w:pPr>
      <w:r>
        <w:rPr>
          <w:rFonts w:ascii="仿宋_GB2312" w:hAnsi="仿宋_GB2312" w:eastAsia="仿宋_GB2312"/>
          <w:b w:val="0"/>
          <w:sz w:val="32"/>
        </w:rPr>
        <w:t>四、《财政拨款收入支出决算总表》</w:t>
      </w:r>
    </w:p>
    <w:p w14:paraId="181AB917">
      <w:pPr>
        <w:spacing w:line="240" w:lineRule="auto"/>
        <w:ind w:firstLine="640"/>
        <w:jc w:val="both"/>
      </w:pPr>
      <w:r>
        <w:rPr>
          <w:rFonts w:ascii="仿宋_GB2312" w:hAnsi="仿宋_GB2312" w:eastAsia="仿宋_GB2312"/>
          <w:b w:val="0"/>
          <w:sz w:val="32"/>
        </w:rPr>
        <w:t>五、《一般公共预算财政拨款支出决算表》</w:t>
      </w:r>
    </w:p>
    <w:p w14:paraId="421CF887">
      <w:pPr>
        <w:spacing w:line="240" w:lineRule="auto"/>
        <w:ind w:firstLine="640"/>
        <w:jc w:val="both"/>
      </w:pPr>
      <w:r>
        <w:rPr>
          <w:rFonts w:ascii="仿宋_GB2312" w:hAnsi="仿宋_GB2312" w:eastAsia="仿宋_GB2312"/>
          <w:b w:val="0"/>
          <w:sz w:val="32"/>
        </w:rPr>
        <w:t>六、《一般公共预算财政拨款基本支出决算表》</w:t>
      </w:r>
    </w:p>
    <w:p w14:paraId="455AFE6B">
      <w:pPr>
        <w:spacing w:line="240" w:lineRule="auto"/>
        <w:ind w:firstLine="640"/>
        <w:jc w:val="both"/>
      </w:pPr>
      <w:r>
        <w:rPr>
          <w:rFonts w:ascii="仿宋_GB2312" w:hAnsi="仿宋_GB2312" w:eastAsia="仿宋_GB2312"/>
          <w:b w:val="0"/>
          <w:sz w:val="32"/>
        </w:rPr>
        <w:t>七、《政府性基金预算财政拨款收入支出决算表》</w:t>
      </w:r>
    </w:p>
    <w:p w14:paraId="56036DF6">
      <w:pPr>
        <w:spacing w:line="240" w:lineRule="auto"/>
        <w:ind w:firstLine="640"/>
        <w:jc w:val="both"/>
      </w:pPr>
      <w:r>
        <w:rPr>
          <w:rFonts w:ascii="仿宋_GB2312" w:hAnsi="仿宋_GB2312" w:eastAsia="仿宋_GB2312"/>
          <w:b w:val="0"/>
          <w:sz w:val="32"/>
        </w:rPr>
        <w:t>八、《国有资本经营预算财政拨款收入支出决算表》</w:t>
      </w:r>
    </w:p>
    <w:p w14:paraId="69EB6C1E">
      <w:pPr>
        <w:spacing w:line="240" w:lineRule="auto"/>
        <w:ind w:firstLine="640"/>
        <w:jc w:val="both"/>
      </w:pPr>
      <w:r>
        <w:rPr>
          <w:rFonts w:ascii="仿宋_GB2312" w:hAnsi="仿宋_GB2312" w:eastAsia="仿宋_GB2312"/>
          <w:b w:val="0"/>
          <w:sz w:val="32"/>
        </w:rPr>
        <w:t>九、《财政拨款“三公”经费支出决算表》</w:t>
      </w:r>
    </w:p>
    <w:p w14:paraId="70C40117">
      <w:pPr>
        <w:spacing w:line="240" w:lineRule="auto"/>
        <w:ind w:firstLine="640"/>
        <w:jc w:val="both"/>
      </w:pPr>
    </w:p>
    <w:p w14:paraId="75CF13A4">
      <w:pPr>
        <w:spacing w:line="240" w:lineRule="auto"/>
        <w:ind w:firstLine="640"/>
        <w:jc w:val="both"/>
      </w:pPr>
    </w:p>
    <w:p w14:paraId="3D879006">
      <w:pPr>
        <w:spacing w:line="240" w:lineRule="auto"/>
        <w:ind w:firstLine="640"/>
        <w:jc w:val="both"/>
      </w:pPr>
    </w:p>
    <w:p w14:paraId="225802C5">
      <w:pPr>
        <w:spacing w:line="240" w:lineRule="auto"/>
        <w:ind w:firstLine="640"/>
        <w:jc w:val="both"/>
      </w:pPr>
    </w:p>
    <w:p w14:paraId="1143AD9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B804DCC-A482-457E-8B2B-EFBB524A204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C09AFE2-381D-495F-8041-CCEA2163CE83}"/>
  </w:font>
  <w:font w:name="方正小标宋_GBK">
    <w:panose1 w:val="02000000000000000000"/>
    <w:charset w:val="86"/>
    <w:family w:val="script"/>
    <w:pitch w:val="default"/>
    <w:sig w:usb0="A00002BF" w:usb1="38CF7CFA" w:usb2="00082016" w:usb3="00000000" w:csb0="00040001" w:csb1="00000000"/>
    <w:embedRegular r:id="rId3" w:fontKey="{D8D3121A-51C4-435F-83BF-35BF180B7B60}"/>
  </w:font>
  <w:font w:name="楷体_GB2312">
    <w:panose1 w:val="02010609030101010101"/>
    <w:charset w:val="86"/>
    <w:family w:val="auto"/>
    <w:pitch w:val="default"/>
    <w:sig w:usb0="00000001" w:usb1="080E0000" w:usb2="00000000" w:usb3="00000000" w:csb0="00040000" w:csb1="00000000"/>
    <w:embedRegular r:id="rId4" w:fontKey="{E6531D1D-7606-4A8C-9359-B58CF48F131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6DE3D55"/>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972706"/>
    <w:rsid w:val="4B4C0111"/>
    <w:rsid w:val="4BB23021"/>
    <w:rsid w:val="4F3F074E"/>
    <w:rsid w:val="50DB5F45"/>
    <w:rsid w:val="52F92565"/>
    <w:rsid w:val="543D17CB"/>
    <w:rsid w:val="55DA564E"/>
    <w:rsid w:val="56E07045"/>
    <w:rsid w:val="583059FA"/>
    <w:rsid w:val="587E6212"/>
    <w:rsid w:val="5AFC6609"/>
    <w:rsid w:val="5E8936F4"/>
    <w:rsid w:val="5FA17648"/>
    <w:rsid w:val="5FD320BD"/>
    <w:rsid w:val="60DE4D57"/>
    <w:rsid w:val="613409CB"/>
    <w:rsid w:val="61A46A97"/>
    <w:rsid w:val="62DD7D21"/>
    <w:rsid w:val="65D97752"/>
    <w:rsid w:val="664C500C"/>
    <w:rsid w:val="66DC273C"/>
    <w:rsid w:val="67D111AB"/>
    <w:rsid w:val="68DB0208"/>
    <w:rsid w:val="68DF36D5"/>
    <w:rsid w:val="69846A0E"/>
    <w:rsid w:val="69AD798C"/>
    <w:rsid w:val="6B68175F"/>
    <w:rsid w:val="6B8B5C99"/>
    <w:rsid w:val="6CA7198F"/>
    <w:rsid w:val="6D0C0D1D"/>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5200</Words>
  <Characters>5978</Characters>
  <Lines>0</Lines>
  <Paragraphs>0</Paragraphs>
  <TotalTime>13</TotalTime>
  <ScaleCrop>false</ScaleCrop>
  <LinksUpToDate>false</LinksUpToDate>
  <CharactersWithSpaces>5986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2025-09-29T07:45:46Z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