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C7D61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新疆维吾尔自治区人民检察院喀什分院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84CE24">
      <w:r>
        <w:br w:type="page"/>
      </w:r>
    </w:p>
    <w:p w14:paraId="7CB0E1D2">
      <w:pPr>
        <w:spacing w:line="640" w:lineRule="exact"/>
        <w:jc w:val="center"/>
        <w:outlineLvl w:val="1"/>
      </w:pPr>
      <w:r>
        <w:rPr>
          <w:rFonts w:ascii="黑体" w:hAnsi="黑体" w:eastAsia="黑体"/>
          <w:sz w:val="32"/>
        </w:rPr>
        <w:t>第一部分 部门概况</w:t>
      </w:r>
    </w:p>
    <w:p w14:paraId="037B6E33">
      <w:pPr>
        <w:spacing w:line="640" w:lineRule="exact"/>
        <w:ind w:firstLine="640"/>
        <w:jc w:val="both"/>
        <w:outlineLvl w:val="2"/>
      </w:pPr>
      <w:r>
        <w:rPr>
          <w:rFonts w:ascii="黑体" w:hAnsi="黑体" w:eastAsia="黑体"/>
          <w:sz w:val="32"/>
        </w:rPr>
        <w:t>一、主要职能</w:t>
      </w:r>
    </w:p>
    <w:p w14:paraId="4BDF85AA">
      <w:pPr>
        <w:spacing w:line="580" w:lineRule="exact"/>
        <w:ind w:firstLine="640"/>
        <w:jc w:val="both"/>
      </w:pPr>
      <w:r>
        <w:rPr>
          <w:rFonts w:ascii="仿宋_GB2312" w:hAnsi="仿宋_GB2312" w:eastAsia="仿宋_GB2312"/>
          <w:sz w:val="32"/>
        </w:rPr>
        <w:t>本部门主要职能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46581694">
      <w:pPr>
        <w:spacing w:line="640" w:lineRule="exact"/>
        <w:ind w:firstLine="640"/>
        <w:jc w:val="both"/>
        <w:outlineLvl w:val="2"/>
      </w:pPr>
      <w:r>
        <w:rPr>
          <w:rFonts w:ascii="黑体" w:hAnsi="黑体" w:eastAsia="黑体"/>
          <w:sz w:val="32"/>
        </w:rPr>
        <w:t>二、机构设置及人员情况</w:t>
      </w:r>
    </w:p>
    <w:p w14:paraId="4245969F">
      <w:pPr>
        <w:spacing w:line="580" w:lineRule="exact"/>
        <w:ind w:firstLine="640"/>
        <w:jc w:val="both"/>
      </w:pPr>
      <w:r>
        <w:rPr>
          <w:rFonts w:ascii="仿宋_GB2312" w:hAnsi="仿宋_GB2312" w:eastAsia="仿宋_GB2312"/>
          <w:sz w:val="32"/>
        </w:rPr>
        <w:t>本部门机构设置及人员情况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11137317">
      <w:r>
        <w:br w:type="page"/>
      </w:r>
    </w:p>
    <w:p w14:paraId="1B975123">
      <w:pPr>
        <w:spacing w:line="240" w:lineRule="auto"/>
        <w:jc w:val="center"/>
        <w:outlineLvl w:val="1"/>
      </w:pPr>
      <w:r>
        <w:rPr>
          <w:rFonts w:ascii="黑体" w:hAnsi="黑体" w:eastAsia="黑体"/>
          <w:sz w:val="32"/>
        </w:rPr>
        <w:t>第二部分 部门决算情况说明</w:t>
      </w:r>
    </w:p>
    <w:p w14:paraId="142B4B59">
      <w:pPr>
        <w:spacing w:line="640" w:lineRule="exact"/>
        <w:ind w:firstLine="640"/>
        <w:jc w:val="both"/>
        <w:outlineLvl w:val="2"/>
      </w:pPr>
      <w:r>
        <w:rPr>
          <w:rFonts w:ascii="黑体" w:hAnsi="黑体" w:eastAsia="黑体"/>
          <w:sz w:val="32"/>
        </w:rPr>
        <w:t>一、收入支出决算总体情况说明</w:t>
      </w:r>
    </w:p>
    <w:p w14:paraId="2B169A3A">
      <w:pPr>
        <w:spacing w:line="580" w:lineRule="exact"/>
        <w:ind w:firstLine="640"/>
        <w:jc w:val="both"/>
      </w:pPr>
      <w:r>
        <w:rPr>
          <w:rFonts w:ascii="仿宋_GB2312" w:hAnsi="仿宋_GB2312" w:eastAsia="仿宋_GB2312"/>
          <w:b/>
          <w:sz w:val="32"/>
        </w:rPr>
        <w:t>2024年度收入总计5,377.95万元，</w:t>
      </w:r>
      <w:r>
        <w:rPr>
          <w:rFonts w:ascii="仿宋_GB2312" w:hAnsi="仿宋_GB2312" w:eastAsia="仿宋_GB2312"/>
          <w:b w:val="0"/>
          <w:sz w:val="32"/>
        </w:rPr>
        <w:t>其中：本年收入合计5,357.41万元，使用非财政拨款结余（含专用结余）0.00万元，年初结转和结余20.54万元。</w:t>
      </w:r>
    </w:p>
    <w:p w14:paraId="6CA85CE1">
      <w:pPr>
        <w:spacing w:line="580" w:lineRule="exact"/>
        <w:ind w:firstLine="640"/>
        <w:jc w:val="both"/>
      </w:pPr>
      <w:r>
        <w:rPr>
          <w:rFonts w:ascii="仿宋_GB2312" w:hAnsi="仿宋_GB2312" w:eastAsia="仿宋_GB2312"/>
          <w:b/>
          <w:sz w:val="32"/>
        </w:rPr>
        <w:t>2024年度支出总计5,377.95万元，</w:t>
      </w:r>
      <w:r>
        <w:rPr>
          <w:rFonts w:ascii="仿宋_GB2312" w:hAnsi="仿宋_GB2312" w:eastAsia="仿宋_GB2312"/>
          <w:b w:val="0"/>
          <w:sz w:val="32"/>
        </w:rPr>
        <w:t>其中：本年支出合计5,337.95万元，结余分配0.00万元，年末结转和结余40.00万元。</w:t>
      </w:r>
    </w:p>
    <w:p w14:paraId="57FA5845">
      <w:pPr>
        <w:spacing w:line="580" w:lineRule="exact"/>
        <w:ind w:firstLine="640"/>
        <w:jc w:val="both"/>
      </w:pPr>
      <w:r>
        <w:rPr>
          <w:rFonts w:ascii="仿宋_GB2312" w:hAnsi="仿宋_GB2312" w:eastAsia="仿宋_GB2312"/>
          <w:b w:val="0"/>
          <w:sz w:val="32"/>
        </w:rPr>
        <w:t>收入支出总体与上年相比，增加748.97万元，增长16.18%，主要原因是：本年在职人员工资调增，社保、公积金基数调增，人员经费增加；增加聘用书记员11人，人员经费支出增加；本年专项项目经费、装备经费，以及援疆资金项目相比上年增加，增加业务办案及专业技术用房外立面改造项目。</w:t>
      </w:r>
    </w:p>
    <w:p w14:paraId="4E294BCC">
      <w:pPr>
        <w:spacing w:line="640" w:lineRule="exact"/>
        <w:ind w:firstLine="640"/>
        <w:jc w:val="both"/>
        <w:outlineLvl w:val="2"/>
      </w:pPr>
      <w:r>
        <w:rPr>
          <w:rFonts w:ascii="黑体" w:hAnsi="黑体" w:eastAsia="黑体"/>
          <w:sz w:val="32"/>
        </w:rPr>
        <w:t>二、收入决算情况说明</w:t>
      </w:r>
    </w:p>
    <w:p w14:paraId="29278F86">
      <w:pPr>
        <w:spacing w:line="580" w:lineRule="exact"/>
        <w:ind w:firstLine="640"/>
        <w:jc w:val="both"/>
      </w:pPr>
      <w:r>
        <w:rPr>
          <w:rFonts w:ascii="仿宋_GB2312" w:hAnsi="仿宋_GB2312" w:eastAsia="仿宋_GB2312"/>
          <w:b/>
          <w:sz w:val="32"/>
        </w:rPr>
        <w:t>本年收入5,357.41万元，</w:t>
      </w:r>
      <w:r>
        <w:rPr>
          <w:rFonts w:ascii="仿宋_GB2312" w:hAnsi="仿宋_GB2312" w:eastAsia="仿宋_GB2312"/>
          <w:b w:val="0"/>
          <w:sz w:val="32"/>
        </w:rPr>
        <w:t>其中：财政拨款收入5,317.41万元，占99.25%；上级补助收入0.00万元，占0.00%；事业收入0.00万元，占0.00%；经营收入0.00万元，占0.00%；附属单位上缴收入0.00万元，占0.00%；其他收入40.00万元，占0.75%。</w:t>
      </w:r>
    </w:p>
    <w:p w14:paraId="0F795483">
      <w:pPr>
        <w:spacing w:line="640" w:lineRule="exact"/>
        <w:ind w:firstLine="640"/>
        <w:jc w:val="both"/>
        <w:outlineLvl w:val="2"/>
      </w:pPr>
      <w:r>
        <w:rPr>
          <w:rFonts w:ascii="黑体" w:hAnsi="黑体" w:eastAsia="黑体"/>
          <w:sz w:val="32"/>
        </w:rPr>
        <w:t>三、支出决算情况说明</w:t>
      </w:r>
    </w:p>
    <w:p w14:paraId="7949FC45">
      <w:pPr>
        <w:spacing w:line="580" w:lineRule="exact"/>
        <w:ind w:firstLine="640"/>
        <w:jc w:val="both"/>
      </w:pPr>
      <w:r>
        <w:rPr>
          <w:rFonts w:ascii="仿宋_GB2312" w:hAnsi="仿宋_GB2312" w:eastAsia="仿宋_GB2312"/>
          <w:b/>
          <w:sz w:val="32"/>
        </w:rPr>
        <w:t>本年支出5,337.95万元，</w:t>
      </w:r>
      <w:r>
        <w:rPr>
          <w:rFonts w:ascii="仿宋_GB2312" w:hAnsi="仿宋_GB2312" w:eastAsia="仿宋_GB2312"/>
          <w:b w:val="0"/>
          <w:sz w:val="32"/>
        </w:rPr>
        <w:t>其中：基本支出3,455.89万元，占64.74%；项目支出1,882.06万元，占35.26%；上缴上级支出0.00万元，占0.00%；经营支出0.00万元，占0.00%；对附属单位补助支出0.00万元，占0.00%。</w:t>
      </w:r>
    </w:p>
    <w:p w14:paraId="57208EF6">
      <w:pPr>
        <w:spacing w:line="640" w:lineRule="exact"/>
        <w:ind w:firstLine="640"/>
        <w:jc w:val="both"/>
        <w:outlineLvl w:val="2"/>
      </w:pPr>
      <w:r>
        <w:rPr>
          <w:rFonts w:ascii="黑体" w:hAnsi="黑体" w:eastAsia="黑体"/>
          <w:sz w:val="32"/>
        </w:rPr>
        <w:t>四、财政拨款收入支出决算总体情况说明</w:t>
      </w:r>
    </w:p>
    <w:p w14:paraId="4EF46286">
      <w:pPr>
        <w:spacing w:line="580" w:lineRule="exact"/>
        <w:ind w:firstLine="640"/>
        <w:jc w:val="both"/>
      </w:pPr>
      <w:r>
        <w:rPr>
          <w:rFonts w:ascii="仿宋_GB2312" w:hAnsi="仿宋_GB2312" w:eastAsia="仿宋_GB2312"/>
          <w:b/>
          <w:sz w:val="32"/>
        </w:rPr>
        <w:t>2024年度财政拨款收入总计5,317.95万元，</w:t>
      </w:r>
      <w:r>
        <w:rPr>
          <w:rFonts w:ascii="仿宋_GB2312" w:hAnsi="仿宋_GB2312" w:eastAsia="仿宋_GB2312"/>
          <w:b w:val="0"/>
          <w:sz w:val="32"/>
        </w:rPr>
        <w:t>其中：年初财政拨款结转和结余0.54万元，本年财政拨款收入5,317.41万元。</w:t>
      </w:r>
      <w:r>
        <w:rPr>
          <w:rFonts w:ascii="仿宋_GB2312" w:hAnsi="仿宋_GB2312" w:eastAsia="仿宋_GB2312"/>
          <w:b/>
          <w:sz w:val="32"/>
        </w:rPr>
        <w:t>财政拨款支出总计5,317.95万元，</w:t>
      </w:r>
      <w:r>
        <w:rPr>
          <w:rFonts w:ascii="仿宋_GB2312" w:hAnsi="仿宋_GB2312" w:eastAsia="仿宋_GB2312"/>
          <w:b w:val="0"/>
          <w:sz w:val="32"/>
        </w:rPr>
        <w:t>其中：年末财政拨款结转和结余0.00万元，本年财政拨款支出5,317.95万元。</w:t>
      </w:r>
    </w:p>
    <w:p w14:paraId="252D54A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708.97万元，增长15.38%，主要原因是：本年在职人员工资调增，社保、公积金基数调增，人员经费增加；增加聘用书记员11人，人员经费支出增加；本年专项项目经费、装备经费相比上年增加，增加业务办案及专业技术用房外立面改造项目。</w:t>
      </w:r>
      <w:r>
        <w:rPr>
          <w:rFonts w:ascii="仿宋_GB2312" w:hAnsi="仿宋_GB2312" w:eastAsia="仿宋_GB2312"/>
          <w:b/>
          <w:sz w:val="32"/>
        </w:rPr>
        <w:t>与年初预算相比，</w:t>
      </w:r>
      <w:r>
        <w:rPr>
          <w:rFonts w:ascii="仿宋_GB2312" w:hAnsi="仿宋_GB2312" w:eastAsia="仿宋_GB2312"/>
          <w:b w:val="0"/>
          <w:sz w:val="32"/>
        </w:rPr>
        <w:t>年初预算数4,698.00万元，决算数5,317.95万元，预决算差异率13.20%，主要原因是：本年增加聘用书记员11人，年中追加人员经费及编内在职人员工资、社保、公积金基数调增部分资金，以及专项项目经费、装备经费相比上年增加，增加业务办案及专业技术用房外立面改造项目，导致预决算存在差异。</w:t>
      </w:r>
    </w:p>
    <w:p w14:paraId="4C41E214">
      <w:pPr>
        <w:spacing w:line="640" w:lineRule="exact"/>
        <w:ind w:firstLine="640"/>
        <w:jc w:val="both"/>
        <w:outlineLvl w:val="2"/>
      </w:pPr>
      <w:r>
        <w:rPr>
          <w:rFonts w:ascii="黑体" w:hAnsi="黑体" w:eastAsia="黑体"/>
          <w:sz w:val="32"/>
        </w:rPr>
        <w:t>五、一般公共预算财政拨款支出决算情况说明</w:t>
      </w:r>
    </w:p>
    <w:p w14:paraId="7DC84519">
      <w:pPr>
        <w:spacing w:line="640" w:lineRule="exact"/>
        <w:ind w:firstLine="640"/>
        <w:jc w:val="both"/>
        <w:outlineLvl w:val="3"/>
      </w:pPr>
      <w:r>
        <w:rPr>
          <w:rFonts w:ascii="楷体_GB2312" w:hAnsi="楷体_GB2312" w:eastAsia="楷体_GB2312"/>
          <w:b/>
          <w:sz w:val="32"/>
        </w:rPr>
        <w:t>（一）一般公共预算财政拨款支出决算总体情况</w:t>
      </w:r>
    </w:p>
    <w:p w14:paraId="7AA3B763">
      <w:pPr>
        <w:spacing w:line="580" w:lineRule="exact"/>
        <w:ind w:firstLine="640"/>
        <w:jc w:val="both"/>
      </w:pPr>
      <w:r>
        <w:rPr>
          <w:rFonts w:ascii="仿宋_GB2312" w:hAnsi="仿宋_GB2312" w:eastAsia="仿宋_GB2312"/>
          <w:b/>
          <w:sz w:val="32"/>
        </w:rPr>
        <w:t>2024年度一般公共预算财政拨款支出5,317.95万元，</w:t>
      </w:r>
      <w:r>
        <w:rPr>
          <w:rFonts w:ascii="仿宋_GB2312" w:hAnsi="仿宋_GB2312" w:eastAsia="仿宋_GB2312"/>
          <w:b w:val="0"/>
          <w:sz w:val="32"/>
        </w:rPr>
        <w:t>占本年支出合计的99.63%。</w:t>
      </w:r>
      <w:r>
        <w:rPr>
          <w:rFonts w:ascii="仿宋_GB2312" w:hAnsi="仿宋_GB2312" w:eastAsia="仿宋_GB2312"/>
          <w:b/>
          <w:sz w:val="32"/>
        </w:rPr>
        <w:t>与上年相比，</w:t>
      </w:r>
      <w:r>
        <w:rPr>
          <w:rFonts w:ascii="仿宋_GB2312" w:hAnsi="仿宋_GB2312" w:eastAsia="仿宋_GB2312"/>
          <w:b w:val="0"/>
          <w:sz w:val="32"/>
        </w:rPr>
        <w:t>增加709.51万元，增长15.40%，主要原因是：本年在职人员工资调增，社保、公积金基数调增，人员经费增加；增加聘用书记员11人，人员经费支出增加；本年专项项目经费、装备经费相比上年增加，增加业务办案及专业技术用房外立面改造项目。</w:t>
      </w:r>
      <w:r>
        <w:rPr>
          <w:rFonts w:ascii="仿宋_GB2312" w:hAnsi="仿宋_GB2312" w:eastAsia="仿宋_GB2312"/>
          <w:b/>
          <w:sz w:val="32"/>
        </w:rPr>
        <w:t>与年初预算相比,</w:t>
      </w:r>
      <w:r>
        <w:rPr>
          <w:rFonts w:ascii="仿宋_GB2312" w:hAnsi="仿宋_GB2312" w:eastAsia="仿宋_GB2312"/>
          <w:b w:val="0"/>
          <w:sz w:val="32"/>
        </w:rPr>
        <w:t>年初预算数4,698.00万元，决算数5,317.95万元，预决算差异率13.20%，主要原因是：本年增加聘用书记员11人，年中追加人员经费及编内在职人员工资、社保、公积金基数调增部分资金，以及专项项目经费、装备经费相比上年增加，增加业务办案及专业技术用房外立面改造项目，导致预决算存在差异。</w:t>
      </w:r>
    </w:p>
    <w:p w14:paraId="61384736">
      <w:pPr>
        <w:spacing w:line="640" w:lineRule="exact"/>
        <w:ind w:firstLine="640"/>
        <w:jc w:val="both"/>
        <w:outlineLvl w:val="3"/>
      </w:pPr>
      <w:r>
        <w:rPr>
          <w:rFonts w:ascii="楷体_GB2312" w:hAnsi="楷体_GB2312" w:eastAsia="楷体_GB2312"/>
          <w:b/>
          <w:sz w:val="32"/>
        </w:rPr>
        <w:t>（二）一般公共预算财政拨款支出决算结构情况</w:t>
      </w:r>
    </w:p>
    <w:p w14:paraId="03F2A8EE">
      <w:pPr>
        <w:spacing w:line="580" w:lineRule="exact"/>
        <w:ind w:firstLine="640"/>
        <w:jc w:val="both"/>
      </w:pPr>
      <w:r>
        <w:rPr>
          <w:rFonts w:ascii="仿宋_GB2312" w:hAnsi="仿宋_GB2312" w:eastAsia="仿宋_GB2312"/>
          <w:b w:val="0"/>
          <w:sz w:val="32"/>
        </w:rPr>
        <w:t>1.一般公共服务支出(类)71.59万元,占1.35%。</w:t>
      </w:r>
    </w:p>
    <w:p w14:paraId="306A2AAD">
      <w:pPr>
        <w:spacing w:line="580" w:lineRule="exact"/>
        <w:ind w:firstLine="640"/>
        <w:jc w:val="both"/>
      </w:pPr>
      <w:r>
        <w:rPr>
          <w:rFonts w:ascii="仿宋_GB2312" w:hAnsi="仿宋_GB2312" w:eastAsia="仿宋_GB2312"/>
          <w:b w:val="0"/>
          <w:sz w:val="32"/>
        </w:rPr>
        <w:t>2.公共安全支出(类)4,328.07万元,占81.39%。</w:t>
      </w:r>
    </w:p>
    <w:p w14:paraId="5D73CA82">
      <w:pPr>
        <w:spacing w:line="580" w:lineRule="exact"/>
        <w:ind w:firstLine="640"/>
        <w:jc w:val="both"/>
      </w:pPr>
      <w:r>
        <w:rPr>
          <w:rFonts w:ascii="仿宋_GB2312" w:hAnsi="仿宋_GB2312" w:eastAsia="仿宋_GB2312"/>
          <w:b w:val="0"/>
          <w:sz w:val="32"/>
        </w:rPr>
        <w:t>3.社会保障和就业支出(类)588.34万元,占11.06%。</w:t>
      </w:r>
    </w:p>
    <w:p w14:paraId="6C443D44">
      <w:pPr>
        <w:spacing w:line="580" w:lineRule="exact"/>
        <w:ind w:firstLine="640"/>
        <w:jc w:val="both"/>
      </w:pPr>
      <w:r>
        <w:rPr>
          <w:rFonts w:ascii="仿宋_GB2312" w:hAnsi="仿宋_GB2312" w:eastAsia="仿宋_GB2312"/>
          <w:b w:val="0"/>
          <w:sz w:val="32"/>
        </w:rPr>
        <w:t>4.卫生健康支出(类)127.00万元,占2.39%。</w:t>
      </w:r>
    </w:p>
    <w:p w14:paraId="4A363584">
      <w:pPr>
        <w:spacing w:line="580" w:lineRule="exact"/>
        <w:ind w:firstLine="640"/>
        <w:jc w:val="both"/>
      </w:pPr>
      <w:r>
        <w:rPr>
          <w:rFonts w:ascii="仿宋_GB2312" w:hAnsi="仿宋_GB2312" w:eastAsia="仿宋_GB2312"/>
          <w:b w:val="0"/>
          <w:sz w:val="32"/>
        </w:rPr>
        <w:t>5.住房保障支出(类)202.95万元,占3.82%。</w:t>
      </w:r>
    </w:p>
    <w:p w14:paraId="11F317E9">
      <w:pPr>
        <w:spacing w:line="640" w:lineRule="exact"/>
        <w:ind w:firstLine="640"/>
        <w:jc w:val="both"/>
        <w:outlineLvl w:val="3"/>
      </w:pPr>
      <w:r>
        <w:rPr>
          <w:rFonts w:ascii="楷体_GB2312" w:hAnsi="楷体_GB2312" w:eastAsia="楷体_GB2312"/>
          <w:b/>
          <w:sz w:val="32"/>
        </w:rPr>
        <w:t>（三）一般公共预算财政拨款支出决算具体情况</w:t>
      </w:r>
    </w:p>
    <w:p w14:paraId="0B441DC6">
      <w:pPr>
        <w:spacing w:line="580" w:lineRule="exact"/>
        <w:ind w:firstLine="640"/>
        <w:jc w:val="both"/>
      </w:pPr>
      <w:r>
        <w:rPr>
          <w:rFonts w:ascii="仿宋_GB2312" w:hAnsi="仿宋_GB2312" w:eastAsia="仿宋_GB2312"/>
          <w:b w:val="0"/>
          <w:sz w:val="32"/>
        </w:rPr>
        <w:t>1.一般公共服务支出(类)党委办公厅（室）及相关机构事务(款)其他党委办公厅（室）及相关机构事务支出(项):支出决算数为65.00万元，比上年决算减少5.00万元，下降7.14%,主要原因是：本年减少专项项目经费，导致相关经费减少。</w:t>
      </w:r>
    </w:p>
    <w:p w14:paraId="10F887B2">
      <w:pPr>
        <w:spacing w:line="580" w:lineRule="exact"/>
        <w:ind w:firstLine="640"/>
        <w:jc w:val="both"/>
      </w:pPr>
      <w:r>
        <w:rPr>
          <w:rFonts w:ascii="仿宋_GB2312" w:hAnsi="仿宋_GB2312" w:eastAsia="仿宋_GB2312"/>
          <w:b w:val="0"/>
          <w:sz w:val="32"/>
        </w:rPr>
        <w:t>2.一般公共服务支出(类)统战事务(款)宗教事务(项):支出决算数为6.59万元，比上年决算增加6.59万元，增长100.00%,主要原因是：本年增加下乡工作人员生活补助经费，导致相关经费增加。</w:t>
      </w:r>
    </w:p>
    <w:p w14:paraId="3AE5D534">
      <w:pPr>
        <w:spacing w:line="580" w:lineRule="exact"/>
        <w:ind w:firstLine="640"/>
        <w:jc w:val="both"/>
      </w:pPr>
      <w:r>
        <w:rPr>
          <w:rFonts w:ascii="仿宋_GB2312" w:hAnsi="仿宋_GB2312" w:eastAsia="仿宋_GB2312"/>
          <w:b w:val="0"/>
          <w:sz w:val="32"/>
        </w:rPr>
        <w:t>3.公共安全支出(类)检察(款)行政运行(项):支出决算数为2,531.01万元，比上年决算增加152.12万元，增长6.39%,主要原因是：本年在职人员工资调增，增加聘用书记员11人，导致相关人员经费较上年有所增加。</w:t>
      </w:r>
    </w:p>
    <w:p w14:paraId="0988C99E">
      <w:pPr>
        <w:spacing w:line="580" w:lineRule="exact"/>
        <w:ind w:firstLine="640"/>
        <w:jc w:val="both"/>
      </w:pPr>
      <w:r>
        <w:rPr>
          <w:rFonts w:ascii="仿宋_GB2312" w:hAnsi="仿宋_GB2312" w:eastAsia="仿宋_GB2312"/>
          <w:b w:val="0"/>
          <w:sz w:val="32"/>
        </w:rPr>
        <w:t>4.公共安全支出(类)检察(款)一般行政管理事务(项):支出决算数为724.59万元，比上年决算增加407.80万元，增长128.73%,主要原因是：本年增加业务办案及专业技术用房外立面改造项目，为民办实事工作经费项目相比上年增加。</w:t>
      </w:r>
    </w:p>
    <w:p w14:paraId="2A54ACAB">
      <w:pPr>
        <w:spacing w:line="580" w:lineRule="exact"/>
        <w:ind w:firstLine="640"/>
        <w:jc w:val="both"/>
      </w:pPr>
      <w:r>
        <w:rPr>
          <w:rFonts w:ascii="仿宋_GB2312" w:hAnsi="仿宋_GB2312" w:eastAsia="仿宋_GB2312"/>
          <w:b w:val="0"/>
          <w:sz w:val="32"/>
        </w:rPr>
        <w:t>5.公共安全支出(类)检察(款)检察监督(项):支出决算数为37.72万元，比上年决算增加37.72万元，增长100.00%,主要原因是：本年增加专项项目经费，导致相关经费增加。</w:t>
      </w:r>
    </w:p>
    <w:p w14:paraId="7A85C492">
      <w:pPr>
        <w:spacing w:line="580" w:lineRule="exact"/>
        <w:ind w:firstLine="640"/>
        <w:jc w:val="both"/>
      </w:pPr>
      <w:r>
        <w:rPr>
          <w:rFonts w:ascii="仿宋_GB2312" w:hAnsi="仿宋_GB2312" w:eastAsia="仿宋_GB2312"/>
          <w:b w:val="0"/>
          <w:sz w:val="32"/>
        </w:rPr>
        <w:t>6.公共安全支出(类)检察(款)其他检察支出(项):支出决算数为904.75万元，比上年决算减少101.57万元，下降10.09%,主要原因是：本年专项项目经费、装备经费相比上年增加。</w:t>
      </w:r>
    </w:p>
    <w:p w14:paraId="2617D7CB">
      <w:pPr>
        <w:spacing w:line="580" w:lineRule="exact"/>
        <w:ind w:firstLine="640"/>
        <w:jc w:val="both"/>
      </w:pPr>
      <w:r>
        <w:rPr>
          <w:rFonts w:ascii="仿宋_GB2312" w:hAnsi="仿宋_GB2312" w:eastAsia="仿宋_GB2312"/>
          <w:b w:val="0"/>
          <w:sz w:val="32"/>
        </w:rPr>
        <w:t>7.公共安全支出(类)其他公共安全支出(款)其他公共安全支出(项):支出决算数为130.00万元，比上年决算减少10.00万元，下降7.14%,主要原因是：本年专项项目经费相比上年减少。</w:t>
      </w:r>
    </w:p>
    <w:p w14:paraId="60B840B2">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8.社会保障和就业支出(类)行政事业单位养老支出(款)行政单位离退休(项):支出决算数为158.81万元，比上年决算增加35.92万元，增长29.23%,主要原因是：本年退休人员增加，退休费支出增加。</w:t>
      </w:r>
    </w:p>
    <w:p w14:paraId="7359D9F5">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233.95万元，比上年决算增加13.54万元，增长6.14%,主要原因是：本年在职人员工资调增，增加聘用书记员11人，养老保险缴费较上年增加。</w:t>
      </w:r>
    </w:p>
    <w:p w14:paraId="41B5AE91">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83.40万元，比上年决算增加54.38万元，增长187.39%,主要原因是：本年新增退休人员较上年增加，职业年金缴费支出增加。</w:t>
      </w:r>
    </w:p>
    <w:p w14:paraId="3569896B">
      <w:pPr>
        <w:spacing w:line="580" w:lineRule="exact"/>
        <w:ind w:firstLine="640"/>
        <w:jc w:val="both"/>
      </w:pPr>
      <w:r>
        <w:rPr>
          <w:rFonts w:ascii="仿宋_GB2312" w:hAnsi="仿宋_GB2312" w:eastAsia="仿宋_GB2312"/>
          <w:b w:val="0"/>
          <w:sz w:val="32"/>
        </w:rPr>
        <w:t>11.社会保障和就业支出(类)抚恤(款)死亡抚恤(项):支出决算数为112.19万元，比上年决算增加90.62万元，增长420.12%,主要原因是：本年退休死亡人员较上年增加，死亡抚恤支出增加。</w:t>
      </w:r>
    </w:p>
    <w:p w14:paraId="23F0EBF8">
      <w:pPr>
        <w:spacing w:line="580" w:lineRule="exact"/>
        <w:ind w:firstLine="640"/>
        <w:jc w:val="both"/>
      </w:pPr>
      <w:r>
        <w:rPr>
          <w:rFonts w:ascii="仿宋_GB2312" w:hAnsi="仿宋_GB2312" w:eastAsia="仿宋_GB2312"/>
          <w:b w:val="0"/>
          <w:sz w:val="32"/>
        </w:rPr>
        <w:t>12.卫生健康支出(类)行政事业单位医疗(款)行政单位医疗(项):支出决算数为99.58万元，比上年决算增加5.68万元，增长6.05%,主要原因是：本年在职人员工资基数调增，医疗缴费基数上涨，相应支出增加。</w:t>
      </w:r>
    </w:p>
    <w:p w14:paraId="2C27CBE2">
      <w:pPr>
        <w:spacing w:line="580" w:lineRule="exact"/>
        <w:ind w:firstLine="640"/>
        <w:jc w:val="both"/>
      </w:pPr>
      <w:r>
        <w:rPr>
          <w:rFonts w:ascii="仿宋_GB2312" w:hAnsi="仿宋_GB2312" w:eastAsia="仿宋_GB2312"/>
          <w:b w:val="0"/>
          <w:sz w:val="32"/>
        </w:rPr>
        <w:t>13.卫生健康支出(类)行政事业单位医疗(款)公务员医疗补助(项):支出决算数为27.42万元，比上年决算增加1.39万元，增长5.34%,主要原因是：本年在职人员工资基数调增，医疗缴费基数上涨，相应支出增加。</w:t>
      </w:r>
    </w:p>
    <w:p w14:paraId="6A6DC795">
      <w:pPr>
        <w:spacing w:line="580" w:lineRule="exact"/>
        <w:ind w:firstLine="640"/>
        <w:jc w:val="both"/>
      </w:pPr>
      <w:r>
        <w:rPr>
          <w:rFonts w:ascii="仿宋_GB2312" w:hAnsi="仿宋_GB2312" w:eastAsia="仿宋_GB2312"/>
          <w:b w:val="0"/>
          <w:sz w:val="32"/>
        </w:rPr>
        <w:t>14.住房保障支出(类)住房改革支出(款)住房公积金(项):支出决算数为202.95万元，比上年决算增加20.97万元，增长11.52%,主要原因是：本年在职人员工资基数调增，公积金缴费基数上涨，相应支出增加。</w:t>
      </w:r>
    </w:p>
    <w:p w14:paraId="128128BB">
      <w:pPr>
        <w:spacing w:line="580" w:lineRule="exact"/>
        <w:ind w:firstLine="640"/>
        <w:jc w:val="both"/>
      </w:pPr>
      <w:r>
        <w:rPr>
          <w:rFonts w:ascii="仿宋_GB2312" w:hAnsi="仿宋_GB2312" w:eastAsia="仿宋_GB2312"/>
          <w:b w:val="0"/>
          <w:sz w:val="32"/>
        </w:rPr>
        <w:t>15.其他支出(类)其他支出(款)其他支出(项):支出决算数为0.00万元，比上年决算减少0.64万元，下降100.00%,主要原因是：本年科目调整，专项项目经费上年在其他支出科目列支，本年调整至一般行政管理事务科目列支，导致相关经费减少。</w:t>
      </w:r>
    </w:p>
    <w:p w14:paraId="30008C96">
      <w:pPr>
        <w:spacing w:line="640" w:lineRule="exact"/>
        <w:ind w:firstLine="640"/>
        <w:jc w:val="both"/>
        <w:outlineLvl w:val="2"/>
      </w:pPr>
      <w:r>
        <w:rPr>
          <w:rFonts w:ascii="黑体" w:hAnsi="黑体" w:eastAsia="黑体"/>
          <w:sz w:val="32"/>
        </w:rPr>
        <w:t>六、一般公共预算财政拨款基本支出决算情况说明</w:t>
      </w:r>
    </w:p>
    <w:p w14:paraId="264CB726">
      <w:pPr>
        <w:spacing w:line="580" w:lineRule="exact"/>
        <w:ind w:firstLine="640"/>
        <w:jc w:val="both"/>
      </w:pPr>
      <w:r>
        <w:rPr>
          <w:rFonts w:ascii="仿宋_GB2312" w:hAnsi="仿宋_GB2312" w:eastAsia="仿宋_GB2312"/>
          <w:b w:val="0"/>
          <w:sz w:val="32"/>
        </w:rPr>
        <w:t>2024年度一般公共预算财政拨款基本支出3,455.89万元，其中：</w:t>
      </w:r>
      <w:r>
        <w:rPr>
          <w:rFonts w:ascii="仿宋_GB2312" w:hAnsi="仿宋_GB2312" w:eastAsia="仿宋_GB2312"/>
          <w:b/>
          <w:sz w:val="32"/>
        </w:rPr>
        <w:t>人员经费3,263.46万元，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2263A81C">
      <w:pPr>
        <w:spacing w:line="580" w:lineRule="exact"/>
        <w:ind w:firstLine="640"/>
        <w:jc w:val="both"/>
      </w:pPr>
      <w:r>
        <w:rPr>
          <w:rFonts w:ascii="仿宋_GB2312" w:hAnsi="仿宋_GB2312" w:eastAsia="仿宋_GB2312"/>
          <w:b/>
          <w:sz w:val="32"/>
        </w:rPr>
        <w:t>公用经费192.43万元，</w:t>
      </w:r>
      <w:r>
        <w:rPr>
          <w:rFonts w:ascii="仿宋_GB2312" w:hAnsi="仿宋_GB2312" w:eastAsia="仿宋_GB2312"/>
          <w:b w:val="0"/>
          <w:sz w:val="32"/>
        </w:rPr>
        <w:t>包括：办公费、手续费、水费、电费、取暖费、物业管理费、差旅费、租赁费、专用材料费、劳务费、工会经费、公务用车运行维护费、其他商品和服务支出。</w:t>
      </w:r>
    </w:p>
    <w:p w14:paraId="6A4B9F9D">
      <w:pPr>
        <w:spacing w:line="640" w:lineRule="exact"/>
        <w:ind w:firstLine="640"/>
        <w:jc w:val="both"/>
        <w:outlineLvl w:val="2"/>
      </w:pPr>
      <w:r>
        <w:rPr>
          <w:rFonts w:ascii="黑体" w:hAnsi="黑体" w:eastAsia="黑体"/>
          <w:sz w:val="32"/>
        </w:rPr>
        <w:t>七、政府性基金预算财政拨款收入支出决算情况说明</w:t>
      </w:r>
    </w:p>
    <w:p w14:paraId="77F55206">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A869B14">
      <w:pPr>
        <w:spacing w:line="640" w:lineRule="exact"/>
        <w:ind w:firstLine="640"/>
        <w:jc w:val="both"/>
        <w:outlineLvl w:val="2"/>
      </w:pPr>
      <w:r>
        <w:rPr>
          <w:rFonts w:ascii="黑体" w:hAnsi="黑体" w:eastAsia="黑体"/>
          <w:sz w:val="32"/>
        </w:rPr>
        <w:t>八、国有资本经营预算财政拨款收入支出决算情况说明</w:t>
      </w:r>
    </w:p>
    <w:p w14:paraId="1097E48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8A09831">
      <w:pPr>
        <w:spacing w:line="640" w:lineRule="exact"/>
        <w:ind w:firstLine="640"/>
        <w:jc w:val="both"/>
        <w:outlineLvl w:val="2"/>
      </w:pPr>
      <w:r>
        <w:rPr>
          <w:rFonts w:ascii="黑体" w:hAnsi="黑体" w:eastAsia="黑体"/>
          <w:sz w:val="32"/>
        </w:rPr>
        <w:t>九、财政拨款“三公”经费支出决算情况说明</w:t>
      </w:r>
    </w:p>
    <w:p w14:paraId="0D6456A4">
      <w:pPr>
        <w:spacing w:line="580" w:lineRule="exact"/>
        <w:ind w:firstLine="640"/>
        <w:jc w:val="both"/>
      </w:pPr>
      <w:r>
        <w:rPr>
          <w:rFonts w:ascii="仿宋_GB2312" w:hAnsi="仿宋_GB2312" w:eastAsia="仿宋_GB2312"/>
          <w:b/>
          <w:sz w:val="32"/>
        </w:rPr>
        <w:t>2024年度财政拨款“三公”经费支出164.13万元，</w:t>
      </w:r>
      <w:r>
        <w:rPr>
          <w:rFonts w:ascii="仿宋_GB2312" w:hAnsi="仿宋_GB2312" w:eastAsia="仿宋_GB2312"/>
          <w:b w:val="0"/>
          <w:sz w:val="32"/>
        </w:rPr>
        <w:t>比上年增加105.83万元，增长181.53%，主要原因是：本年新购入4辆公务用车，公务用车购置费和公务用车运行维护费较上年增加。其中：因公出国（境）费支出0.00万元，占0.00%，比上年增加0.00万元，增长0.00%，主要原因是：2023年与2024年均未安排因公出国（境）费支出。公务用车购置及运行维护费支出164.13万元，占100.00%，比上年增加105.83万元，增长181.53%，主要原因是：本年新购入4辆公务用车，公务用车购置费和公务用车运行维护费较上年增加。公务接待费支出0.00万元，占0.00%，比上年增加0.00万元，增长0.00%，主要原因是：2023年与2024年均未安排公务接待费支出。</w:t>
      </w:r>
    </w:p>
    <w:p w14:paraId="408014D1">
      <w:pPr>
        <w:spacing w:line="580" w:lineRule="exact"/>
        <w:ind w:firstLine="640"/>
        <w:jc w:val="both"/>
      </w:pPr>
      <w:r>
        <w:rPr>
          <w:rFonts w:ascii="仿宋_GB2312" w:hAnsi="仿宋_GB2312" w:eastAsia="仿宋_GB2312"/>
          <w:b/>
          <w:sz w:val="32"/>
        </w:rPr>
        <w:t>具体情况如下：</w:t>
      </w:r>
    </w:p>
    <w:p w14:paraId="5FB0E09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13CE444">
      <w:pPr>
        <w:spacing w:line="580" w:lineRule="exact"/>
        <w:ind w:firstLine="640"/>
        <w:jc w:val="both"/>
      </w:pPr>
      <w:r>
        <w:rPr>
          <w:rFonts w:ascii="仿宋_GB2312" w:hAnsi="仿宋_GB2312" w:eastAsia="仿宋_GB2312"/>
          <w:b w:val="0"/>
          <w:sz w:val="32"/>
        </w:rPr>
        <w:t>公务用车购置及运行维护费164.13万元，其中：公务用车购置费101.82万元，公务用车运行维护费62.31万元。公务用车运行维护费开支内容包括车辆加油费、维修费、保险费、审车费、过路费等。公务用车购置数4辆，公务用车保有量35辆。国有资产占用情况中固定资产车辆35辆，与公务用车保有量差异原因是：本部门固定资产车辆与公务用车保有量一致无差异。</w:t>
      </w:r>
    </w:p>
    <w:p w14:paraId="30AD3BC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BFB051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165.81万元，决算数164.13万元，预决算差异率-1.01%，主要原因是：严格落实中央八项规定精神，厉行节约，减少经费支出。其中：因公出国（境）费全年预算数0.00万元，决算数0.00万元，预决算差异率0.00%，主要原因是：本部门无因公出国（境）费。公务用车购置费全年预算数103.50万元，决算数101.82万元，预决算差异率-1.62%，主要原因是：严格落实中央八项规定精神，厉行节约，减少经费支出。公务用车运行维护费全年预算数62.31万元，决算数62.31万元，预决算差异率0.00%，主要原因是：严格按照预算执行，预决算无差异。公务接待费全年预算数0.00万元，决算数0.00万元，预决算差异率0.00%，主要原因是：本部门无公务接待费。</w:t>
      </w:r>
    </w:p>
    <w:p w14:paraId="3EA614D3">
      <w:pPr>
        <w:spacing w:line="640" w:lineRule="exact"/>
        <w:ind w:firstLine="640"/>
        <w:jc w:val="both"/>
        <w:outlineLvl w:val="2"/>
      </w:pPr>
      <w:r>
        <w:rPr>
          <w:rFonts w:ascii="黑体" w:hAnsi="黑体" w:eastAsia="黑体"/>
          <w:sz w:val="32"/>
        </w:rPr>
        <w:t>十、其他重要事项的情况说明</w:t>
      </w:r>
    </w:p>
    <w:p w14:paraId="073D1CC8">
      <w:pPr>
        <w:spacing w:line="640" w:lineRule="exact"/>
        <w:ind w:firstLine="640"/>
        <w:jc w:val="both"/>
        <w:outlineLvl w:val="3"/>
      </w:pPr>
      <w:r>
        <w:rPr>
          <w:rFonts w:ascii="楷体_GB2312" w:hAnsi="楷体_GB2312" w:eastAsia="楷体_GB2312"/>
          <w:b/>
          <w:sz w:val="32"/>
        </w:rPr>
        <w:t>（一）机关运行经费及公用经费支出情况</w:t>
      </w:r>
    </w:p>
    <w:p w14:paraId="7792756B">
      <w:pPr>
        <w:spacing w:line="580" w:lineRule="exact"/>
        <w:ind w:firstLine="640"/>
        <w:jc w:val="both"/>
      </w:pPr>
      <w:r>
        <w:rPr>
          <w:rFonts w:ascii="仿宋_GB2312" w:hAnsi="仿宋_GB2312" w:eastAsia="仿宋_GB2312"/>
          <w:b w:val="0"/>
          <w:sz w:val="32"/>
        </w:rPr>
        <w:t>2024年度新疆维吾尔自治区人民检察院喀什分院（行政单位和参照公务员法管理事业单位）机关运行经费支出192.43万元，比上年增加17.72万元，增长10.14%，主要原因是：本年增加电费、工会运行维护费等经费，导致机关运行经费增加。</w:t>
      </w:r>
    </w:p>
    <w:p w14:paraId="66C355BC">
      <w:pPr>
        <w:spacing w:line="640" w:lineRule="exact"/>
        <w:ind w:firstLine="640"/>
        <w:jc w:val="both"/>
        <w:outlineLvl w:val="3"/>
      </w:pPr>
      <w:r>
        <w:rPr>
          <w:rFonts w:ascii="楷体_GB2312" w:hAnsi="楷体_GB2312" w:eastAsia="楷体_GB2312"/>
          <w:b/>
          <w:sz w:val="32"/>
        </w:rPr>
        <w:t>（二）政府采购情况</w:t>
      </w:r>
    </w:p>
    <w:p w14:paraId="17B2A06A">
      <w:pPr>
        <w:spacing w:line="580" w:lineRule="exact"/>
        <w:ind w:firstLine="640"/>
        <w:jc w:val="both"/>
      </w:pPr>
      <w:r>
        <w:rPr>
          <w:rFonts w:ascii="仿宋_GB2312" w:hAnsi="仿宋_GB2312" w:eastAsia="仿宋_GB2312"/>
          <w:b w:val="0"/>
          <w:sz w:val="32"/>
        </w:rPr>
        <w:t>2024年度政府采购支出总额801.47万元，其中：政府采购货物支出255.54万元、政府采购工程支出31.74万元、政府采购服务支出514.18万元。</w:t>
      </w:r>
    </w:p>
    <w:p w14:paraId="55F9E922">
      <w:pPr>
        <w:spacing w:line="580" w:lineRule="exact"/>
        <w:ind w:firstLine="640"/>
        <w:jc w:val="both"/>
      </w:pPr>
      <w:r>
        <w:rPr>
          <w:rFonts w:ascii="仿宋_GB2312" w:hAnsi="仿宋_GB2312" w:eastAsia="仿宋_GB2312"/>
          <w:b w:val="0"/>
          <w:sz w:val="32"/>
        </w:rPr>
        <w:t>授予中小企业合同金额801.13万元，占政府采购支出总额的99.96%，其中：授予小微企业合同金额790.07万元，占政府采购支出总额的98.58%。</w:t>
      </w:r>
    </w:p>
    <w:p w14:paraId="788FAB23">
      <w:pPr>
        <w:spacing w:line="640" w:lineRule="exact"/>
        <w:ind w:firstLine="640"/>
        <w:jc w:val="both"/>
        <w:outlineLvl w:val="3"/>
      </w:pPr>
      <w:r>
        <w:rPr>
          <w:rFonts w:ascii="楷体_GB2312" w:hAnsi="楷体_GB2312" w:eastAsia="楷体_GB2312"/>
          <w:b/>
          <w:sz w:val="32"/>
        </w:rPr>
        <w:t>（三）国有资产占用情况说明</w:t>
      </w:r>
    </w:p>
    <w:p w14:paraId="0F32B87E">
      <w:pPr>
        <w:spacing w:line="580" w:lineRule="exact"/>
        <w:ind w:firstLine="640"/>
        <w:jc w:val="both"/>
      </w:pPr>
      <w:r>
        <w:rPr>
          <w:rFonts w:ascii="仿宋_GB2312" w:hAnsi="仿宋_GB2312" w:eastAsia="仿宋_GB2312"/>
          <w:b w:val="0"/>
          <w:sz w:val="32"/>
        </w:rPr>
        <w:t>截至2024年12月31日，房屋11,232.16平方米，价值2,736.50万元。车辆35辆，价值879.87万元，其中：副部（省）级及以上领导用车0辆、主要负责人用车0辆、机要通信用车0辆、应急保障用车0辆、执法执勤用车23辆、特种专业技术用车8辆、离退休干部服务用车0辆、其他用车4辆，其他用车主要是：一般公务用车。单价100万元（含）以上设备（不含车辆）1台（套）。</w:t>
      </w:r>
    </w:p>
    <w:p w14:paraId="6AFA8DEC">
      <w:pPr>
        <w:spacing w:line="580" w:lineRule="exact"/>
        <w:ind w:firstLine="640"/>
        <w:jc w:val="both"/>
        <w:rPr>
          <w:rFonts w:ascii="黑体" w:hAnsi="黑体" w:eastAsia="黑体"/>
          <w:sz w:val="32"/>
        </w:rPr>
      </w:pPr>
      <w:r>
        <w:rPr>
          <w:rFonts w:ascii="黑体" w:hAnsi="黑体" w:eastAsia="黑体"/>
          <w:sz w:val="32"/>
        </w:rPr>
        <w:t>十一、预算绩效的情况说明</w:t>
      </w:r>
    </w:p>
    <w:p w14:paraId="24E57FB7">
      <w:pPr>
        <w:spacing w:line="580" w:lineRule="exact"/>
        <w:ind w:firstLine="640"/>
        <w:jc w:val="both"/>
        <w:rPr>
          <w:sz w:val="30"/>
          <w:szCs w:val="30"/>
        </w:rPr>
      </w:pPr>
      <w:r>
        <w:rPr>
          <w:rFonts w:ascii="仿宋_GB2312" w:hAnsi="仿宋_GB2312" w:eastAsia="仿宋_GB2312"/>
          <w:b w:val="0"/>
          <w:sz w:val="32"/>
        </w:rPr>
        <w:t>根据预算绩效管理要求，本部门2024年度预算绩效管理形成整体支出绩效自评表1个，全年预算总额5,680.36万元，实际执行总额5,375.13万元；预算绩效评价项目</w:t>
      </w:r>
      <w:r>
        <w:rPr>
          <w:rFonts w:hint="eastAsia" w:ascii="仿宋_GB2312" w:hAnsi="仿宋_GB2312" w:eastAsia="仿宋_GB2312"/>
          <w:b w:val="0"/>
          <w:sz w:val="32"/>
          <w:lang w:val="en-US" w:eastAsia="zh-CN"/>
        </w:rPr>
        <w:t>16</w:t>
      </w:r>
      <w:r>
        <w:rPr>
          <w:rFonts w:ascii="仿宋_GB2312" w:hAnsi="仿宋_GB2312" w:eastAsia="仿宋_GB2312"/>
          <w:b w:val="0"/>
          <w:sz w:val="32"/>
        </w:rPr>
        <w:t>个，全年预算数</w:t>
      </w:r>
      <w:r>
        <w:rPr>
          <w:rFonts w:hint="eastAsia" w:ascii="仿宋_GB2312" w:hAnsi="仿宋_GB2312" w:eastAsia="仿宋_GB2312"/>
          <w:b w:val="0"/>
          <w:sz w:val="32"/>
        </w:rPr>
        <w:t>2,135.99</w:t>
      </w:r>
      <w:r>
        <w:rPr>
          <w:rFonts w:ascii="仿宋_GB2312" w:hAnsi="仿宋_GB2312" w:eastAsia="仿宋_GB2312"/>
          <w:b w:val="0"/>
          <w:sz w:val="32"/>
        </w:rPr>
        <w:t>万元，全年执行数</w:t>
      </w:r>
      <w:r>
        <w:rPr>
          <w:rFonts w:hint="eastAsia" w:ascii="仿宋_GB2312" w:hAnsi="仿宋_GB2312" w:eastAsia="仿宋_GB2312"/>
          <w:b w:val="0"/>
          <w:sz w:val="32"/>
        </w:rPr>
        <w:t>1,844.34</w:t>
      </w:r>
      <w:r>
        <w:rPr>
          <w:rFonts w:ascii="仿宋_GB2312" w:hAnsi="仿宋_GB2312" w:eastAsia="仿宋_GB2312"/>
          <w:b w:val="0"/>
          <w:sz w:val="32"/>
        </w:rPr>
        <w:t>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把握实施节点，项目建成后综合评价好。发现的问题及原因：一是部分业务人员绩效管理意识</w:t>
      </w:r>
      <w:r>
        <w:rPr>
          <w:rFonts w:ascii="仿宋_GB2312" w:hAnsi="仿宋_GB2312" w:eastAsia="仿宋_GB2312"/>
          <w:b w:val="0"/>
          <w:sz w:val="30"/>
          <w:szCs w:val="30"/>
        </w:rPr>
        <w:t>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提高资金使用效益。在遵守法律法规的前提下，统筹兼顾、量力而行、讲求绩效，圆满完成党中央、自治区和地区决策部署提出的各项要求。二是强化内部控制管理，严格按规定做好绩效目标申报、自评、公开等相关工作，提高财政资金使用绩效；加强实物资产管理，健全资产管理制度，规范资产清查和核算。具体附部门整体支出绩效自评表，项目支出绩效自评表。</w:t>
      </w:r>
    </w:p>
    <w:p w14:paraId="2CAC3B7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7AD5B3E">
        <w:tblPrEx>
          <w:tblCellMar>
            <w:top w:w="0" w:type="dxa"/>
            <w:left w:w="108" w:type="dxa"/>
            <w:bottom w:w="0" w:type="dxa"/>
            <w:right w:w="108" w:type="dxa"/>
          </w:tblCellMar>
        </w:tblPrEx>
        <w:tc>
          <w:tcPr>
            <w:tcW w:w="8847" w:type="dxa"/>
            <w:gridSpan w:val="9"/>
            <w:vAlign w:val="center"/>
          </w:tcPr>
          <w:p w14:paraId="4123E8A8">
            <w:pPr>
              <w:jc w:val="center"/>
            </w:pPr>
            <w:r>
              <w:rPr>
                <w:rFonts w:ascii="宋体" w:hAnsi="宋体" w:eastAsia="宋体"/>
                <w:sz w:val="24"/>
              </w:rPr>
              <w:t>部门整体支出绩效自评表</w:t>
            </w:r>
          </w:p>
        </w:tc>
      </w:tr>
      <w:tr w14:paraId="057BD35D">
        <w:tblPrEx>
          <w:tblCellMar>
            <w:top w:w="0" w:type="dxa"/>
            <w:left w:w="108" w:type="dxa"/>
            <w:bottom w:w="0" w:type="dxa"/>
            <w:right w:w="108" w:type="dxa"/>
          </w:tblCellMar>
        </w:tblPrEx>
        <w:tc>
          <w:tcPr>
            <w:tcW w:w="8847" w:type="dxa"/>
            <w:gridSpan w:val="9"/>
            <w:vAlign w:val="center"/>
          </w:tcPr>
          <w:p w14:paraId="58ED130F">
            <w:pPr>
              <w:jc w:val="center"/>
            </w:pPr>
            <w:r>
              <w:rPr>
                <w:rFonts w:ascii="宋体" w:hAnsi="宋体" w:eastAsia="宋体"/>
                <w:sz w:val="24"/>
              </w:rPr>
              <w:t>（2024年度）</w:t>
            </w:r>
          </w:p>
        </w:tc>
      </w:tr>
      <w:tr w14:paraId="2CC1A2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E4F9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9749F0D">
            <w:pPr>
              <w:jc w:val="center"/>
            </w:pPr>
            <w:r>
              <w:rPr>
                <w:rFonts w:ascii="宋体" w:hAnsi="宋体" w:eastAsia="宋体"/>
                <w:sz w:val="16"/>
              </w:rPr>
              <w:t>新疆维吾尔自治区人民检察院喀什分院</w:t>
            </w:r>
          </w:p>
        </w:tc>
      </w:tr>
      <w:tr w14:paraId="791B75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FF09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5E19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EDBC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B338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04F3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FB77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21BD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D18E2">
            <w:pPr>
              <w:jc w:val="center"/>
            </w:pPr>
            <w:r>
              <w:rPr>
                <w:rFonts w:ascii="宋体" w:hAnsi="宋体" w:eastAsia="宋体"/>
                <w:sz w:val="16"/>
              </w:rPr>
              <w:t>得分</w:t>
            </w:r>
          </w:p>
        </w:tc>
      </w:tr>
      <w:tr w14:paraId="4A9C24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F0A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B7CC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7818F">
            <w:pPr>
              <w:jc w:val="center"/>
            </w:pPr>
            <w:r>
              <w:rPr>
                <w:rFonts w:ascii="宋体" w:hAnsi="宋体" w:eastAsia="宋体"/>
                <w:sz w:val="16"/>
              </w:rPr>
              <w:t>4,718.00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F71C4">
            <w:pPr>
              <w:jc w:val="center"/>
            </w:pPr>
            <w:r>
              <w:rPr>
                <w:rFonts w:ascii="宋体" w:hAnsi="宋体" w:eastAsia="宋体"/>
                <w:sz w:val="16"/>
              </w:rPr>
              <w:t>5,680.36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4DC10">
            <w:pPr>
              <w:jc w:val="center"/>
            </w:pPr>
            <w:r>
              <w:rPr>
                <w:rFonts w:ascii="宋体" w:hAnsi="宋体" w:eastAsia="宋体"/>
                <w:sz w:val="16"/>
              </w:rPr>
              <w:t>5,375.13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6F4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0A19A">
            <w:pPr>
              <w:jc w:val="center"/>
            </w:pPr>
            <w:r>
              <w:rPr>
                <w:rFonts w:ascii="宋体" w:hAnsi="宋体" w:eastAsia="宋体"/>
                <w:sz w:val="16"/>
              </w:rPr>
              <w:t>94.63%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55DFE">
            <w:pPr>
              <w:jc w:val="center"/>
            </w:pPr>
            <w:r>
              <w:rPr>
                <w:rFonts w:ascii="宋体" w:hAnsi="宋体" w:eastAsia="宋体"/>
                <w:sz w:val="16"/>
              </w:rPr>
              <w:t>9.46</w:t>
            </w:r>
          </w:p>
        </w:tc>
      </w:tr>
      <w:tr w14:paraId="66B793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2D2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9EA7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A418C">
            <w:pPr>
              <w:jc w:val="center"/>
            </w:pPr>
            <w:r>
              <w:rPr>
                <w:rFonts w:ascii="宋体" w:hAnsi="宋体" w:eastAsia="宋体"/>
                <w:sz w:val="16"/>
              </w:rPr>
              <w:t>1,106.30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7BEC4">
            <w:pPr>
              <w:jc w:val="center"/>
            </w:pPr>
            <w:r>
              <w:rPr>
                <w:rFonts w:ascii="宋体" w:hAnsi="宋体" w:eastAsia="宋体"/>
                <w:sz w:val="16"/>
              </w:rPr>
              <w:t>1,673.02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F27EE">
            <w:pPr>
              <w:jc w:val="center"/>
            </w:pPr>
            <w:r>
              <w:rPr>
                <w:rFonts w:ascii="宋体" w:hAnsi="宋体" w:eastAsia="宋体"/>
                <w:sz w:val="16"/>
              </w:rPr>
              <w:t>1,534.59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61E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4E79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9BE1C">
            <w:pPr>
              <w:jc w:val="center"/>
            </w:pPr>
            <w:r>
              <w:rPr>
                <w:rFonts w:ascii="宋体" w:hAnsi="宋体" w:eastAsia="宋体"/>
                <w:sz w:val="16"/>
              </w:rPr>
              <w:t>—</w:t>
            </w:r>
          </w:p>
        </w:tc>
      </w:tr>
      <w:tr w14:paraId="18654D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5CE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2375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AE8A2">
            <w:pPr>
              <w:jc w:val="center"/>
            </w:pPr>
            <w:r>
              <w:rPr>
                <w:rFonts w:ascii="宋体" w:hAnsi="宋体" w:eastAsia="宋体"/>
                <w:sz w:val="16"/>
              </w:rPr>
              <w:t>3,591.70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DBBCB">
            <w:pPr>
              <w:jc w:val="center"/>
            </w:pPr>
            <w:r>
              <w:rPr>
                <w:rFonts w:ascii="宋体" w:hAnsi="宋体" w:eastAsia="宋体"/>
                <w:sz w:val="16"/>
              </w:rPr>
              <w:t>3,987.34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CD938">
            <w:pPr>
              <w:jc w:val="center"/>
            </w:pPr>
            <w:r>
              <w:rPr>
                <w:rFonts w:ascii="宋体" w:hAnsi="宋体" w:eastAsia="宋体"/>
                <w:sz w:val="16"/>
              </w:rPr>
              <w:t>3,820.54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ACC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471A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254ED">
            <w:pPr>
              <w:jc w:val="center"/>
            </w:pPr>
            <w:r>
              <w:rPr>
                <w:rFonts w:ascii="宋体" w:hAnsi="宋体" w:eastAsia="宋体"/>
                <w:sz w:val="16"/>
              </w:rPr>
              <w:t>—</w:t>
            </w:r>
          </w:p>
        </w:tc>
      </w:tr>
      <w:tr w14:paraId="39D183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500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8BAC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7E68D">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D3D1F">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9915C">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B56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9F70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022A1">
            <w:pPr>
              <w:jc w:val="center"/>
            </w:pPr>
            <w:r>
              <w:rPr>
                <w:rFonts w:ascii="宋体" w:hAnsi="宋体" w:eastAsia="宋体"/>
                <w:sz w:val="16"/>
              </w:rPr>
              <w:t>—</w:t>
            </w:r>
          </w:p>
        </w:tc>
      </w:tr>
      <w:tr w14:paraId="3AB0B1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136D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DA4E2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087D18">
            <w:pPr>
              <w:jc w:val="center"/>
            </w:pPr>
            <w:r>
              <w:rPr>
                <w:rFonts w:ascii="宋体" w:hAnsi="宋体" w:eastAsia="宋体"/>
                <w:sz w:val="16"/>
              </w:rPr>
              <w:t>实际完成情况</w:t>
            </w:r>
          </w:p>
        </w:tc>
      </w:tr>
      <w:tr w14:paraId="00C4FD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318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91CE7E">
            <w:pPr>
              <w:jc w:val="both"/>
            </w:pPr>
            <w:r>
              <w:rPr>
                <w:rFonts w:ascii="宋体" w:hAnsi="宋体" w:eastAsia="宋体"/>
                <w:sz w:val="16"/>
              </w:rPr>
              <w:t>全面优化“四大检察”法律监督,保障被监管人的合法权益；持续加强民行行政检察监督；大力推进公益诉讼检察；不断深化信访工作；打造忠诚干净担当的过硬检察队伍，保障检察业务工作正常运行，保障检察人员专项福利。目标1：承办的刑事、民事、行政诉讼活动及刑事、民事、行政判决和裁定等生效法律文书执行的法律监督工作，全区全年法律监督办案数&gt;=2400件。目标2：注重发挥检察建议作用，加强诉源治理，推动法律监督制度优势持续转化为社会治理效能，检察建议采纳率&gt;=98%。目标3：持续深化全面从严治检，努力培育检察业务人才，举办培训班次数&gt;=60次。目标4：紧紧围绕司法体制改革，加强办案能力，确保服务保障，全年办理案件的结案率&gt;=95%，案件办理及时率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2A2370">
            <w:pPr>
              <w:jc w:val="both"/>
            </w:pPr>
            <w:r>
              <w:rPr>
                <w:rFonts w:ascii="宋体" w:hAnsi="宋体" w:eastAsia="宋体"/>
                <w:sz w:val="16"/>
              </w:rPr>
              <w:t>全面优化“四大检察”法律监督,保障被监管人的合法权益；持续加强民行行政检察监督；大力推进公益诉讼检察；不断深化信访工作；打造忠诚干净担当的过硬检察队伍，保障检察业务工作正常运行，保障检察人员专项福利。</w:t>
            </w:r>
            <w:r>
              <w:rPr>
                <w:rFonts w:hint="eastAsia" w:ascii="宋体" w:hAnsi="宋体"/>
                <w:sz w:val="16"/>
                <w:lang w:eastAsia="zh-CN"/>
              </w:rPr>
              <w:t>办好</w:t>
            </w:r>
            <w:r>
              <w:rPr>
                <w:rFonts w:ascii="宋体" w:hAnsi="宋体" w:eastAsia="宋体"/>
                <w:sz w:val="16"/>
              </w:rPr>
              <w:t>刑事、民事、行政诉讼活动及刑事、民事、行政判决和裁定等生效法律文书执行的法律监督工作，全区全年法律监督办案数为2400件。注重发挥检察建议作用，加强诉源治理，推动法律监督制度优势持续转化为社会治理效能，检察建议采纳率达100%。持续深化全面从严治检，努力培育检察业务人才，举办培训班次数为60次。紧紧围绕司法体制改革，加强办案能力，确保服务保障，全年办理案件的结案率为95%，案件办理及时率为100%。</w:t>
            </w:r>
          </w:p>
        </w:tc>
      </w:tr>
      <w:tr w14:paraId="67CD9D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5642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6850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0A3D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AFE1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EDD3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310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713A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BF2E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3070F">
            <w:pPr>
              <w:jc w:val="center"/>
            </w:pPr>
            <w:r>
              <w:rPr>
                <w:rFonts w:ascii="宋体" w:hAnsi="宋体" w:eastAsia="宋体"/>
                <w:sz w:val="16"/>
              </w:rPr>
              <w:t>得分</w:t>
            </w:r>
          </w:p>
        </w:tc>
      </w:tr>
      <w:tr w14:paraId="345ED5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0788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1D2B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C8CE">
            <w:pPr>
              <w:jc w:val="center"/>
            </w:pPr>
            <w:r>
              <w:rPr>
                <w:rFonts w:ascii="宋体" w:hAnsi="宋体" w:eastAsia="宋体"/>
                <w:sz w:val="16"/>
              </w:rPr>
              <w:t>全区全年法律监督办案数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072D0">
            <w:pPr>
              <w:jc w:val="center"/>
            </w:pPr>
            <w:r>
              <w:rPr>
                <w:rFonts w:ascii="宋体" w:hAnsi="宋体" w:eastAsia="宋体"/>
                <w:sz w:val="16"/>
              </w:rPr>
              <w:t>&gt;=2400件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73B0B">
            <w:pPr>
              <w:jc w:val="center"/>
            </w:pPr>
            <w:r>
              <w:rPr>
                <w:rFonts w:ascii="宋体" w:hAnsi="宋体" w:eastAsia="宋体"/>
                <w:sz w:val="16"/>
              </w:rPr>
              <w:t>新疆维吾尔自治区人民检察院喀什分院工作报告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AFF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89B4B">
            <w:pPr>
              <w:jc w:val="center"/>
            </w:pPr>
            <w:r>
              <w:rPr>
                <w:rFonts w:ascii="宋体" w:hAnsi="宋体" w:eastAsia="宋体"/>
                <w:sz w:val="16"/>
              </w:rPr>
              <w:t>2400件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944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C4F88">
            <w:pPr>
              <w:jc w:val="center"/>
            </w:pPr>
            <w:r>
              <w:rPr>
                <w:rFonts w:ascii="宋体" w:hAnsi="宋体" w:eastAsia="宋体"/>
                <w:sz w:val="16"/>
              </w:rPr>
              <w:t>20</w:t>
            </w:r>
          </w:p>
        </w:tc>
      </w:tr>
      <w:tr w14:paraId="0D7D85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F78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F88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CEB45">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69384">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BC558">
            <w:pPr>
              <w:jc w:val="center"/>
            </w:pPr>
            <w:r>
              <w:rPr>
                <w:rFonts w:hint="eastAsia" w:ascii="宋体" w:hAnsi="宋体"/>
                <w:sz w:val="16"/>
                <w:lang w:eastAsia="zh-CN"/>
              </w:rPr>
              <w:t>新疆维吾尔自治区</w:t>
            </w:r>
            <w:r>
              <w:rPr>
                <w:rFonts w:ascii="宋体" w:hAnsi="宋体" w:eastAsia="宋体"/>
                <w:sz w:val="16"/>
              </w:rPr>
              <w:t>人民检察院喀什分院工作报告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509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932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7C5C4">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34CD2">
            <w:pPr>
              <w:jc w:val="center"/>
            </w:pPr>
            <w:r>
              <w:rPr>
                <w:rFonts w:ascii="宋体" w:hAnsi="宋体" w:eastAsia="宋体"/>
                <w:sz w:val="16"/>
              </w:rPr>
              <w:t>20</w:t>
            </w:r>
          </w:p>
        </w:tc>
      </w:tr>
      <w:tr w14:paraId="3F078D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4D4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DD8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1DAB2">
            <w:pPr>
              <w:jc w:val="center"/>
            </w:pPr>
            <w:r>
              <w:rPr>
                <w:rFonts w:ascii="宋体" w:hAnsi="宋体" w:eastAsia="宋体"/>
                <w:sz w:val="16"/>
              </w:rPr>
              <w:t>举办培训班次数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046FD">
            <w:pPr>
              <w:jc w:val="center"/>
            </w:pPr>
            <w:r>
              <w:rPr>
                <w:rFonts w:ascii="宋体" w:hAnsi="宋体" w:eastAsia="宋体"/>
                <w:sz w:val="16"/>
              </w:rPr>
              <w:t>&gt;=60次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3A514">
            <w:pPr>
              <w:jc w:val="center"/>
            </w:pPr>
            <w:r>
              <w:rPr>
                <w:rFonts w:ascii="宋体" w:hAnsi="宋体" w:eastAsia="宋体"/>
                <w:sz w:val="16"/>
              </w:rPr>
              <w:t>新疆维吾尔自治区人民检察院喀什分院工作报告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47AF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302E4">
            <w:pPr>
              <w:jc w:val="center"/>
            </w:pPr>
            <w:r>
              <w:rPr>
                <w:rFonts w:ascii="宋体" w:hAnsi="宋体" w:eastAsia="宋体"/>
                <w:sz w:val="16"/>
              </w:rPr>
              <w:t>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B8A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19063">
            <w:pPr>
              <w:jc w:val="center"/>
            </w:pPr>
            <w:r>
              <w:rPr>
                <w:rFonts w:ascii="宋体" w:hAnsi="宋体" w:eastAsia="宋体"/>
                <w:sz w:val="16"/>
              </w:rPr>
              <w:t>20</w:t>
            </w:r>
          </w:p>
        </w:tc>
      </w:tr>
      <w:tr w14:paraId="198E11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9016D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320B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BE9EF">
            <w:pPr>
              <w:jc w:val="center"/>
            </w:pPr>
            <w:r>
              <w:rPr>
                <w:rFonts w:ascii="宋体" w:hAnsi="宋体" w:eastAsia="宋体"/>
                <w:sz w:val="16"/>
              </w:rPr>
              <w:t>全年办理案件的结案率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7279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9A41F">
            <w:pPr>
              <w:jc w:val="center"/>
            </w:pPr>
            <w:r>
              <w:rPr>
                <w:rFonts w:ascii="宋体" w:hAnsi="宋体" w:eastAsia="宋体"/>
                <w:sz w:val="16"/>
              </w:rPr>
              <w:t>新疆维吾尔自治区人民检察院喀什分院工作报告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3B1F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DCB7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1A7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47E67">
            <w:pPr>
              <w:jc w:val="center"/>
            </w:pPr>
            <w:r>
              <w:rPr>
                <w:rFonts w:ascii="宋体" w:hAnsi="宋体" w:eastAsia="宋体"/>
                <w:sz w:val="16"/>
              </w:rPr>
              <w:t>20</w:t>
            </w:r>
          </w:p>
        </w:tc>
      </w:tr>
      <w:tr w14:paraId="4003FC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8D2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17C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E3DD2">
            <w:pPr>
              <w:jc w:val="center"/>
            </w:pPr>
            <w:r>
              <w:rPr>
                <w:rFonts w:ascii="宋体" w:hAnsi="宋体" w:eastAsia="宋体"/>
                <w:sz w:val="16"/>
              </w:rPr>
              <w:t>案件办理及时率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331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4925E">
            <w:pPr>
              <w:jc w:val="center"/>
            </w:pPr>
            <w:r>
              <w:rPr>
                <w:rFonts w:ascii="宋体" w:hAnsi="宋体" w:eastAsia="宋体"/>
                <w:sz w:val="16"/>
              </w:rPr>
              <w:t>新疆维吾尔自治区人民检察院喀什分院工作报告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9D3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A51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D67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D36E3">
            <w:pPr>
              <w:jc w:val="center"/>
            </w:pPr>
            <w:r>
              <w:rPr>
                <w:rFonts w:ascii="宋体" w:hAnsi="宋体" w:eastAsia="宋体"/>
                <w:sz w:val="16"/>
              </w:rPr>
              <w:t>10</w:t>
            </w:r>
          </w:p>
        </w:tc>
      </w:tr>
    </w:tbl>
    <w:p w14:paraId="6D3424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66C6C352">
        <w:tblPrEx>
          <w:tblCellMar>
            <w:top w:w="0" w:type="dxa"/>
            <w:left w:w="108" w:type="dxa"/>
            <w:bottom w:w="0" w:type="dxa"/>
            <w:right w:w="108" w:type="dxa"/>
          </w:tblCellMar>
        </w:tblPrEx>
        <w:tc>
          <w:tcPr>
            <w:tcW w:w="8848" w:type="dxa"/>
            <w:gridSpan w:val="14"/>
            <w:vAlign w:val="center"/>
          </w:tcPr>
          <w:p w14:paraId="588626D9">
            <w:pPr>
              <w:jc w:val="center"/>
            </w:pPr>
            <w:r>
              <w:rPr>
                <w:rFonts w:ascii="宋体" w:hAnsi="宋体" w:eastAsia="宋体"/>
                <w:sz w:val="24"/>
              </w:rPr>
              <w:t>项目支出绩效自评表</w:t>
            </w:r>
          </w:p>
        </w:tc>
      </w:tr>
      <w:tr w14:paraId="33529C74">
        <w:tblPrEx>
          <w:tblCellMar>
            <w:top w:w="0" w:type="dxa"/>
            <w:left w:w="108" w:type="dxa"/>
            <w:bottom w:w="0" w:type="dxa"/>
            <w:right w:w="108" w:type="dxa"/>
          </w:tblCellMar>
        </w:tblPrEx>
        <w:tc>
          <w:tcPr>
            <w:tcW w:w="8848" w:type="dxa"/>
            <w:gridSpan w:val="14"/>
            <w:vAlign w:val="center"/>
          </w:tcPr>
          <w:p w14:paraId="5BBAFC76">
            <w:pPr>
              <w:jc w:val="center"/>
            </w:pPr>
            <w:r>
              <w:rPr>
                <w:rFonts w:ascii="宋体" w:hAnsi="宋体" w:eastAsia="宋体"/>
                <w:sz w:val="24"/>
              </w:rPr>
              <w:t>(2024年度)</w:t>
            </w:r>
          </w:p>
        </w:tc>
      </w:tr>
      <w:tr w14:paraId="7FD142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1A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815E36">
            <w:pPr>
              <w:jc w:val="center"/>
            </w:pPr>
            <w:r>
              <w:rPr>
                <w:rFonts w:ascii="宋体" w:hAnsi="宋体" w:eastAsia="宋体"/>
                <w:sz w:val="16"/>
              </w:rPr>
              <w:t>办案及专业技术用房外立面改造项目</w:t>
            </w:r>
          </w:p>
        </w:tc>
      </w:tr>
      <w:tr w14:paraId="2ACBDC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D3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83E22F">
            <w:pPr>
              <w:jc w:val="center"/>
            </w:pPr>
            <w:r>
              <w:rPr>
                <w:rFonts w:ascii="宋体" w:hAnsi="宋体" w:eastAsia="宋体"/>
                <w:sz w:val="16"/>
              </w:rPr>
              <w:t>新疆维吾尔自治区人民检察院喀什分院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B61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90C42B">
            <w:pPr>
              <w:jc w:val="center"/>
            </w:pPr>
            <w:r>
              <w:rPr>
                <w:rFonts w:ascii="宋体" w:hAnsi="宋体" w:eastAsia="宋体"/>
                <w:sz w:val="16"/>
              </w:rPr>
              <w:t>新疆维吾尔自治区人民检察院喀什分院</w:t>
            </w:r>
          </w:p>
        </w:tc>
      </w:tr>
      <w:tr w14:paraId="0CAC50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AF2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7C2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556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109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38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9F9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A8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1906">
            <w:pPr>
              <w:jc w:val="center"/>
            </w:pPr>
            <w:r>
              <w:rPr>
                <w:rFonts w:ascii="宋体" w:hAnsi="宋体" w:eastAsia="宋体"/>
                <w:sz w:val="16"/>
              </w:rPr>
              <w:t>得分</w:t>
            </w:r>
          </w:p>
        </w:tc>
      </w:tr>
      <w:tr w14:paraId="16387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13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6D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34E16">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EEB4B">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3B4C0">
            <w:pPr>
              <w:jc w:val="center"/>
            </w:pPr>
            <w:r>
              <w:rPr>
                <w:rFonts w:ascii="宋体" w:hAnsi="宋体" w:eastAsia="宋体"/>
                <w:sz w:val="16"/>
              </w:rPr>
              <w:t>366.98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9A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3CBC">
            <w:pPr>
              <w:jc w:val="center"/>
            </w:pPr>
            <w:r>
              <w:rPr>
                <w:rFonts w:ascii="宋体" w:hAnsi="宋体" w:eastAsia="宋体"/>
                <w:sz w:val="16"/>
              </w:rPr>
              <w:t>73.4%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B5D1">
            <w:pPr>
              <w:jc w:val="center"/>
            </w:pPr>
            <w:r>
              <w:rPr>
                <w:rFonts w:ascii="宋体" w:hAnsi="宋体" w:eastAsia="宋体"/>
                <w:sz w:val="16"/>
              </w:rPr>
              <w:t>3.35分</w:t>
            </w:r>
          </w:p>
        </w:tc>
      </w:tr>
      <w:tr w14:paraId="36B7E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87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FE0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AD717">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30FC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B3D4F">
            <w:pPr>
              <w:jc w:val="center"/>
            </w:pPr>
            <w:r>
              <w:rPr>
                <w:rFonts w:ascii="宋体" w:hAnsi="宋体" w:eastAsia="宋体"/>
                <w:sz w:val="16"/>
              </w:rPr>
              <w:t>366.98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11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18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533C">
            <w:pPr>
              <w:jc w:val="center"/>
            </w:pPr>
            <w:r>
              <w:rPr>
                <w:rFonts w:ascii="宋体" w:hAnsi="宋体" w:eastAsia="宋体"/>
                <w:sz w:val="16"/>
              </w:rPr>
              <w:t>—</w:t>
            </w:r>
          </w:p>
        </w:tc>
      </w:tr>
      <w:tr w14:paraId="47BEB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2C3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91C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D41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C2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CB7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C89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71E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1A10">
            <w:pPr>
              <w:jc w:val="center"/>
            </w:pPr>
            <w:r>
              <w:rPr>
                <w:rFonts w:ascii="宋体" w:hAnsi="宋体" w:eastAsia="宋体"/>
                <w:sz w:val="16"/>
              </w:rPr>
              <w:t>—</w:t>
            </w:r>
          </w:p>
        </w:tc>
      </w:tr>
      <w:tr w14:paraId="106401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9EB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FECD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C3DE16">
            <w:pPr>
              <w:jc w:val="center"/>
            </w:pPr>
            <w:r>
              <w:rPr>
                <w:rFonts w:ascii="宋体" w:hAnsi="宋体" w:eastAsia="宋体"/>
                <w:sz w:val="16"/>
              </w:rPr>
              <w:t>实际完成情况</w:t>
            </w:r>
          </w:p>
        </w:tc>
      </w:tr>
      <w:tr w14:paraId="187D8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444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1B2AC">
            <w:pPr>
              <w:jc w:val="both"/>
            </w:pPr>
            <w:r>
              <w:rPr>
                <w:rFonts w:ascii="宋体" w:hAnsi="宋体" w:eastAsia="宋体"/>
                <w:sz w:val="16"/>
              </w:rPr>
              <w:t>我院业务办案及专业技术用房由于年久失修、外墙保温层出现不同程度开裂、脱落等情况，造成严重的安全隐患，且整体色调与喀什市色调差异较大，不符合市政整体规划，为消除安全隐患，提高抗震能力对我院整个大楼外立面约5000平方米进行改造大型修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CB691F">
            <w:pPr>
              <w:jc w:val="both"/>
            </w:pPr>
            <w:r>
              <w:rPr>
                <w:rFonts w:hint="eastAsia" w:ascii="宋体" w:hAnsi="宋体"/>
                <w:sz w:val="16"/>
                <w:lang w:eastAsia="zh-CN"/>
              </w:rPr>
              <w:t>截至</w:t>
            </w:r>
            <w:r>
              <w:rPr>
                <w:rFonts w:ascii="宋体" w:hAnsi="宋体" w:eastAsia="宋体"/>
                <w:sz w:val="16"/>
              </w:rPr>
              <w:t>2024年12月31日为止已完成5000</w:t>
            </w:r>
            <w:r>
              <w:rPr>
                <w:rFonts w:hint="eastAsia" w:ascii="宋体" w:hAnsi="宋体"/>
                <w:sz w:val="16"/>
                <w:lang w:eastAsia="zh-CN"/>
              </w:rPr>
              <w:t>平方米</w:t>
            </w:r>
            <w:r>
              <w:rPr>
                <w:rFonts w:ascii="宋体" w:hAnsi="宋体" w:eastAsia="宋体"/>
                <w:sz w:val="16"/>
              </w:rPr>
              <w:t>外立围项目改造建设，于2024年12月24日完成验收。通过外立围项目改造消除了严重的安全隐患，提高了抗震能力。</w:t>
            </w:r>
          </w:p>
        </w:tc>
      </w:tr>
      <w:tr w14:paraId="791A4E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1E5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D2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23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AD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45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2A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30D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64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E0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F0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40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2C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326FB">
            <w:pPr>
              <w:jc w:val="center"/>
            </w:pPr>
            <w:r>
              <w:rPr>
                <w:rFonts w:ascii="宋体" w:hAnsi="宋体" w:eastAsia="宋体"/>
                <w:sz w:val="16"/>
              </w:rPr>
              <w:t>偏差原因分析及改进措施</w:t>
            </w:r>
          </w:p>
        </w:tc>
      </w:tr>
      <w:tr w14:paraId="2227B2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E64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22B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33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2D54">
            <w:pPr>
              <w:jc w:val="center"/>
            </w:pPr>
            <w:r>
              <w:rPr>
                <w:rFonts w:ascii="宋体" w:hAnsi="宋体" w:eastAsia="宋体"/>
                <w:sz w:val="16"/>
              </w:rPr>
              <w:t>工程总改造面积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E031">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6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52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53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1C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EF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6D5D">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07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5F093">
            <w:pPr>
              <w:jc w:val="center"/>
            </w:pPr>
          </w:p>
        </w:tc>
      </w:tr>
      <w:tr w14:paraId="7266E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AC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11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84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34A3">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B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71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1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BE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4C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D9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23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A4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F527">
            <w:pPr>
              <w:jc w:val="center"/>
            </w:pPr>
          </w:p>
        </w:tc>
      </w:tr>
      <w:tr w14:paraId="5883F3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B9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599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6E8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2F79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09A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2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20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26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A6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5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9CA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8B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F683">
            <w:pPr>
              <w:jc w:val="center"/>
            </w:pPr>
          </w:p>
        </w:tc>
      </w:tr>
      <w:tr w14:paraId="61FF3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F3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B3D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A0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80C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D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B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8A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EB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5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DE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74E3">
            <w:pPr>
              <w:jc w:val="center"/>
            </w:pPr>
            <w:r>
              <w:rPr>
                <w:rFonts w:ascii="宋体" w:hAnsi="宋体" w:eastAsia="宋体"/>
                <w:sz w:val="16"/>
              </w:rPr>
              <w:t>=73.4%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3D6C">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E44E">
            <w:pPr>
              <w:jc w:val="center"/>
            </w:pPr>
            <w:r>
              <w:rPr>
                <w:rFonts w:ascii="宋体" w:hAnsi="宋体" w:eastAsia="宋体"/>
                <w:sz w:val="16"/>
              </w:rPr>
              <w:t>偏差原因：前期准备不充分，市场价格波动。改进措施：做好前期准备，提前熟悉市场价格。改进措施：做好前期准备，提前熟悉市场价格。</w:t>
            </w:r>
          </w:p>
        </w:tc>
      </w:tr>
      <w:tr w14:paraId="43508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DC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896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66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C46C">
            <w:pPr>
              <w:jc w:val="center"/>
            </w:pPr>
            <w:r>
              <w:rPr>
                <w:rFonts w:ascii="宋体" w:hAnsi="宋体" w:eastAsia="宋体"/>
                <w:sz w:val="16"/>
              </w:rPr>
              <w:t>每平</w:t>
            </w:r>
            <w:r>
              <w:rPr>
                <w:rFonts w:hint="eastAsia" w:ascii="宋体" w:hAnsi="宋体"/>
                <w:sz w:val="16"/>
                <w:lang w:eastAsia="zh-CN"/>
              </w:rPr>
              <w:t>方米</w:t>
            </w:r>
            <w:r>
              <w:rPr>
                <w:rFonts w:ascii="宋体" w:hAnsi="宋体" w:eastAsia="宋体"/>
                <w:sz w:val="16"/>
              </w:rPr>
              <w:t>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447E">
            <w:pPr>
              <w:jc w:val="center"/>
            </w:pPr>
            <w:r>
              <w:rPr>
                <w:rFonts w:ascii="宋体" w:hAnsi="宋体" w:eastAsia="宋体"/>
                <w:sz w:val="16"/>
              </w:rPr>
              <w:t>&lt;=1000元/平方米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A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8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6B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82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16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2F0B">
            <w:pPr>
              <w:jc w:val="center"/>
            </w:pPr>
            <w:r>
              <w:rPr>
                <w:rFonts w:ascii="宋体" w:hAnsi="宋体" w:eastAsia="宋体"/>
                <w:sz w:val="16"/>
              </w:rPr>
              <w:t>=733.96元/平方米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6327">
            <w:pPr>
              <w:jc w:val="center"/>
            </w:pPr>
            <w:r>
              <w:rPr>
                <w:rFonts w:ascii="宋体" w:hAnsi="宋体" w:eastAsia="宋体"/>
                <w:sz w:val="16"/>
              </w:rPr>
              <w:t>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B4D5D">
            <w:pPr>
              <w:jc w:val="center"/>
            </w:pPr>
            <w:r>
              <w:rPr>
                <w:rFonts w:ascii="宋体" w:hAnsi="宋体" w:eastAsia="宋体"/>
                <w:sz w:val="16"/>
              </w:rPr>
              <w:t>偏差原因：维修成本前期准备不充分，测量精确度不够。改进措施:提前熟悉维修成本价，精准把握测量度。</w:t>
            </w:r>
          </w:p>
        </w:tc>
      </w:tr>
      <w:tr w14:paraId="116A0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F3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B2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37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63BE">
            <w:pPr>
              <w:jc w:val="center"/>
            </w:pPr>
            <w:r>
              <w:rPr>
                <w:rFonts w:ascii="宋体" w:hAnsi="宋体" w:eastAsia="宋体"/>
                <w:sz w:val="16"/>
              </w:rPr>
              <w:t>消除安全隐患，提高抗震能力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134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99C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31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F5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46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F0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0A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03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A4DDC">
            <w:pPr>
              <w:jc w:val="center"/>
            </w:pPr>
          </w:p>
        </w:tc>
      </w:tr>
      <w:tr w14:paraId="66F9A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6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BA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19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4463">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7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C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84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59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EC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D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9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DD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4ECE">
            <w:pPr>
              <w:jc w:val="center"/>
            </w:pPr>
          </w:p>
        </w:tc>
      </w:tr>
      <w:tr w14:paraId="77A864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8E7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46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3A0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C55821">
            <w:pPr>
              <w:jc w:val="center"/>
            </w:pPr>
            <w:r>
              <w:rPr>
                <w:rFonts w:ascii="宋体" w:hAnsi="宋体" w:eastAsia="宋体"/>
                <w:sz w:val="16"/>
              </w:rPr>
              <w:t>73.4分</w:t>
            </w:r>
          </w:p>
        </w:tc>
      </w:tr>
    </w:tbl>
    <w:p w14:paraId="39F9E4B8">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25"/>
        <w:gridCol w:w="696"/>
        <w:gridCol w:w="625"/>
        <w:gridCol w:w="625"/>
        <w:gridCol w:w="625"/>
        <w:gridCol w:w="625"/>
        <w:gridCol w:w="625"/>
        <w:gridCol w:w="856"/>
        <w:gridCol w:w="632"/>
        <w:gridCol w:w="616"/>
        <w:gridCol w:w="632"/>
      </w:tblGrid>
      <w:tr w14:paraId="6D9BC0DE">
        <w:tblPrEx>
          <w:tblCellMar>
            <w:top w:w="0" w:type="dxa"/>
            <w:left w:w="108" w:type="dxa"/>
            <w:bottom w:w="0" w:type="dxa"/>
            <w:right w:w="108" w:type="dxa"/>
          </w:tblCellMar>
        </w:tblPrEx>
        <w:tc>
          <w:tcPr>
            <w:tcW w:w="8848" w:type="dxa"/>
            <w:gridSpan w:val="14"/>
            <w:vAlign w:val="center"/>
          </w:tcPr>
          <w:p w14:paraId="4C5F8B47">
            <w:pPr>
              <w:jc w:val="center"/>
            </w:pPr>
            <w:r>
              <w:rPr>
                <w:rFonts w:ascii="宋体" w:hAnsi="宋体" w:eastAsia="宋体"/>
                <w:sz w:val="24"/>
              </w:rPr>
              <w:t>项目支出绩效自评表</w:t>
            </w:r>
          </w:p>
        </w:tc>
      </w:tr>
      <w:tr w14:paraId="49A6A853">
        <w:tblPrEx>
          <w:tblCellMar>
            <w:top w:w="0" w:type="dxa"/>
            <w:left w:w="108" w:type="dxa"/>
            <w:bottom w:w="0" w:type="dxa"/>
            <w:right w:w="108" w:type="dxa"/>
          </w:tblCellMar>
        </w:tblPrEx>
        <w:tc>
          <w:tcPr>
            <w:tcW w:w="8848" w:type="dxa"/>
            <w:gridSpan w:val="14"/>
            <w:vAlign w:val="center"/>
          </w:tcPr>
          <w:p w14:paraId="334D44BD">
            <w:pPr>
              <w:jc w:val="center"/>
            </w:pPr>
            <w:r>
              <w:rPr>
                <w:rFonts w:ascii="宋体" w:hAnsi="宋体" w:eastAsia="宋体"/>
                <w:sz w:val="24"/>
              </w:rPr>
              <w:t>(2024年度)</w:t>
            </w:r>
          </w:p>
        </w:tc>
      </w:tr>
      <w:tr w14:paraId="6D405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13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DD05D6">
            <w:pPr>
              <w:jc w:val="center"/>
            </w:pPr>
            <w:r>
              <w:rPr>
                <w:rFonts w:ascii="宋体" w:hAnsi="宋体" w:eastAsia="宋体"/>
                <w:sz w:val="16"/>
              </w:rPr>
              <w:t>山东省检察院后勤保障经费项目</w:t>
            </w:r>
          </w:p>
        </w:tc>
      </w:tr>
      <w:tr w14:paraId="73F949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A5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2BDB9">
            <w:pPr>
              <w:jc w:val="center"/>
            </w:pPr>
            <w:r>
              <w:rPr>
                <w:rFonts w:ascii="宋体" w:hAnsi="宋体" w:eastAsia="宋体"/>
                <w:sz w:val="16"/>
              </w:rPr>
              <w:t>新疆维吾尔自治区人民检察院喀什分院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15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0B6E5F">
            <w:pPr>
              <w:jc w:val="center"/>
            </w:pPr>
            <w:r>
              <w:rPr>
                <w:rFonts w:ascii="宋体" w:hAnsi="宋体" w:eastAsia="宋体"/>
                <w:sz w:val="16"/>
              </w:rPr>
              <w:t>新疆维吾尔自治区人民检察院喀什分院</w:t>
            </w:r>
          </w:p>
        </w:tc>
      </w:tr>
      <w:tr w14:paraId="0354B5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EA4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97A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8DC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0C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5A1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4D6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C6D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38D9">
            <w:pPr>
              <w:jc w:val="center"/>
            </w:pPr>
            <w:r>
              <w:rPr>
                <w:rFonts w:ascii="宋体" w:hAnsi="宋体" w:eastAsia="宋体"/>
                <w:sz w:val="16"/>
              </w:rPr>
              <w:t>得分</w:t>
            </w:r>
          </w:p>
        </w:tc>
      </w:tr>
      <w:tr w14:paraId="3BA23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C90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9E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4BB3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7952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D5A4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8A4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6D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F8D9">
            <w:pPr>
              <w:jc w:val="center"/>
            </w:pPr>
            <w:r>
              <w:rPr>
                <w:rFonts w:ascii="宋体" w:hAnsi="宋体" w:eastAsia="宋体"/>
                <w:sz w:val="16"/>
              </w:rPr>
              <w:t>10.00分</w:t>
            </w:r>
          </w:p>
        </w:tc>
      </w:tr>
      <w:tr w14:paraId="6AE26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F8C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83E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DB1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96B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A95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4E0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AAD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2620">
            <w:pPr>
              <w:jc w:val="center"/>
            </w:pPr>
            <w:r>
              <w:rPr>
                <w:rFonts w:ascii="宋体" w:hAnsi="宋体" w:eastAsia="宋体"/>
                <w:sz w:val="16"/>
              </w:rPr>
              <w:t>—</w:t>
            </w:r>
          </w:p>
        </w:tc>
      </w:tr>
      <w:tr w14:paraId="67D00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FCD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8AD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1421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FF4D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7465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2EB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6C4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B5A8">
            <w:pPr>
              <w:jc w:val="center"/>
            </w:pPr>
            <w:r>
              <w:rPr>
                <w:rFonts w:ascii="宋体" w:hAnsi="宋体" w:eastAsia="宋体"/>
                <w:sz w:val="16"/>
              </w:rPr>
              <w:t>—</w:t>
            </w:r>
          </w:p>
        </w:tc>
      </w:tr>
      <w:tr w14:paraId="668C70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459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72C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902A13">
            <w:pPr>
              <w:jc w:val="center"/>
            </w:pPr>
            <w:r>
              <w:rPr>
                <w:rFonts w:ascii="宋体" w:hAnsi="宋体" w:eastAsia="宋体"/>
                <w:sz w:val="16"/>
              </w:rPr>
              <w:t>实际完成情况</w:t>
            </w:r>
          </w:p>
        </w:tc>
      </w:tr>
      <w:tr w14:paraId="1CCC4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9CF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FD087E">
            <w:pPr>
              <w:jc w:val="both"/>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山东省人民检察院拨付我院援疆资金20万元，因我院干警食堂运转无经费来源，无法正常运转，面临关门，为解决援疆干部、异地挂职交流干部及在编干警就餐经我院党组研究，用于2024年度弥补干警食堂伙食补助，保障在单位检察干警及援疆干部正常开展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F535CD">
            <w:pPr>
              <w:jc w:val="both"/>
            </w:pPr>
            <w:r>
              <w:rPr>
                <w:rFonts w:ascii="宋体" w:hAnsi="宋体" w:eastAsia="宋体"/>
                <w:sz w:val="16"/>
              </w:rPr>
              <w:t>截至目前，项目已完成对85人的就餐补助，该项目的实施保障我院干警正常就餐，提高了伙食质量，提升我院干警幸福感。</w:t>
            </w:r>
          </w:p>
        </w:tc>
      </w:tr>
      <w:tr w14:paraId="04ED93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379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CD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4E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10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F6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0C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A5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C8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4A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59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56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BD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5C64">
            <w:pPr>
              <w:jc w:val="center"/>
            </w:pPr>
            <w:r>
              <w:rPr>
                <w:rFonts w:ascii="宋体" w:hAnsi="宋体" w:eastAsia="宋体"/>
                <w:sz w:val="16"/>
              </w:rPr>
              <w:t>偏差原因分析及改进措施</w:t>
            </w:r>
          </w:p>
        </w:tc>
      </w:tr>
      <w:tr w14:paraId="7AE326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BB2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D7C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F6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458D">
            <w:pPr>
              <w:jc w:val="center"/>
            </w:pPr>
            <w:r>
              <w:rPr>
                <w:rFonts w:ascii="宋体" w:hAnsi="宋体" w:eastAsia="宋体"/>
                <w:sz w:val="16"/>
              </w:rPr>
              <w:t>每天就餐平均人数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CA4E">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6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E4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1B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E3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CB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1C39">
            <w:pPr>
              <w:jc w:val="center"/>
            </w:pPr>
            <w:r>
              <w:rPr>
                <w:rFonts w:ascii="宋体" w:hAnsi="宋体" w:eastAsia="宋体"/>
                <w:sz w:val="16"/>
              </w:rPr>
              <w: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56A8">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0BE7">
            <w:pPr>
              <w:jc w:val="center"/>
            </w:pPr>
            <w:r>
              <w:rPr>
                <w:rFonts w:ascii="宋体" w:hAnsi="宋体" w:eastAsia="宋体"/>
                <w:sz w:val="16"/>
              </w:rPr>
              <w:t>偏差原因：就餐人员不</w:t>
            </w:r>
            <w:r>
              <w:rPr>
                <w:rFonts w:hint="eastAsia" w:ascii="宋体" w:hAnsi="宋体"/>
                <w:sz w:val="16"/>
                <w:lang w:val="en-US" w:eastAsia="zh-CN"/>
              </w:rPr>
              <w:t>确定</w:t>
            </w:r>
            <w:r>
              <w:rPr>
                <w:rFonts w:ascii="宋体" w:hAnsi="宋体" w:eastAsia="宋体"/>
                <w:sz w:val="16"/>
              </w:rPr>
              <w:t>，伙食质量提高。</w:t>
            </w:r>
          </w:p>
        </w:tc>
      </w:tr>
      <w:tr w14:paraId="5260C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82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EC8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AFC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6206">
            <w:pPr>
              <w:jc w:val="center"/>
            </w:pPr>
            <w:r>
              <w:rPr>
                <w:rFonts w:ascii="宋体" w:hAnsi="宋体" w:eastAsia="宋体"/>
                <w:sz w:val="16"/>
              </w:rPr>
              <w:t>食材安全达标率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2F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5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37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C2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46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4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7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3F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E59D4">
            <w:pPr>
              <w:jc w:val="center"/>
            </w:pPr>
          </w:p>
        </w:tc>
      </w:tr>
      <w:tr w14:paraId="03439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1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5A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7B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664F">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DB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5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9C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E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9C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D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4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F5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3DE52">
            <w:pPr>
              <w:jc w:val="center"/>
            </w:pPr>
          </w:p>
        </w:tc>
      </w:tr>
      <w:tr w14:paraId="763F3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404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CB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1D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F52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E20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3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84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52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EE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D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6E4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D7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ACE5F">
            <w:pPr>
              <w:jc w:val="center"/>
            </w:pPr>
          </w:p>
        </w:tc>
      </w:tr>
      <w:tr w14:paraId="7F87C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5E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2B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A2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164D">
            <w:pPr>
              <w:jc w:val="center"/>
            </w:pPr>
            <w:r>
              <w:rPr>
                <w:rFonts w:ascii="宋体" w:hAnsi="宋体" w:eastAsia="宋体"/>
                <w:sz w:val="16"/>
              </w:rPr>
              <w:t>平均每人就餐成本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E8B7">
            <w:pPr>
              <w:jc w:val="center"/>
            </w:pPr>
            <w:r>
              <w:rPr>
                <w:rFonts w:ascii="宋体" w:hAnsi="宋体" w:eastAsia="宋体"/>
                <w:sz w:val="16"/>
              </w:rPr>
              <w:t>&lt;=2500元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3E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FE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C7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F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62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64A6">
            <w:pPr>
              <w:jc w:val="center"/>
            </w:pPr>
            <w:r>
              <w:rPr>
                <w:rFonts w:ascii="宋体" w:hAnsi="宋体" w:eastAsia="宋体"/>
                <w:sz w:val="16"/>
              </w:rPr>
              <w:t>=2352.94元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EBCD">
            <w:pPr>
              <w:jc w:val="center"/>
            </w:pPr>
            <w:r>
              <w:rPr>
                <w:rFonts w:ascii="宋体" w:hAnsi="宋体" w:eastAsia="宋体"/>
                <w:sz w:val="16"/>
              </w:rPr>
              <w:t>17.06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BFF4">
            <w:pPr>
              <w:jc w:val="center"/>
            </w:pPr>
            <w:r>
              <w:rPr>
                <w:rFonts w:ascii="宋体" w:hAnsi="宋体" w:eastAsia="宋体"/>
                <w:sz w:val="16"/>
              </w:rPr>
              <w:t>偏差原因：就餐人员增多导致平均成本小于目标值。改进措施：做好人员就餐前期准备工作，加强伙食质量。</w:t>
            </w:r>
          </w:p>
        </w:tc>
      </w:tr>
      <w:tr w14:paraId="620C3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57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38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AE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C8E2">
            <w:pPr>
              <w:jc w:val="center"/>
            </w:pPr>
            <w:r>
              <w:rPr>
                <w:rFonts w:ascii="宋体" w:hAnsi="宋体" w:eastAsia="宋体"/>
                <w:sz w:val="16"/>
              </w:rPr>
              <w:t>提高我院伙食质量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07D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CCB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A2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E0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A2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71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703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17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CF3A">
            <w:pPr>
              <w:jc w:val="center"/>
            </w:pPr>
          </w:p>
        </w:tc>
      </w:tr>
      <w:tr w14:paraId="5C2BE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7B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06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0B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4E82">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1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3E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5C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90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84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CA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0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3C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842FD">
            <w:pPr>
              <w:jc w:val="center"/>
            </w:pPr>
          </w:p>
        </w:tc>
      </w:tr>
      <w:tr w14:paraId="4ABCD6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B5E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45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534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FAC53D">
            <w:pPr>
              <w:jc w:val="center"/>
            </w:pPr>
            <w:r>
              <w:rPr>
                <w:rFonts w:ascii="宋体" w:hAnsi="宋体" w:eastAsia="宋体"/>
                <w:sz w:val="16"/>
              </w:rPr>
              <w:t>96.44分</w:t>
            </w:r>
          </w:p>
        </w:tc>
      </w:tr>
    </w:tbl>
    <w:p w14:paraId="370D620E">
      <w:r>
        <w:br w:type="page"/>
      </w:r>
    </w:p>
    <w:p w14:paraId="2D860C05">
      <w:pPr>
        <w:spacing w:line="640" w:lineRule="exact"/>
        <w:ind w:firstLine="640"/>
        <w:jc w:val="both"/>
        <w:outlineLvl w:val="2"/>
      </w:pPr>
      <w:r>
        <w:rPr>
          <w:rFonts w:ascii="黑体" w:hAnsi="黑体" w:eastAsia="黑体"/>
          <w:sz w:val="32"/>
        </w:rPr>
        <w:t>十二、其他需说明的事项</w:t>
      </w:r>
    </w:p>
    <w:p w14:paraId="1E6910FB">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项目14个，全年预算数1</w:t>
      </w:r>
      <w:r>
        <w:rPr>
          <w:rFonts w:hint="eastAsia" w:ascii="仿宋_GB2312" w:hAnsi="仿宋_GB2312" w:eastAsia="仿宋_GB2312"/>
          <w:b w:val="0"/>
          <w:sz w:val="32"/>
          <w:lang w:val="en-US" w:eastAsia="zh-CN"/>
        </w:rPr>
        <w:t>,</w:t>
      </w:r>
      <w:r>
        <w:rPr>
          <w:rFonts w:ascii="仿宋_GB2312" w:hAnsi="仿宋_GB2312" w:eastAsia="仿宋_GB2312"/>
          <w:b w:val="0"/>
          <w:sz w:val="32"/>
        </w:rPr>
        <w:t>615.99万元，全年执行数1</w:t>
      </w:r>
      <w:r>
        <w:rPr>
          <w:rFonts w:hint="eastAsia" w:ascii="仿宋_GB2312" w:hAnsi="仿宋_GB2312" w:eastAsia="仿宋_GB2312"/>
          <w:b w:val="0"/>
          <w:sz w:val="32"/>
          <w:lang w:val="en-US" w:eastAsia="zh-CN"/>
        </w:rPr>
        <w:t>,</w:t>
      </w:r>
      <w:r>
        <w:rPr>
          <w:rFonts w:ascii="仿宋_GB2312" w:hAnsi="仿宋_GB2312" w:eastAsia="仿宋_GB2312"/>
          <w:b w:val="0"/>
          <w:sz w:val="32"/>
        </w:rPr>
        <w:t>457.36万元。</w:t>
      </w:r>
    </w:p>
    <w:p w14:paraId="218C4CAB">
      <w:r>
        <w:br w:type="page"/>
      </w:r>
      <w:bookmarkStart w:id="0" w:name="_GoBack"/>
      <w:bookmarkEnd w:id="0"/>
    </w:p>
    <w:p w14:paraId="1F0A3E34">
      <w:pPr>
        <w:spacing w:line="240" w:lineRule="auto"/>
        <w:jc w:val="center"/>
        <w:outlineLvl w:val="1"/>
      </w:pPr>
      <w:r>
        <w:rPr>
          <w:rFonts w:ascii="黑体" w:hAnsi="黑体" w:eastAsia="黑体"/>
          <w:sz w:val="32"/>
        </w:rPr>
        <w:t>第三部分 专业名词解释</w:t>
      </w:r>
    </w:p>
    <w:p w14:paraId="3265697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B2317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F3813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B33A2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8486B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704F9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4A639B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C3F98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B9FB2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94372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A397B0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A1C0E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CAC5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B8B06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13FC703">
      <w:r>
        <w:br w:type="page"/>
      </w:r>
    </w:p>
    <w:p w14:paraId="18A38200">
      <w:pPr>
        <w:spacing w:line="240" w:lineRule="auto"/>
        <w:jc w:val="center"/>
        <w:outlineLvl w:val="1"/>
      </w:pPr>
      <w:r>
        <w:rPr>
          <w:rFonts w:ascii="黑体" w:hAnsi="黑体" w:eastAsia="黑体"/>
          <w:sz w:val="32"/>
        </w:rPr>
        <w:t>第四部分 部门决算报表（见附表）</w:t>
      </w:r>
    </w:p>
    <w:p w14:paraId="76093E40">
      <w:pPr>
        <w:spacing w:line="240" w:lineRule="auto"/>
        <w:ind w:firstLine="640"/>
        <w:jc w:val="both"/>
      </w:pPr>
      <w:r>
        <w:rPr>
          <w:rFonts w:ascii="仿宋_GB2312" w:hAnsi="仿宋_GB2312" w:eastAsia="仿宋_GB2312"/>
          <w:b w:val="0"/>
          <w:sz w:val="32"/>
        </w:rPr>
        <w:t>一、《收入支出决算总表》</w:t>
      </w:r>
    </w:p>
    <w:p w14:paraId="55DD320D">
      <w:pPr>
        <w:spacing w:line="240" w:lineRule="auto"/>
        <w:ind w:firstLine="640"/>
        <w:jc w:val="both"/>
      </w:pPr>
      <w:r>
        <w:rPr>
          <w:rFonts w:ascii="仿宋_GB2312" w:hAnsi="仿宋_GB2312" w:eastAsia="仿宋_GB2312"/>
          <w:b w:val="0"/>
          <w:sz w:val="32"/>
        </w:rPr>
        <w:t>二、《收入决算表》</w:t>
      </w:r>
    </w:p>
    <w:p w14:paraId="625F88AA">
      <w:pPr>
        <w:spacing w:line="240" w:lineRule="auto"/>
        <w:ind w:firstLine="640"/>
        <w:jc w:val="both"/>
      </w:pPr>
      <w:r>
        <w:rPr>
          <w:rFonts w:ascii="仿宋_GB2312" w:hAnsi="仿宋_GB2312" w:eastAsia="仿宋_GB2312"/>
          <w:b w:val="0"/>
          <w:sz w:val="32"/>
        </w:rPr>
        <w:t>三、《支出决算表》</w:t>
      </w:r>
    </w:p>
    <w:p w14:paraId="261CDB44">
      <w:pPr>
        <w:spacing w:line="240" w:lineRule="auto"/>
        <w:ind w:firstLine="640"/>
        <w:jc w:val="both"/>
      </w:pPr>
      <w:r>
        <w:rPr>
          <w:rFonts w:ascii="仿宋_GB2312" w:hAnsi="仿宋_GB2312" w:eastAsia="仿宋_GB2312"/>
          <w:b w:val="0"/>
          <w:sz w:val="32"/>
        </w:rPr>
        <w:t>四、《财政拨款收入支出决算总表》</w:t>
      </w:r>
    </w:p>
    <w:p w14:paraId="4FC74A31">
      <w:pPr>
        <w:spacing w:line="240" w:lineRule="auto"/>
        <w:ind w:firstLine="640"/>
        <w:jc w:val="both"/>
      </w:pPr>
      <w:r>
        <w:rPr>
          <w:rFonts w:ascii="仿宋_GB2312" w:hAnsi="仿宋_GB2312" w:eastAsia="仿宋_GB2312"/>
          <w:b w:val="0"/>
          <w:sz w:val="32"/>
        </w:rPr>
        <w:t>五、《一般公共预算财政拨款支出决算表》</w:t>
      </w:r>
    </w:p>
    <w:p w14:paraId="2A60F0F3">
      <w:pPr>
        <w:spacing w:line="240" w:lineRule="auto"/>
        <w:ind w:firstLine="640"/>
        <w:jc w:val="both"/>
      </w:pPr>
      <w:r>
        <w:rPr>
          <w:rFonts w:ascii="仿宋_GB2312" w:hAnsi="仿宋_GB2312" w:eastAsia="仿宋_GB2312"/>
          <w:b w:val="0"/>
          <w:sz w:val="32"/>
        </w:rPr>
        <w:t>六、《一般公共预算财政拨款基本支出决算表》</w:t>
      </w:r>
    </w:p>
    <w:p w14:paraId="7D1905B4">
      <w:pPr>
        <w:spacing w:line="240" w:lineRule="auto"/>
        <w:ind w:firstLine="640"/>
        <w:jc w:val="both"/>
      </w:pPr>
      <w:r>
        <w:rPr>
          <w:rFonts w:ascii="仿宋_GB2312" w:hAnsi="仿宋_GB2312" w:eastAsia="仿宋_GB2312"/>
          <w:b w:val="0"/>
          <w:sz w:val="32"/>
        </w:rPr>
        <w:t>七、《政府性基金预算财政拨款收入支出决算表》</w:t>
      </w:r>
    </w:p>
    <w:p w14:paraId="1FF3AB9C">
      <w:pPr>
        <w:spacing w:line="240" w:lineRule="auto"/>
        <w:ind w:firstLine="640"/>
        <w:jc w:val="both"/>
      </w:pPr>
      <w:r>
        <w:rPr>
          <w:rFonts w:ascii="仿宋_GB2312" w:hAnsi="仿宋_GB2312" w:eastAsia="仿宋_GB2312"/>
          <w:b w:val="0"/>
          <w:sz w:val="32"/>
        </w:rPr>
        <w:t>八、《国有资本经营预算财政拨款收入支出决算表》</w:t>
      </w:r>
    </w:p>
    <w:p w14:paraId="381D3CD9">
      <w:pPr>
        <w:spacing w:line="240" w:lineRule="auto"/>
        <w:ind w:firstLine="640"/>
        <w:jc w:val="both"/>
      </w:pPr>
      <w:r>
        <w:rPr>
          <w:rFonts w:ascii="仿宋_GB2312" w:hAnsi="仿宋_GB2312" w:eastAsia="仿宋_GB2312"/>
          <w:b w:val="0"/>
          <w:sz w:val="32"/>
        </w:rPr>
        <w:t>九、《财政拨款“三公”经费支出决算表》</w:t>
      </w:r>
    </w:p>
    <w:p w14:paraId="0DE66A34">
      <w:pPr>
        <w:spacing w:line="240" w:lineRule="auto"/>
        <w:ind w:firstLine="640"/>
        <w:jc w:val="both"/>
      </w:pPr>
    </w:p>
    <w:p w14:paraId="37928A7C">
      <w:pPr>
        <w:spacing w:line="240" w:lineRule="auto"/>
        <w:ind w:firstLine="640"/>
        <w:jc w:val="both"/>
      </w:pPr>
    </w:p>
    <w:p w14:paraId="0EDD1D7E">
      <w:pPr>
        <w:spacing w:line="240" w:lineRule="auto"/>
        <w:ind w:firstLine="640"/>
        <w:jc w:val="both"/>
      </w:pPr>
    </w:p>
    <w:p w14:paraId="6CD40275">
      <w:pPr>
        <w:spacing w:line="240" w:lineRule="auto"/>
        <w:ind w:firstLine="640"/>
        <w:jc w:val="both"/>
      </w:pPr>
    </w:p>
    <w:p w14:paraId="0D82AB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D9895B-4221-418E-BBD0-E8F9C375E7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21147C9-5A54-4A84-A249-C674C1DBB294}"/>
  </w:font>
  <w:font w:name="方正小标宋_GBK">
    <w:panose1 w:val="02000000000000000000"/>
    <w:charset w:val="86"/>
    <w:family w:val="script"/>
    <w:pitch w:val="default"/>
    <w:sig w:usb0="A00002BF" w:usb1="38CF7CFA" w:usb2="00082016" w:usb3="00000000" w:csb0="00040001" w:csb1="00000000"/>
    <w:embedRegular r:id="rId3" w:fontKey="{A3D0A1A4-E61D-4629-81E4-3D78AE97F076}"/>
  </w:font>
  <w:font w:name="楷体_GB2312">
    <w:panose1 w:val="02010609030101010101"/>
    <w:charset w:val="86"/>
    <w:family w:val="auto"/>
    <w:pitch w:val="default"/>
    <w:sig w:usb0="00000001" w:usb1="080E0000" w:usb2="00000000" w:usb3="00000000" w:csb0="00040000" w:csb1="00000000"/>
    <w:embedRegular r:id="rId4" w:fontKey="{6949226F-4365-47AD-B310-DC453156C14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3348C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3B1CC6"/>
    <w:rsid w:val="2C1965E9"/>
    <w:rsid w:val="2D1136DF"/>
    <w:rsid w:val="2DAE0E44"/>
    <w:rsid w:val="2FD27414"/>
    <w:rsid w:val="313F1D52"/>
    <w:rsid w:val="318029AB"/>
    <w:rsid w:val="31C63837"/>
    <w:rsid w:val="326F0A17"/>
    <w:rsid w:val="3277581B"/>
    <w:rsid w:val="38006E2C"/>
    <w:rsid w:val="3914510A"/>
    <w:rsid w:val="39783F68"/>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337D3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6265</Words>
  <Characters>7343</Characters>
  <Lines>0</Lines>
  <Paragraphs>0</Paragraphs>
  <TotalTime>6</TotalTime>
  <ScaleCrop>false</ScaleCrop>
  <LinksUpToDate>false</LinksUpToDate>
  <CharactersWithSpaces>7351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2025-09-29T02:30:02Z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