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新疆维吾尔自治区喀什地区中级人民法院2024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73EE4EC">
      <w:r>
        <w:br w:type="page"/>
      </w:r>
    </w:p>
    <w:p w14:paraId="28B1E347">
      <w:pPr>
        <w:spacing w:line="640" w:lineRule="exact"/>
        <w:jc w:val="center"/>
        <w:outlineLvl w:val="1"/>
      </w:pPr>
      <w:r>
        <w:rPr>
          <w:rFonts w:ascii="黑体" w:hAnsi="黑体" w:eastAsia="黑体"/>
          <w:sz w:val="32"/>
        </w:rPr>
        <w:t>第一部分 部门概况</w:t>
      </w:r>
    </w:p>
    <w:p w14:paraId="1C020B76">
      <w:pPr>
        <w:spacing w:line="640" w:lineRule="exact"/>
        <w:ind w:firstLine="640"/>
        <w:jc w:val="both"/>
        <w:outlineLvl w:val="2"/>
      </w:pPr>
      <w:r>
        <w:rPr>
          <w:rFonts w:ascii="黑体" w:hAnsi="黑体" w:eastAsia="黑体"/>
          <w:sz w:val="32"/>
        </w:rPr>
        <w:t>一、主要职能</w:t>
      </w:r>
    </w:p>
    <w:p w14:paraId="55570858">
      <w:pPr>
        <w:spacing w:line="580" w:lineRule="exact"/>
        <w:ind w:firstLine="640"/>
        <w:jc w:val="both"/>
      </w:pPr>
      <w:r>
        <w:rPr>
          <w:rFonts w:ascii="仿宋_GB2312" w:hAnsi="仿宋_GB2312" w:eastAsia="仿宋_GB2312"/>
          <w:sz w:val="32"/>
        </w:rPr>
        <w:t>（1）审判法律规定由喀什地区中级人民法院管辖、自治区高级人民法院指定管辖或者认为应当由自己审判的刑事、民事和行政等第一审案件。</w:t>
      </w:r>
    </w:p>
    <w:p w14:paraId="5CA4C412">
      <w:pPr>
        <w:spacing w:line="580" w:lineRule="exact"/>
        <w:ind w:firstLine="640"/>
        <w:jc w:val="both"/>
      </w:pPr>
      <w:r>
        <w:rPr>
          <w:rFonts w:ascii="仿宋_GB2312" w:hAnsi="仿宋_GB2312" w:eastAsia="仿宋_GB2312"/>
          <w:sz w:val="32"/>
        </w:rPr>
        <w:t>（2）审判法律规定由喀什地区中级人民法院审理的刑事、民事、行政等第二审案件。</w:t>
      </w:r>
    </w:p>
    <w:p w14:paraId="3AE1CFD8">
      <w:pPr>
        <w:spacing w:line="580" w:lineRule="exact"/>
        <w:ind w:firstLine="640"/>
        <w:jc w:val="both"/>
      </w:pPr>
      <w:r>
        <w:rPr>
          <w:rFonts w:ascii="仿宋_GB2312" w:hAnsi="仿宋_GB2312" w:eastAsia="仿宋_GB2312"/>
          <w:sz w:val="32"/>
        </w:rPr>
        <w:t>（3）审理自治区高级法院指定再审的案件；审理本院发生法律效力的判决、裁定提起再审的案件；受理不服下级人民法院判决、裁定的各类申诉和申请再审的案件。</w:t>
      </w:r>
    </w:p>
    <w:p w14:paraId="20657E08">
      <w:pPr>
        <w:spacing w:line="580" w:lineRule="exact"/>
        <w:ind w:firstLine="640"/>
        <w:jc w:val="both"/>
      </w:pPr>
      <w:r>
        <w:rPr>
          <w:rFonts w:ascii="仿宋_GB2312" w:hAnsi="仿宋_GB2312" w:eastAsia="仿宋_GB2312"/>
          <w:sz w:val="32"/>
        </w:rPr>
        <w:t>（4）审判由喀什地区检察分院按照审判监督程序提出的抗诉案件。</w:t>
      </w:r>
    </w:p>
    <w:p w14:paraId="13F9B2C5">
      <w:pPr>
        <w:spacing w:line="580" w:lineRule="exact"/>
        <w:ind w:firstLine="640"/>
        <w:jc w:val="both"/>
      </w:pPr>
      <w:r>
        <w:rPr>
          <w:rFonts w:ascii="仿宋_GB2312" w:hAnsi="仿宋_GB2312" w:eastAsia="仿宋_GB2312"/>
          <w:sz w:val="32"/>
        </w:rPr>
        <w:t>（5）对下级人民法院管辖不明的案件指定管辖。</w:t>
      </w:r>
    </w:p>
    <w:p w14:paraId="1EAAF06A">
      <w:pPr>
        <w:spacing w:line="580" w:lineRule="exact"/>
        <w:ind w:firstLine="640"/>
        <w:jc w:val="both"/>
      </w:pPr>
      <w:r>
        <w:rPr>
          <w:rFonts w:ascii="仿宋_GB2312" w:hAnsi="仿宋_GB2312" w:eastAsia="仿宋_GB2312"/>
          <w:sz w:val="32"/>
        </w:rPr>
        <w:t>（6）指导监督喀什地区基层人民法院的审判工作。</w:t>
      </w:r>
    </w:p>
    <w:p w14:paraId="33D606AA">
      <w:pPr>
        <w:spacing w:line="580" w:lineRule="exact"/>
        <w:ind w:firstLine="640"/>
        <w:jc w:val="both"/>
      </w:pPr>
      <w:r>
        <w:rPr>
          <w:rFonts w:ascii="仿宋_GB2312" w:hAnsi="仿宋_GB2312" w:eastAsia="仿宋_GB2312"/>
          <w:sz w:val="32"/>
        </w:rPr>
        <w:t>（7）办理法律规定由喀什地区中级人民法院管辖的减刑、假释案件。</w:t>
      </w:r>
    </w:p>
    <w:p w14:paraId="076155AA">
      <w:pPr>
        <w:spacing w:line="580" w:lineRule="exact"/>
        <w:ind w:firstLine="640"/>
        <w:jc w:val="both"/>
      </w:pPr>
      <w:r>
        <w:rPr>
          <w:rFonts w:ascii="仿宋_GB2312" w:hAnsi="仿宋_GB2312" w:eastAsia="仿宋_GB2312"/>
          <w:sz w:val="32"/>
        </w:rPr>
        <w:t>（8）依法行使司法规定执行权和司法决定权。</w:t>
      </w:r>
    </w:p>
    <w:p w14:paraId="16A13742">
      <w:pPr>
        <w:spacing w:line="580" w:lineRule="exact"/>
        <w:ind w:firstLine="640"/>
        <w:jc w:val="both"/>
      </w:pPr>
      <w:r>
        <w:rPr>
          <w:rFonts w:ascii="仿宋_GB2312" w:hAnsi="仿宋_GB2312" w:eastAsia="仿宋_GB2312"/>
          <w:sz w:val="32"/>
        </w:rPr>
        <w:t>（9）依法决定国家赔偿。</w:t>
      </w:r>
    </w:p>
    <w:p w14:paraId="120478D1">
      <w:pPr>
        <w:spacing w:line="580" w:lineRule="exact"/>
        <w:ind w:firstLine="640"/>
        <w:jc w:val="both"/>
      </w:pPr>
      <w:r>
        <w:rPr>
          <w:rFonts w:ascii="仿宋_GB2312" w:hAnsi="仿宋_GB2312" w:eastAsia="仿宋_GB2312"/>
          <w:sz w:val="32"/>
        </w:rPr>
        <w:t>（10）对法律、法规、规章等草案提出意见；研究拟定喀什地区中级人民法院工作的规章制度；针对案件审理中发现的问题提出司法建议。</w:t>
      </w:r>
    </w:p>
    <w:p w14:paraId="31BEE7D8">
      <w:pPr>
        <w:spacing w:line="580" w:lineRule="exact"/>
        <w:ind w:firstLine="640"/>
        <w:jc w:val="both"/>
      </w:pPr>
      <w:r>
        <w:rPr>
          <w:rFonts w:ascii="仿宋_GB2312" w:hAnsi="仿宋_GB2312" w:eastAsia="仿宋_GB2312"/>
          <w:sz w:val="32"/>
        </w:rPr>
        <w:t>（11）开展法院司法科学技术研究工作；提供司法技术信息和</w:t>
      </w:r>
      <w:r>
        <w:rPr>
          <w:rFonts w:hint="eastAsia" w:ascii="仿宋_GB2312" w:hAnsi="仿宋_GB2312" w:eastAsia="仿宋_GB2312"/>
          <w:sz w:val="32"/>
          <w:lang w:eastAsia="zh-CN"/>
        </w:rPr>
        <w:t>司法</w:t>
      </w:r>
      <w:r>
        <w:rPr>
          <w:rFonts w:ascii="仿宋_GB2312" w:hAnsi="仿宋_GB2312" w:eastAsia="仿宋_GB2312"/>
          <w:sz w:val="32"/>
        </w:rPr>
        <w:t>技术鉴定服务。</w:t>
      </w:r>
    </w:p>
    <w:p w14:paraId="5677812E">
      <w:pPr>
        <w:spacing w:line="580" w:lineRule="exact"/>
        <w:ind w:firstLine="640"/>
        <w:jc w:val="both"/>
      </w:pPr>
      <w:r>
        <w:rPr>
          <w:rFonts w:ascii="仿宋_GB2312" w:hAnsi="仿宋_GB2312" w:eastAsia="仿宋_GB2312"/>
          <w:sz w:val="32"/>
        </w:rPr>
        <w:t>（12）指导喀什地区基层人民法院的思想政治、宣传教育和培训工作；协同中共喀什地委主管部门加强辖区内基层人民法院领导班子和队伍建设；按照权限管理法官和其他工作人员；协同喀什地区主管部门管理喀什地区两级人民法院的机构设置及人员编制工作。</w:t>
      </w:r>
    </w:p>
    <w:p w14:paraId="3A77968F">
      <w:pPr>
        <w:spacing w:line="580" w:lineRule="exact"/>
        <w:ind w:firstLine="640"/>
        <w:jc w:val="both"/>
      </w:pPr>
      <w:r>
        <w:rPr>
          <w:rFonts w:ascii="仿宋_GB2312" w:hAnsi="仿宋_GB2312" w:eastAsia="仿宋_GB2312"/>
          <w:sz w:val="32"/>
        </w:rPr>
        <w:t>（13）指导喀什地区两级人民法院的监督工作。</w:t>
      </w:r>
    </w:p>
    <w:p w14:paraId="08A25927">
      <w:pPr>
        <w:spacing w:line="580" w:lineRule="exact"/>
        <w:ind w:firstLine="640"/>
        <w:jc w:val="both"/>
      </w:pPr>
      <w:r>
        <w:rPr>
          <w:rFonts w:ascii="仿宋_GB2312" w:hAnsi="仿宋_GB2312" w:eastAsia="仿宋_GB2312"/>
          <w:sz w:val="32"/>
        </w:rPr>
        <w:t>（14）负责法警教育、训练、管理及日常工作。</w:t>
      </w:r>
    </w:p>
    <w:p w14:paraId="193CD1FA">
      <w:pPr>
        <w:spacing w:line="580" w:lineRule="exact"/>
        <w:ind w:firstLine="640"/>
        <w:jc w:val="both"/>
      </w:pPr>
      <w:r>
        <w:rPr>
          <w:rFonts w:ascii="仿宋_GB2312" w:hAnsi="仿宋_GB2312" w:eastAsia="仿宋_GB2312"/>
          <w:sz w:val="32"/>
        </w:rPr>
        <w:t>（15）在审判工作中宣传法制，教育公民自觉遵守宪法、法律。</w:t>
      </w:r>
    </w:p>
    <w:p w14:paraId="1EB62F92">
      <w:pPr>
        <w:spacing w:line="580" w:lineRule="exact"/>
        <w:ind w:firstLine="640"/>
        <w:jc w:val="both"/>
      </w:pPr>
      <w:r>
        <w:rPr>
          <w:rFonts w:ascii="仿宋_GB2312" w:hAnsi="仿宋_GB2312" w:eastAsia="仿宋_GB2312"/>
          <w:sz w:val="32"/>
        </w:rPr>
        <w:t>（16）管理喀什地区两级法院的有关经费和物资装备。</w:t>
      </w:r>
    </w:p>
    <w:p w14:paraId="38EC77D4">
      <w:pPr>
        <w:spacing w:line="580" w:lineRule="exact"/>
        <w:ind w:firstLine="640"/>
        <w:jc w:val="both"/>
      </w:pPr>
      <w:r>
        <w:rPr>
          <w:rFonts w:ascii="仿宋_GB2312" w:hAnsi="仿宋_GB2312" w:eastAsia="仿宋_GB2312"/>
          <w:sz w:val="32"/>
        </w:rPr>
        <w:t>（17）承办其他应由喀什地区中级人民法院负责的工作。</w:t>
      </w:r>
    </w:p>
    <w:p w14:paraId="7F26978F">
      <w:pPr>
        <w:spacing w:line="640" w:lineRule="exact"/>
        <w:ind w:firstLine="640"/>
        <w:jc w:val="both"/>
        <w:outlineLvl w:val="2"/>
      </w:pPr>
      <w:r>
        <w:rPr>
          <w:rFonts w:ascii="黑体" w:hAnsi="黑体" w:eastAsia="黑体"/>
          <w:sz w:val="32"/>
        </w:rPr>
        <w:t>二、机构设置及人员情况</w:t>
      </w:r>
    </w:p>
    <w:p w14:paraId="1D7B6096">
      <w:pPr>
        <w:spacing w:line="580" w:lineRule="exact"/>
        <w:ind w:firstLine="640"/>
        <w:jc w:val="both"/>
      </w:pPr>
      <w:r>
        <w:rPr>
          <w:rFonts w:ascii="仿宋_GB2312" w:hAnsi="仿宋_GB2312" w:eastAsia="仿宋_GB2312"/>
          <w:sz w:val="32"/>
        </w:rPr>
        <w:t>新疆维吾尔自治区喀什地区中级人民法院2024年度，实有人数293人，其中：在职人员189人，增加4人；离休人员0人，增加0人；退休人员104人,减少1人。</w:t>
      </w:r>
    </w:p>
    <w:p w14:paraId="649688A8">
      <w:pPr>
        <w:spacing w:line="580" w:lineRule="exact"/>
        <w:ind w:firstLine="640"/>
        <w:jc w:val="both"/>
      </w:pPr>
      <w:r>
        <w:rPr>
          <w:rFonts w:ascii="仿宋_GB2312" w:hAnsi="仿宋_GB2312" w:eastAsia="仿宋_GB2312"/>
          <w:sz w:val="32"/>
        </w:rPr>
        <w:t>新疆维吾尔自治区喀什地区中级人民法院无下属预算单位，下设18个科室，分别是：立案庭、办公室、政治部、监察室、刑事审判第一庭、刑事审判第二庭、民事审判第一庭、民事审判第二庭、行政庭（赔偿委员会办公室）、审判监督庭（督查室）、执行局、审判管理办公室、研究室、机关党委、法警支队、书记员管理办公室、培训中心、机关服务中心。</w:t>
      </w:r>
    </w:p>
    <w:p w14:paraId="2A390791">
      <w:r>
        <w:br w:type="page"/>
      </w:r>
    </w:p>
    <w:p w14:paraId="673AA707">
      <w:pPr>
        <w:spacing w:line="240" w:lineRule="auto"/>
        <w:jc w:val="center"/>
        <w:outlineLvl w:val="1"/>
      </w:pPr>
      <w:r>
        <w:rPr>
          <w:rFonts w:ascii="黑体" w:hAnsi="黑体" w:eastAsia="黑体"/>
          <w:sz w:val="32"/>
        </w:rPr>
        <w:t>第二部分 部门决算情况说明</w:t>
      </w:r>
    </w:p>
    <w:p w14:paraId="673EF009">
      <w:pPr>
        <w:spacing w:line="640" w:lineRule="exact"/>
        <w:ind w:firstLine="640"/>
        <w:jc w:val="both"/>
        <w:outlineLvl w:val="2"/>
      </w:pPr>
      <w:r>
        <w:rPr>
          <w:rFonts w:ascii="黑体" w:hAnsi="黑体" w:eastAsia="黑体"/>
          <w:sz w:val="32"/>
        </w:rPr>
        <w:t>一、收入支出决算总体情况说明</w:t>
      </w:r>
    </w:p>
    <w:p w14:paraId="68D5B09B">
      <w:pPr>
        <w:spacing w:line="580" w:lineRule="exact"/>
        <w:ind w:firstLine="640"/>
        <w:jc w:val="both"/>
      </w:pPr>
      <w:r>
        <w:rPr>
          <w:rFonts w:ascii="仿宋_GB2312" w:hAnsi="仿宋_GB2312" w:eastAsia="仿宋_GB2312"/>
          <w:b/>
          <w:sz w:val="32"/>
        </w:rPr>
        <w:t>2024年度收入总计7,587.94万元，</w:t>
      </w:r>
      <w:r>
        <w:rPr>
          <w:rFonts w:ascii="仿宋_GB2312" w:hAnsi="仿宋_GB2312" w:eastAsia="仿宋_GB2312"/>
          <w:b w:val="0"/>
          <w:sz w:val="32"/>
        </w:rPr>
        <w:t>其中：本年收入合计6,488.54万元，使用非财政拨款结余（含专用结余）0.00万元，年初结转和结余1,099.41万元。</w:t>
      </w:r>
    </w:p>
    <w:p w14:paraId="3A17F573">
      <w:pPr>
        <w:spacing w:line="580" w:lineRule="exact"/>
        <w:ind w:firstLine="640"/>
        <w:jc w:val="both"/>
      </w:pPr>
      <w:r>
        <w:rPr>
          <w:rFonts w:ascii="仿宋_GB2312" w:hAnsi="仿宋_GB2312" w:eastAsia="仿宋_GB2312"/>
          <w:b/>
          <w:sz w:val="32"/>
        </w:rPr>
        <w:t>2024年度支出总计7,587.94万元，</w:t>
      </w:r>
      <w:r>
        <w:rPr>
          <w:rFonts w:ascii="仿宋_GB2312" w:hAnsi="仿宋_GB2312" w:eastAsia="仿宋_GB2312"/>
          <w:b w:val="0"/>
          <w:sz w:val="32"/>
        </w:rPr>
        <w:t>其中：本年支出合计6,586.39万元，结余分配0.00万元，年末结转和结余1,001.55万元。</w:t>
      </w:r>
    </w:p>
    <w:p w14:paraId="01881C98">
      <w:pPr>
        <w:spacing w:line="580" w:lineRule="exact"/>
        <w:ind w:firstLine="640"/>
        <w:jc w:val="both"/>
      </w:pPr>
      <w:r>
        <w:rPr>
          <w:rFonts w:ascii="仿宋_GB2312" w:hAnsi="仿宋_GB2312" w:eastAsia="仿宋_GB2312"/>
          <w:b w:val="0"/>
          <w:sz w:val="32"/>
        </w:rPr>
        <w:t>收入支出总体与上年相比，增加40.11万元，增长0.53%，主要原因是：本年援疆项目资金经费较上年增加。</w:t>
      </w:r>
    </w:p>
    <w:p w14:paraId="4BE290D0">
      <w:pPr>
        <w:spacing w:line="640" w:lineRule="exact"/>
        <w:ind w:firstLine="640"/>
        <w:jc w:val="both"/>
        <w:outlineLvl w:val="2"/>
      </w:pPr>
      <w:r>
        <w:rPr>
          <w:rFonts w:ascii="黑体" w:hAnsi="黑体" w:eastAsia="黑体"/>
          <w:sz w:val="32"/>
        </w:rPr>
        <w:t>二、收入决算情况说明</w:t>
      </w:r>
    </w:p>
    <w:p w14:paraId="5425CAD7">
      <w:pPr>
        <w:spacing w:line="580" w:lineRule="exact"/>
        <w:ind w:firstLine="640"/>
        <w:jc w:val="both"/>
      </w:pPr>
      <w:r>
        <w:rPr>
          <w:rFonts w:ascii="仿宋_GB2312" w:hAnsi="仿宋_GB2312" w:eastAsia="仿宋_GB2312"/>
          <w:b/>
          <w:sz w:val="32"/>
        </w:rPr>
        <w:t>本年收入6,488.54万元，</w:t>
      </w:r>
      <w:r>
        <w:rPr>
          <w:rFonts w:ascii="仿宋_GB2312" w:hAnsi="仿宋_GB2312" w:eastAsia="仿宋_GB2312"/>
          <w:b w:val="0"/>
          <w:sz w:val="32"/>
        </w:rPr>
        <w:t>其中：财政拨款收入6,157.08万元，占94.89%；上级补助收入0.00万元，占0.00%；事业收入0.00万元，占0.00%；经营收入0.00万元，占0.00%；附属单位上缴收入0.00万元，占0.00%；其他收入331.45万元，占5.11%。</w:t>
      </w:r>
    </w:p>
    <w:p w14:paraId="4ED488AA">
      <w:pPr>
        <w:spacing w:line="640" w:lineRule="exact"/>
        <w:ind w:firstLine="640"/>
        <w:jc w:val="both"/>
        <w:outlineLvl w:val="2"/>
      </w:pPr>
      <w:r>
        <w:rPr>
          <w:rFonts w:ascii="黑体" w:hAnsi="黑体" w:eastAsia="黑体"/>
          <w:sz w:val="32"/>
        </w:rPr>
        <w:t>三、支出决算情况说明</w:t>
      </w:r>
    </w:p>
    <w:p w14:paraId="7991E150">
      <w:pPr>
        <w:spacing w:line="580" w:lineRule="exact"/>
        <w:ind w:firstLine="640"/>
        <w:jc w:val="both"/>
      </w:pPr>
      <w:r>
        <w:rPr>
          <w:rFonts w:ascii="仿宋_GB2312" w:hAnsi="仿宋_GB2312" w:eastAsia="仿宋_GB2312"/>
          <w:b/>
          <w:sz w:val="32"/>
        </w:rPr>
        <w:t>本年支出6,586.39万元，</w:t>
      </w:r>
      <w:r>
        <w:rPr>
          <w:rFonts w:ascii="仿宋_GB2312" w:hAnsi="仿宋_GB2312" w:eastAsia="仿宋_GB2312"/>
          <w:b w:val="0"/>
          <w:sz w:val="32"/>
        </w:rPr>
        <w:t>其中：基本支出4,806.43万元，占72.98%；项目支出1,779.95万元，占27.02%；上缴上级支出0.00万元，占0.00%；经营支出0.00万元，占0.00%；对附属单位补助支出0.00万元，占0.00%。</w:t>
      </w:r>
    </w:p>
    <w:p w14:paraId="0751CDE8">
      <w:pPr>
        <w:spacing w:line="640" w:lineRule="exact"/>
        <w:ind w:firstLine="640"/>
        <w:jc w:val="both"/>
        <w:outlineLvl w:val="2"/>
      </w:pPr>
      <w:r>
        <w:rPr>
          <w:rFonts w:ascii="黑体" w:hAnsi="黑体" w:eastAsia="黑体"/>
          <w:sz w:val="32"/>
        </w:rPr>
        <w:t>四、财政拨款收入支出决算总体情况说明</w:t>
      </w:r>
    </w:p>
    <w:p w14:paraId="2066F2DA">
      <w:pPr>
        <w:spacing w:line="580" w:lineRule="exact"/>
        <w:ind w:firstLine="640"/>
        <w:jc w:val="both"/>
      </w:pPr>
      <w:r>
        <w:rPr>
          <w:rFonts w:ascii="仿宋_GB2312" w:hAnsi="仿宋_GB2312" w:eastAsia="仿宋_GB2312"/>
          <w:b/>
          <w:sz w:val="32"/>
        </w:rPr>
        <w:t>2024年度财政拨款收入总计6,157.08万元，</w:t>
      </w:r>
      <w:r>
        <w:rPr>
          <w:rFonts w:ascii="仿宋_GB2312" w:hAnsi="仿宋_GB2312" w:eastAsia="仿宋_GB2312"/>
          <w:b w:val="0"/>
          <w:sz w:val="32"/>
        </w:rPr>
        <w:t>其中：年初财政拨款结转和结余0.00万元，本年财政拨款收入6,157.08万元。</w:t>
      </w:r>
      <w:r>
        <w:rPr>
          <w:rFonts w:ascii="仿宋_GB2312" w:hAnsi="仿宋_GB2312" w:eastAsia="仿宋_GB2312"/>
          <w:b/>
          <w:sz w:val="32"/>
        </w:rPr>
        <w:t>财政拨款支出总计6,157.08万元，</w:t>
      </w:r>
      <w:r>
        <w:rPr>
          <w:rFonts w:ascii="仿宋_GB2312" w:hAnsi="仿宋_GB2312" w:eastAsia="仿宋_GB2312"/>
          <w:b w:val="0"/>
          <w:sz w:val="32"/>
        </w:rPr>
        <w:t>其中：年末财政拨款结转和结余0.00万元，本年财政拨款支出6,157.08万元。</w:t>
      </w:r>
    </w:p>
    <w:p w14:paraId="5661571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减少107.81万元，下降1.72%，主要原因是：本年抚恤金、为民办实事项目经费较上年减少。</w:t>
      </w:r>
      <w:r>
        <w:rPr>
          <w:rFonts w:ascii="仿宋_GB2312" w:hAnsi="仿宋_GB2312" w:eastAsia="仿宋_GB2312"/>
          <w:b/>
          <w:sz w:val="32"/>
        </w:rPr>
        <w:t>与年初预算相比，</w:t>
      </w:r>
      <w:r>
        <w:rPr>
          <w:rFonts w:ascii="仿宋_GB2312" w:hAnsi="仿宋_GB2312" w:eastAsia="仿宋_GB2312"/>
          <w:b w:val="0"/>
          <w:sz w:val="32"/>
        </w:rPr>
        <w:t>年初预算数6,335.15万元，决算数6,157.08万元，预决算差异率-2.81%，主要原因是：严格落实中央八项规定精神，厉行节约，减少不必要的开支。</w:t>
      </w:r>
    </w:p>
    <w:p w14:paraId="7D6BD0F8">
      <w:pPr>
        <w:spacing w:line="640" w:lineRule="exact"/>
        <w:ind w:firstLine="640"/>
        <w:jc w:val="both"/>
        <w:outlineLvl w:val="2"/>
      </w:pPr>
      <w:r>
        <w:rPr>
          <w:rFonts w:ascii="黑体" w:hAnsi="黑体" w:eastAsia="黑体"/>
          <w:sz w:val="32"/>
        </w:rPr>
        <w:t>五、一般公共预算财政拨款支出决算情况说明</w:t>
      </w:r>
    </w:p>
    <w:p w14:paraId="1D57F6C6">
      <w:pPr>
        <w:spacing w:line="640" w:lineRule="exact"/>
        <w:ind w:firstLine="640"/>
        <w:jc w:val="both"/>
        <w:outlineLvl w:val="3"/>
      </w:pPr>
      <w:r>
        <w:rPr>
          <w:rFonts w:ascii="楷体_GB2312" w:hAnsi="楷体_GB2312" w:eastAsia="楷体_GB2312"/>
          <w:b/>
          <w:sz w:val="32"/>
        </w:rPr>
        <w:t>（一）一般公共预算财政拨款支出决算总体情况</w:t>
      </w:r>
    </w:p>
    <w:p w14:paraId="23BF59E2">
      <w:pPr>
        <w:spacing w:line="580" w:lineRule="exact"/>
        <w:ind w:firstLine="640"/>
        <w:jc w:val="both"/>
      </w:pPr>
      <w:r>
        <w:rPr>
          <w:rFonts w:ascii="仿宋_GB2312" w:hAnsi="仿宋_GB2312" w:eastAsia="仿宋_GB2312"/>
          <w:b/>
          <w:sz w:val="32"/>
        </w:rPr>
        <w:t>2024年度一般公共预算财政拨款支出6,157.08万元，</w:t>
      </w:r>
      <w:r>
        <w:rPr>
          <w:rFonts w:ascii="仿宋_GB2312" w:hAnsi="仿宋_GB2312" w:eastAsia="仿宋_GB2312"/>
          <w:b w:val="0"/>
          <w:sz w:val="32"/>
        </w:rPr>
        <w:t>占本年支出合计的93.48%。</w:t>
      </w:r>
      <w:r>
        <w:rPr>
          <w:rFonts w:ascii="仿宋_GB2312" w:hAnsi="仿宋_GB2312" w:eastAsia="仿宋_GB2312"/>
          <w:b/>
          <w:sz w:val="32"/>
        </w:rPr>
        <w:t>与上年相比，</w:t>
      </w:r>
      <w:r>
        <w:rPr>
          <w:rFonts w:ascii="仿宋_GB2312" w:hAnsi="仿宋_GB2312" w:eastAsia="仿宋_GB2312"/>
          <w:b w:val="0"/>
          <w:sz w:val="32"/>
        </w:rPr>
        <w:t>减少107.81万元，下降1.72%，主要原因是：本年抚恤金、为民办实事项目经费较上年减少。</w:t>
      </w:r>
      <w:r>
        <w:rPr>
          <w:rFonts w:ascii="仿宋_GB2312" w:hAnsi="仿宋_GB2312" w:eastAsia="仿宋_GB2312"/>
          <w:b/>
          <w:sz w:val="32"/>
        </w:rPr>
        <w:t>与年初预算相比,</w:t>
      </w:r>
      <w:r>
        <w:rPr>
          <w:rFonts w:ascii="仿宋_GB2312" w:hAnsi="仿宋_GB2312" w:eastAsia="仿宋_GB2312"/>
          <w:b w:val="0"/>
          <w:sz w:val="32"/>
        </w:rPr>
        <w:t>年初预算数6,335.15万元，决算数6,157.08万元，预决算差异率-2.81%，主要原因是：严格落实中央八项规定精神，厉行节约，减少不必要的开支。</w:t>
      </w:r>
    </w:p>
    <w:p w14:paraId="6A14AF0C">
      <w:pPr>
        <w:spacing w:line="640" w:lineRule="exact"/>
        <w:ind w:firstLine="640"/>
        <w:jc w:val="both"/>
        <w:outlineLvl w:val="3"/>
      </w:pPr>
      <w:r>
        <w:rPr>
          <w:rFonts w:ascii="楷体_GB2312" w:hAnsi="楷体_GB2312" w:eastAsia="楷体_GB2312"/>
          <w:b/>
          <w:sz w:val="32"/>
        </w:rPr>
        <w:t>（二）一般公共预算财政拨款支出决算结构情况</w:t>
      </w:r>
    </w:p>
    <w:p w14:paraId="4D1B726E">
      <w:pPr>
        <w:spacing w:line="580" w:lineRule="exact"/>
        <w:ind w:firstLine="640"/>
        <w:jc w:val="both"/>
      </w:pPr>
      <w:r>
        <w:rPr>
          <w:rFonts w:ascii="仿宋_GB2312" w:hAnsi="仿宋_GB2312" w:eastAsia="仿宋_GB2312"/>
          <w:b w:val="0"/>
          <w:sz w:val="32"/>
        </w:rPr>
        <w:t>1.一般公共服务支出(类)56.59万元,占0.92%。</w:t>
      </w:r>
    </w:p>
    <w:p w14:paraId="241F1A2C">
      <w:pPr>
        <w:spacing w:line="580" w:lineRule="exact"/>
        <w:ind w:firstLine="640"/>
        <w:jc w:val="both"/>
      </w:pPr>
      <w:r>
        <w:rPr>
          <w:rFonts w:ascii="仿宋_GB2312" w:hAnsi="仿宋_GB2312" w:eastAsia="仿宋_GB2312"/>
          <w:b w:val="0"/>
          <w:sz w:val="32"/>
        </w:rPr>
        <w:t>2.公共安全支出(类)4,931.20万元,占80.09%。</w:t>
      </w:r>
    </w:p>
    <w:p w14:paraId="7FC90585">
      <w:pPr>
        <w:spacing w:line="580" w:lineRule="exact"/>
        <w:ind w:firstLine="640"/>
        <w:jc w:val="both"/>
      </w:pPr>
      <w:r>
        <w:rPr>
          <w:rFonts w:ascii="仿宋_GB2312" w:hAnsi="仿宋_GB2312" w:eastAsia="仿宋_GB2312"/>
          <w:b w:val="0"/>
          <w:sz w:val="32"/>
        </w:rPr>
        <w:t>3.社会保障和就业支出(类)629.09万元,占10.22%。</w:t>
      </w:r>
    </w:p>
    <w:p w14:paraId="6942CA31">
      <w:pPr>
        <w:spacing w:line="580" w:lineRule="exact"/>
        <w:ind w:firstLine="640"/>
        <w:jc w:val="both"/>
      </w:pPr>
      <w:r>
        <w:rPr>
          <w:rFonts w:ascii="仿宋_GB2312" w:hAnsi="仿宋_GB2312" w:eastAsia="仿宋_GB2312"/>
          <w:b w:val="0"/>
          <w:sz w:val="32"/>
        </w:rPr>
        <w:t>4.卫生健康支出(类)208.88万元,占3.39%。</w:t>
      </w:r>
    </w:p>
    <w:p w14:paraId="609F2737">
      <w:pPr>
        <w:spacing w:line="580" w:lineRule="exact"/>
        <w:ind w:firstLine="640"/>
        <w:jc w:val="both"/>
      </w:pPr>
      <w:r>
        <w:rPr>
          <w:rFonts w:ascii="仿宋_GB2312" w:hAnsi="仿宋_GB2312" w:eastAsia="仿宋_GB2312"/>
          <w:b w:val="0"/>
          <w:sz w:val="32"/>
        </w:rPr>
        <w:t>5.住房保障支出(类)331.33万元,占5.38%。</w:t>
      </w:r>
    </w:p>
    <w:p w14:paraId="0497BEA4">
      <w:pPr>
        <w:spacing w:line="640" w:lineRule="exact"/>
        <w:ind w:firstLine="640"/>
        <w:jc w:val="both"/>
        <w:outlineLvl w:val="3"/>
      </w:pPr>
      <w:r>
        <w:rPr>
          <w:rFonts w:ascii="楷体_GB2312" w:hAnsi="楷体_GB2312" w:eastAsia="楷体_GB2312"/>
          <w:b/>
          <w:sz w:val="32"/>
        </w:rPr>
        <w:t>（三）一般公共预算财政拨款支出决算具体情况</w:t>
      </w:r>
    </w:p>
    <w:p w14:paraId="1CCBF4CC">
      <w:pPr>
        <w:spacing w:line="580" w:lineRule="exact"/>
        <w:ind w:firstLine="640"/>
        <w:jc w:val="both"/>
      </w:pPr>
      <w:r>
        <w:rPr>
          <w:rFonts w:ascii="仿宋_GB2312" w:hAnsi="仿宋_GB2312" w:eastAsia="仿宋_GB2312"/>
          <w:b w:val="0"/>
          <w:sz w:val="32"/>
        </w:rPr>
        <w:t>1.一般公共服务支出(类)党委办公厅（室）及相关机构事务(款)其他党委办公厅（室）及相关机构事务支出(项):支出决算数为50.00万元，比上年决算增加0.00万元，增长0.00%,主要原因是：本年司法救助项目经费与上年一致</w:t>
      </w:r>
      <w:r>
        <w:rPr>
          <w:rFonts w:hint="eastAsia" w:ascii="仿宋_GB2312" w:hAnsi="仿宋_GB2312" w:eastAsia="仿宋_GB2312"/>
          <w:b w:val="0"/>
          <w:sz w:val="32"/>
          <w:lang w:val="en-US" w:eastAsia="zh-CN"/>
        </w:rPr>
        <w:t>无变化</w:t>
      </w:r>
      <w:r>
        <w:rPr>
          <w:rFonts w:ascii="仿宋_GB2312" w:hAnsi="仿宋_GB2312" w:eastAsia="仿宋_GB2312"/>
          <w:b w:val="0"/>
          <w:sz w:val="32"/>
        </w:rPr>
        <w:t>。</w:t>
      </w:r>
    </w:p>
    <w:p w14:paraId="67C65351">
      <w:pPr>
        <w:spacing w:line="580" w:lineRule="exact"/>
        <w:ind w:firstLine="640"/>
        <w:jc w:val="both"/>
      </w:pPr>
      <w:r>
        <w:rPr>
          <w:rFonts w:ascii="仿宋_GB2312" w:hAnsi="仿宋_GB2312" w:eastAsia="仿宋_GB2312"/>
          <w:b w:val="0"/>
          <w:sz w:val="32"/>
        </w:rPr>
        <w:t>2.一般公共服务支出(类)统战事务(款)宗教事务(项):支出决算数为6.59万元，比上年决算增加6.22万元，增长1,681.08%,主要原因是：本年增加人员生活补助支出，导致经费较上年增加。</w:t>
      </w:r>
    </w:p>
    <w:p w14:paraId="39E42314">
      <w:pPr>
        <w:spacing w:line="580" w:lineRule="exact"/>
        <w:ind w:firstLine="640"/>
        <w:jc w:val="both"/>
      </w:pPr>
      <w:r>
        <w:rPr>
          <w:rFonts w:ascii="仿宋_GB2312" w:hAnsi="仿宋_GB2312" w:eastAsia="仿宋_GB2312"/>
          <w:b w:val="0"/>
          <w:sz w:val="32"/>
        </w:rPr>
        <w:t>3.公共安全支出(类)法院(款)行政运行(项):支出决算数为3,630.55万元，比上年决算减少26.65万元，下降0.73%,主要原因是：本年在职人员调入调出，人员职级不同，工资基数不同，导致人员经费较上年减少。</w:t>
      </w:r>
    </w:p>
    <w:p w14:paraId="06117BE6">
      <w:pPr>
        <w:spacing w:line="580" w:lineRule="exact"/>
        <w:ind w:firstLine="640"/>
        <w:jc w:val="both"/>
      </w:pPr>
      <w:r>
        <w:rPr>
          <w:rFonts w:ascii="仿宋_GB2312" w:hAnsi="仿宋_GB2312" w:eastAsia="仿宋_GB2312"/>
          <w:b w:val="0"/>
          <w:sz w:val="32"/>
        </w:rPr>
        <w:t>4.公共安全支出(类)法院(款)一般行政管理事务(项):支出决算数为594.07万元，比上年决算增加6.83万元，增长1.16%,主要原因是：本年综合业务运维项目资金增加，导致较上年增加。</w:t>
      </w:r>
    </w:p>
    <w:p w14:paraId="031A27AB">
      <w:pPr>
        <w:spacing w:line="580" w:lineRule="exact"/>
        <w:ind w:firstLine="640"/>
        <w:jc w:val="both"/>
      </w:pPr>
      <w:r>
        <w:rPr>
          <w:rFonts w:ascii="仿宋_GB2312" w:hAnsi="仿宋_GB2312" w:eastAsia="仿宋_GB2312"/>
          <w:b w:val="0"/>
          <w:sz w:val="32"/>
        </w:rPr>
        <w:t>5.公共安全支出(类)法院(款)其他法院支出(项):支出决算数为706.58万元，比上年决算增加59.16万元，增长9.14%,主要原因是：本年度功能科目调整，专项项目上年在其他支出(项）科目列支、司法经费上年度在其他公共安全支出(项)列支，专项项目经费、司法经费本年调整至其他法院支出(项)列支，导致经费支出增加。</w:t>
      </w:r>
    </w:p>
    <w:p w14:paraId="73EB1047">
      <w:pPr>
        <w:spacing w:line="580" w:lineRule="exact"/>
        <w:ind w:firstLine="640"/>
        <w:jc w:val="both"/>
      </w:pPr>
      <w:r>
        <w:rPr>
          <w:rFonts w:ascii="仿宋_GB2312" w:hAnsi="仿宋_GB2312" w:eastAsia="仿宋_GB2312"/>
          <w:b w:val="0"/>
          <w:sz w:val="32"/>
        </w:rPr>
        <w:t>6.公共安全支出(类)其他公共安全支出(款)其他公共安全支出(项):支出决算数为0.00万元，比上年决算减少100.00万元，下降100.00%,主要原因是：本年功能科目调整，司法经费上年度在其他公共安全支出(项)列支，本年在其他法院支出(项)单独列支，导致经费较上年减少。</w:t>
      </w:r>
    </w:p>
    <w:p w14:paraId="45F2EE7D">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7.社会保障和就业支出(类)行政事业单位养老支出(款)行政单位离退休(项):支出决算数为175.24万元，比上年决算增加35.12万元，增长25.06%,主要原因是：本年退休人员考核奖增加，退休费支出增加。</w:t>
      </w:r>
    </w:p>
    <w:p w14:paraId="0E234CD5">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386.22万元，比上年决算增加23.19万元，增长6.39%,主要原因是：本年在职人员增加，养老保险缴费较上年增加。</w:t>
      </w:r>
    </w:p>
    <w:p w14:paraId="60E1FF00">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0.00万元，比上年决算减少106.16万元，下降100.00%,主要原因是：本年职业年金缴费未支付成功，导致职业年金缴费较上年减少。</w:t>
      </w:r>
    </w:p>
    <w:p w14:paraId="3DE261A0">
      <w:pPr>
        <w:spacing w:line="580" w:lineRule="exact"/>
        <w:ind w:firstLine="640"/>
        <w:jc w:val="both"/>
      </w:pPr>
      <w:r>
        <w:rPr>
          <w:rFonts w:ascii="仿宋_GB2312" w:hAnsi="仿宋_GB2312" w:eastAsia="仿宋_GB2312"/>
          <w:b w:val="0"/>
          <w:sz w:val="32"/>
        </w:rPr>
        <w:t>10.社会保障和就业支出(类)抚恤(款)死亡抚恤(项):支出决算数为67.63万元，比上年决算减少53.96万元，下降44.38%,主要原因是：本年新增死亡人员较上年减少，死亡抚恤支出较上年减少。</w:t>
      </w:r>
    </w:p>
    <w:p w14:paraId="4BAD9522">
      <w:pPr>
        <w:spacing w:line="580" w:lineRule="exact"/>
        <w:ind w:firstLine="640"/>
        <w:jc w:val="both"/>
      </w:pPr>
      <w:r>
        <w:rPr>
          <w:rFonts w:ascii="仿宋_GB2312" w:hAnsi="仿宋_GB2312" w:eastAsia="仿宋_GB2312"/>
          <w:b w:val="0"/>
          <w:sz w:val="32"/>
        </w:rPr>
        <w:t>11.卫生健康支出(类)行政事业单位医疗(款)行政单位医疗(项):支出决算数为163.20万元，比上年决算增加8.91万元，增长5.77%,主要原因是：本年在职人员增加，行政单位医疗支出较上年增加。</w:t>
      </w:r>
    </w:p>
    <w:p w14:paraId="055EC682">
      <w:pPr>
        <w:spacing w:line="580" w:lineRule="exact"/>
        <w:ind w:firstLine="640"/>
        <w:jc w:val="both"/>
      </w:pPr>
      <w:r>
        <w:rPr>
          <w:rFonts w:ascii="仿宋_GB2312" w:hAnsi="仿宋_GB2312" w:eastAsia="仿宋_GB2312"/>
          <w:b w:val="0"/>
          <w:sz w:val="32"/>
        </w:rPr>
        <w:t>12.卫生健康支出(类)行政事业单位医疗(款)公务员医疗补助(项):支出决算数为45.67万元，比上年决算增加3.04万元，增长7.13%,主要原因是：本年在职人员增加，公务员医疗补助较上年增加。</w:t>
      </w:r>
    </w:p>
    <w:p w14:paraId="2E35878B">
      <w:pPr>
        <w:spacing w:line="580" w:lineRule="exact"/>
        <w:ind w:firstLine="640"/>
        <w:jc w:val="both"/>
      </w:pPr>
      <w:r>
        <w:rPr>
          <w:rFonts w:ascii="仿宋_GB2312" w:hAnsi="仿宋_GB2312" w:eastAsia="仿宋_GB2312"/>
          <w:b w:val="0"/>
          <w:sz w:val="32"/>
        </w:rPr>
        <w:t>13.住房保障支出(类)住房改革支出(款)住房公积金(项):支出决算数为331.33万元，比上年决算增加37.90万元，增长12.92%,主要原因是：本年在职人员增加，住房公积金支出较上年增加。</w:t>
      </w:r>
    </w:p>
    <w:p w14:paraId="50C4B7BF">
      <w:pPr>
        <w:spacing w:line="580" w:lineRule="exact"/>
        <w:ind w:firstLine="640"/>
        <w:jc w:val="both"/>
      </w:pPr>
      <w:r>
        <w:rPr>
          <w:rFonts w:ascii="仿宋_GB2312" w:hAnsi="仿宋_GB2312" w:eastAsia="仿宋_GB2312"/>
          <w:b w:val="0"/>
          <w:sz w:val="32"/>
        </w:rPr>
        <w:t>14.其他支出(类)其他支出(款)其他支出(项):支出决算数为0.00万元，比上年决算减少1.41万元，下降100.00%,主要原因是：本年度功能科目调整，专项项目上年在其他支出(项）科目列支，本年调整至其他法院支出(项)列支，导致经费支出减少。</w:t>
      </w:r>
    </w:p>
    <w:p w14:paraId="73F8BAB6">
      <w:pPr>
        <w:spacing w:line="640" w:lineRule="exact"/>
        <w:ind w:firstLine="640"/>
        <w:jc w:val="both"/>
        <w:outlineLvl w:val="2"/>
      </w:pPr>
      <w:r>
        <w:rPr>
          <w:rFonts w:ascii="黑体" w:hAnsi="黑体" w:eastAsia="黑体"/>
          <w:sz w:val="32"/>
        </w:rPr>
        <w:t>六、一般公共预算财政拨款基本支出决算情况说明</w:t>
      </w:r>
    </w:p>
    <w:p w14:paraId="3F7F9F79">
      <w:pPr>
        <w:spacing w:line="580" w:lineRule="exact"/>
        <w:ind w:firstLine="640"/>
        <w:jc w:val="both"/>
      </w:pPr>
      <w:r>
        <w:rPr>
          <w:rFonts w:ascii="仿宋_GB2312" w:hAnsi="仿宋_GB2312" w:eastAsia="仿宋_GB2312"/>
          <w:b w:val="0"/>
          <w:sz w:val="32"/>
        </w:rPr>
        <w:t>2024年度一般公共预算财政拨款基本支出4,806.43万元，其中：</w:t>
      </w:r>
      <w:r>
        <w:rPr>
          <w:rFonts w:ascii="仿宋_GB2312" w:hAnsi="仿宋_GB2312" w:eastAsia="仿宋_GB2312"/>
          <w:b/>
          <w:sz w:val="32"/>
        </w:rPr>
        <w:t>人员经费4,577.50万元，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抚恤金、生活补助、其他对个人和家庭的补助。</w:t>
      </w:r>
    </w:p>
    <w:p w14:paraId="550EC0E3">
      <w:pPr>
        <w:spacing w:line="580" w:lineRule="exact"/>
        <w:ind w:firstLine="640"/>
        <w:jc w:val="both"/>
      </w:pPr>
      <w:r>
        <w:rPr>
          <w:rFonts w:ascii="仿宋_GB2312" w:hAnsi="仿宋_GB2312" w:eastAsia="仿宋_GB2312"/>
          <w:b/>
          <w:sz w:val="32"/>
        </w:rPr>
        <w:t>公用经费228.93万元，</w:t>
      </w:r>
      <w:r>
        <w:rPr>
          <w:rFonts w:ascii="仿宋_GB2312" w:hAnsi="仿宋_GB2312" w:eastAsia="仿宋_GB2312"/>
          <w:b w:val="0"/>
          <w:sz w:val="32"/>
        </w:rPr>
        <w:t>包括：办公费、水费、电费、邮电费、取暖费、物业管理费、差旅费、维修（护）费、租赁费、培训费、工会经费、公务用车运行维护费、其他交通费用、其他商品和服务支出。</w:t>
      </w:r>
    </w:p>
    <w:p w14:paraId="1D3B5714">
      <w:pPr>
        <w:spacing w:line="640" w:lineRule="exact"/>
        <w:ind w:firstLine="640"/>
        <w:jc w:val="both"/>
        <w:outlineLvl w:val="2"/>
      </w:pPr>
      <w:r>
        <w:rPr>
          <w:rFonts w:ascii="黑体" w:hAnsi="黑体" w:eastAsia="黑体"/>
          <w:sz w:val="32"/>
        </w:rPr>
        <w:t>七、政府性基金预算财政拨款收入支出决算情况说明</w:t>
      </w:r>
    </w:p>
    <w:p w14:paraId="78BA7496">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2B780840">
      <w:pPr>
        <w:spacing w:line="640" w:lineRule="exact"/>
        <w:ind w:firstLine="640"/>
        <w:jc w:val="both"/>
        <w:outlineLvl w:val="2"/>
      </w:pPr>
      <w:r>
        <w:rPr>
          <w:rFonts w:ascii="黑体" w:hAnsi="黑体" w:eastAsia="黑体"/>
          <w:sz w:val="32"/>
        </w:rPr>
        <w:t>八、国有资本经营预算财政拨款收入支出决算情况说明</w:t>
      </w:r>
    </w:p>
    <w:p w14:paraId="1D48DE4F">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7DE71BB">
      <w:pPr>
        <w:spacing w:line="640" w:lineRule="exact"/>
        <w:ind w:firstLine="640"/>
        <w:jc w:val="both"/>
        <w:outlineLvl w:val="2"/>
      </w:pPr>
      <w:r>
        <w:rPr>
          <w:rFonts w:ascii="黑体" w:hAnsi="黑体" w:eastAsia="黑体"/>
          <w:sz w:val="32"/>
        </w:rPr>
        <w:t>九、财政拨款“三公”经费支出决算情况说明</w:t>
      </w:r>
    </w:p>
    <w:p w14:paraId="288932F5">
      <w:pPr>
        <w:spacing w:line="580" w:lineRule="exact"/>
        <w:ind w:firstLine="640"/>
        <w:jc w:val="both"/>
      </w:pPr>
      <w:r>
        <w:rPr>
          <w:rFonts w:ascii="仿宋_GB2312" w:hAnsi="仿宋_GB2312" w:eastAsia="仿宋_GB2312"/>
          <w:b/>
          <w:sz w:val="32"/>
        </w:rPr>
        <w:t>2024年度财政拨款“三公”经费支出155.99万元，</w:t>
      </w:r>
      <w:r>
        <w:rPr>
          <w:rFonts w:ascii="仿宋_GB2312" w:hAnsi="仿宋_GB2312" w:eastAsia="仿宋_GB2312"/>
          <w:b w:val="0"/>
          <w:sz w:val="32"/>
        </w:rPr>
        <w:t>比上年增加93.89万元，增长151.19%，主要原因是：本年新购入公务用车，公务用车购置费较上年增加。其中：因公出国（境）费支出0.00万元，占0.00%，比上年增加0.00万元，增长0.00%，主要原因是：2023年与2024年均未安排因公出国（境）费支出。公务用车购置及运行维护费支出155.99万元，占100.00%，比上年增加93.89万元，增长151.19%，主要原因是：本年新购入公务用车，公务用车购置费及运行维护费较上年增加。公务接待费支出0.00万元，占0.00%，比上年增加0.00万元，增长0.00%，主要原因是：2023年与2024年均未安排公务接待费支出。</w:t>
      </w:r>
    </w:p>
    <w:p w14:paraId="7F8F2AA3">
      <w:pPr>
        <w:spacing w:line="580" w:lineRule="exact"/>
        <w:ind w:firstLine="640"/>
        <w:jc w:val="both"/>
      </w:pPr>
      <w:r>
        <w:rPr>
          <w:rFonts w:ascii="仿宋_GB2312" w:hAnsi="仿宋_GB2312" w:eastAsia="仿宋_GB2312"/>
          <w:b/>
          <w:sz w:val="32"/>
        </w:rPr>
        <w:t>具体情况如下：</w:t>
      </w:r>
    </w:p>
    <w:p w14:paraId="1E002D79">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36608D4C">
      <w:pPr>
        <w:spacing w:line="580" w:lineRule="exact"/>
        <w:ind w:firstLine="640"/>
        <w:jc w:val="both"/>
      </w:pPr>
      <w:r>
        <w:rPr>
          <w:rFonts w:ascii="仿宋_GB2312" w:hAnsi="仿宋_GB2312" w:eastAsia="仿宋_GB2312"/>
          <w:b w:val="0"/>
          <w:sz w:val="32"/>
        </w:rPr>
        <w:t>公务用车购置及运行维护费155.99万元，其中：公务用车购置费95.81万元，公务用车运行维护费60.18万元。公务用车运行维护费开支内容包括车辆加油费、保险费、审车费、过路费等。公务用车购置数5辆，公务用车保有量28辆。国有资产占用情况中固定资产车辆28辆，与公务用车保有量差异原因是：本部门固定资产车辆与公务用车保有量一致无差异。</w:t>
      </w:r>
    </w:p>
    <w:p w14:paraId="0C99AB40">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702853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157.67万元，决算数155.99万元，预决算差异率-1.07%，主要原因是：严格落实中央八项规定精神，厉行节约，减少经费支出。其中：因公出国（境）费全年预算数0.00万元，决算数0.00万元，预决算差异率0.00%，主要原因是：本部门无因公出国（境）费。公务用车购置费全年预算数97.50万元，决算数95.81万元，预决算差异率-1.73%，主要原因是：严格落实中央八项规定精神，厉行节约，减少经费支出。公务用车运行维护费全年预算数60.18万元，决算数60.18万元，预决算差异率0.00%，主要原因是：严格按照预算执行，预决算无差异。公务接待费全年预算数0.00万元，决算数0.00万元，预决算差异率0.00%，主要原因是：本部门无公务接待费。</w:t>
      </w:r>
    </w:p>
    <w:p w14:paraId="622583B9">
      <w:pPr>
        <w:spacing w:line="640" w:lineRule="exact"/>
        <w:ind w:firstLine="640"/>
        <w:jc w:val="both"/>
        <w:outlineLvl w:val="2"/>
      </w:pPr>
      <w:r>
        <w:rPr>
          <w:rFonts w:ascii="黑体" w:hAnsi="黑体" w:eastAsia="黑体"/>
          <w:sz w:val="32"/>
        </w:rPr>
        <w:t>十、其他重要事项的情况说明</w:t>
      </w:r>
    </w:p>
    <w:p w14:paraId="4142C2B7">
      <w:pPr>
        <w:spacing w:line="640" w:lineRule="exact"/>
        <w:ind w:firstLine="640"/>
        <w:jc w:val="both"/>
        <w:outlineLvl w:val="3"/>
      </w:pPr>
      <w:r>
        <w:rPr>
          <w:rFonts w:ascii="楷体_GB2312" w:hAnsi="楷体_GB2312" w:eastAsia="楷体_GB2312"/>
          <w:b/>
          <w:sz w:val="32"/>
        </w:rPr>
        <w:t>（一）机关运行经费及公用经费支出情况</w:t>
      </w:r>
    </w:p>
    <w:p w14:paraId="189A0E59">
      <w:pPr>
        <w:spacing w:line="580" w:lineRule="exact"/>
        <w:ind w:firstLine="640"/>
        <w:jc w:val="both"/>
      </w:pPr>
      <w:r>
        <w:rPr>
          <w:rFonts w:ascii="仿宋_GB2312" w:hAnsi="仿宋_GB2312" w:eastAsia="仿宋_GB2312"/>
          <w:b w:val="0"/>
          <w:sz w:val="32"/>
        </w:rPr>
        <w:t>2024年度新疆维吾尔自治区喀什地区中级人民法院（行政单位和参照公务员法管理事业单位）机关运行经费支出228.93万元，比上年增加17.60万元，增长8.33%，主要原因是：本年业务量增加，办公经费增加，导致机关运行经费增加。</w:t>
      </w:r>
    </w:p>
    <w:p w14:paraId="3845D293">
      <w:pPr>
        <w:spacing w:line="640" w:lineRule="exact"/>
        <w:ind w:firstLine="640"/>
        <w:jc w:val="both"/>
        <w:outlineLvl w:val="3"/>
      </w:pPr>
      <w:r>
        <w:rPr>
          <w:rFonts w:ascii="楷体_GB2312" w:hAnsi="楷体_GB2312" w:eastAsia="楷体_GB2312"/>
          <w:b/>
          <w:sz w:val="32"/>
        </w:rPr>
        <w:t>（二）政府采购情况</w:t>
      </w:r>
    </w:p>
    <w:p w14:paraId="5A24681C">
      <w:pPr>
        <w:spacing w:line="580" w:lineRule="exact"/>
        <w:ind w:firstLine="640"/>
        <w:jc w:val="both"/>
      </w:pPr>
      <w:r>
        <w:rPr>
          <w:rFonts w:ascii="仿宋_GB2312" w:hAnsi="仿宋_GB2312" w:eastAsia="仿宋_GB2312"/>
          <w:b w:val="0"/>
          <w:sz w:val="32"/>
        </w:rPr>
        <w:t>2024年度政府采购支出总额801.47万元，其中：政府采购货物支出255.54万元、政府采购工程支出31.74万元、政府采购服务支出514.18万元。</w:t>
      </w:r>
    </w:p>
    <w:p w14:paraId="0C37B656">
      <w:pPr>
        <w:spacing w:line="580" w:lineRule="exact"/>
        <w:ind w:firstLine="640"/>
        <w:jc w:val="both"/>
      </w:pPr>
      <w:r>
        <w:rPr>
          <w:rFonts w:ascii="仿宋_GB2312" w:hAnsi="仿宋_GB2312" w:eastAsia="仿宋_GB2312"/>
          <w:b w:val="0"/>
          <w:sz w:val="32"/>
        </w:rPr>
        <w:t>授予中小企业合同金额705.16万元，占政府采购支出总额的87.98%，其中：授予小微企业合同金额694.11万元，占政府采购支出总额的86.60%。</w:t>
      </w:r>
    </w:p>
    <w:p w14:paraId="20A81EFD">
      <w:pPr>
        <w:spacing w:line="640" w:lineRule="exact"/>
        <w:ind w:firstLine="640"/>
        <w:jc w:val="both"/>
        <w:outlineLvl w:val="3"/>
      </w:pPr>
      <w:r>
        <w:rPr>
          <w:rFonts w:ascii="楷体_GB2312" w:hAnsi="楷体_GB2312" w:eastAsia="楷体_GB2312"/>
          <w:b/>
          <w:sz w:val="32"/>
        </w:rPr>
        <w:t>（三）国有资产占用情况说明</w:t>
      </w:r>
    </w:p>
    <w:p w14:paraId="20D791A9">
      <w:pPr>
        <w:spacing w:line="580" w:lineRule="exact"/>
        <w:ind w:firstLine="640"/>
        <w:jc w:val="both"/>
      </w:pPr>
      <w:r>
        <w:rPr>
          <w:rFonts w:ascii="仿宋_GB2312" w:hAnsi="仿宋_GB2312" w:eastAsia="仿宋_GB2312"/>
          <w:b w:val="0"/>
          <w:sz w:val="32"/>
        </w:rPr>
        <w:t>截至2024年12月31日，房屋8,863.10平方米，价值1,541.61万元。车辆28辆，价值683.69万元，其中：副部（省）级及以上领导用车0辆、主要负责人用车0辆、机要通信用车0辆、应急保障用车0辆、执法执勤用车15辆、特种专业技术用车5辆、离退休干部服务用车0辆、其他用车8辆，其他用车主要是：一般公务用车。单价100万元（含）以上设备（不含车辆）8台（套）。</w:t>
      </w:r>
    </w:p>
    <w:p w14:paraId="32AB5C32">
      <w:pPr>
        <w:spacing w:line="640" w:lineRule="exact"/>
        <w:ind w:firstLine="640"/>
        <w:jc w:val="both"/>
        <w:outlineLvl w:val="2"/>
      </w:pPr>
      <w:r>
        <w:rPr>
          <w:rFonts w:ascii="黑体" w:hAnsi="黑体" w:eastAsia="黑体"/>
          <w:sz w:val="32"/>
        </w:rPr>
        <w:t>十一、预算绩效的情况说明</w:t>
      </w:r>
    </w:p>
    <w:p w14:paraId="2BD2CA3A">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根据预算绩效管理要求，本部门2024年度预算绩效管理形成整体支出绩效自评表1个，全年预算总额7,720.73万元，实际执行总额6,586.38万元；预算绩效评价项目</w:t>
      </w:r>
      <w:r>
        <w:rPr>
          <w:rFonts w:hint="eastAsia" w:ascii="仿宋_GB2312" w:hAnsi="仿宋_GB2312" w:eastAsia="仿宋_GB2312"/>
          <w:b w:val="0"/>
          <w:sz w:val="32"/>
          <w:lang w:val="en-US" w:eastAsia="zh-CN"/>
        </w:rPr>
        <w:t>16</w:t>
      </w:r>
      <w:r>
        <w:rPr>
          <w:rFonts w:ascii="仿宋_GB2312" w:hAnsi="仿宋_GB2312" w:eastAsia="仿宋_GB2312"/>
          <w:b w:val="0"/>
          <w:sz w:val="32"/>
        </w:rPr>
        <w:t>个，全年预算数</w:t>
      </w:r>
      <w:r>
        <w:rPr>
          <w:rFonts w:hint="eastAsia" w:ascii="仿宋_GB2312" w:hAnsi="仿宋_GB2312" w:eastAsia="仿宋_GB2312"/>
          <w:b w:val="0"/>
          <w:sz w:val="32"/>
        </w:rPr>
        <w:t>2</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768.15</w:t>
      </w:r>
      <w:r>
        <w:rPr>
          <w:rFonts w:ascii="仿宋_GB2312" w:hAnsi="仿宋_GB2312" w:eastAsia="仿宋_GB2312"/>
          <w:b w:val="0"/>
          <w:sz w:val="32"/>
        </w:rPr>
        <w:t>万元，全年执行数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775.07</w:t>
      </w:r>
      <w:r>
        <w:rPr>
          <w:rFonts w:ascii="仿宋_GB2312" w:hAnsi="仿宋_GB2312" w:eastAsia="仿宋_GB2312"/>
          <w:b w:val="0"/>
          <w:sz w:val="32"/>
        </w:rPr>
        <w:t>万元。预算绩效管理取得的成效：一是2024年度部门整体支出绩效自评综合得分95.2分，评价结果为“优”。二是全年受理各类案件同比上升36.02%和35.8%，15项审判质量管理指标均优于全区法院平均值。三是2个党支部被评为地区和地委直属机关“五个好”党支部示范点。发现的问题及原因：项目资金执行率不高，主要原因一是年度预算编制不精准，在实际执行中节约资金，部分资金未执行；二是部分项目开工时间较晚，导致在年度终了未完工，资金无法支付。下一步改进措施：一是科学合理、精准地编制预算，年中严格按照预算执行。二是加强财务部门同业务部门沟通协调，年初及时梳理当年需实施项目，及时开工，确保项目如期完成。具体附部门整体支出绩效自评表，项目支出绩效自评表。</w:t>
      </w:r>
    </w:p>
    <w:p w14:paraId="1FE9DA5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A151053">
        <w:tblPrEx>
          <w:tblCellMar>
            <w:top w:w="0" w:type="dxa"/>
            <w:left w:w="108" w:type="dxa"/>
            <w:bottom w:w="0" w:type="dxa"/>
            <w:right w:w="108" w:type="dxa"/>
          </w:tblCellMar>
        </w:tblPrEx>
        <w:tc>
          <w:tcPr>
            <w:tcW w:w="8847" w:type="dxa"/>
            <w:gridSpan w:val="9"/>
            <w:vAlign w:val="center"/>
          </w:tcPr>
          <w:p w14:paraId="45A42927">
            <w:pPr>
              <w:jc w:val="center"/>
            </w:pPr>
            <w:r>
              <w:rPr>
                <w:rFonts w:ascii="宋体" w:hAnsi="宋体" w:eastAsia="宋体"/>
                <w:sz w:val="24"/>
              </w:rPr>
              <w:t>部门整体支出绩效自评表</w:t>
            </w:r>
          </w:p>
        </w:tc>
      </w:tr>
      <w:tr w14:paraId="35F38E39">
        <w:tblPrEx>
          <w:tblCellMar>
            <w:top w:w="0" w:type="dxa"/>
            <w:left w:w="108" w:type="dxa"/>
            <w:bottom w:w="0" w:type="dxa"/>
            <w:right w:w="108" w:type="dxa"/>
          </w:tblCellMar>
        </w:tblPrEx>
        <w:tc>
          <w:tcPr>
            <w:tcW w:w="8847" w:type="dxa"/>
            <w:gridSpan w:val="9"/>
            <w:vAlign w:val="center"/>
          </w:tcPr>
          <w:p w14:paraId="2C3950BC">
            <w:pPr>
              <w:jc w:val="center"/>
            </w:pPr>
            <w:r>
              <w:rPr>
                <w:rFonts w:ascii="宋体" w:hAnsi="宋体" w:eastAsia="宋体"/>
                <w:sz w:val="24"/>
              </w:rPr>
              <w:t>（2024年度）</w:t>
            </w:r>
          </w:p>
        </w:tc>
      </w:tr>
      <w:tr w14:paraId="435B4F7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8080A">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A564019">
            <w:pPr>
              <w:jc w:val="center"/>
            </w:pPr>
            <w:r>
              <w:rPr>
                <w:rFonts w:ascii="宋体" w:hAnsi="宋体" w:eastAsia="宋体"/>
                <w:sz w:val="16"/>
              </w:rPr>
              <w:t>新疆维吾尔自治区喀什地区中级人民法院</w:t>
            </w:r>
          </w:p>
        </w:tc>
      </w:tr>
      <w:tr w14:paraId="0DAE7C3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BAC2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92E9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B907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FB1E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E95E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F4EE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14A4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9BC3F">
            <w:pPr>
              <w:jc w:val="center"/>
            </w:pPr>
            <w:r>
              <w:rPr>
                <w:rFonts w:ascii="宋体" w:hAnsi="宋体" w:eastAsia="宋体"/>
                <w:sz w:val="16"/>
              </w:rPr>
              <w:t>得分</w:t>
            </w:r>
          </w:p>
        </w:tc>
      </w:tr>
      <w:tr w14:paraId="673247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BE5E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E9C9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22A8E">
            <w:pPr>
              <w:jc w:val="center"/>
            </w:pPr>
            <w:r>
              <w:rPr>
                <w:rFonts w:ascii="宋体" w:hAnsi="宋体" w:eastAsia="宋体"/>
                <w:sz w:val="16"/>
              </w:rPr>
              <w:t>7,434.56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5C7BB">
            <w:pPr>
              <w:jc w:val="center"/>
            </w:pPr>
            <w:r>
              <w:rPr>
                <w:rFonts w:ascii="宋体" w:hAnsi="宋体" w:eastAsia="宋体"/>
                <w:sz w:val="16"/>
              </w:rPr>
              <w:t>7,720.73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059B1">
            <w:pPr>
              <w:jc w:val="center"/>
            </w:pPr>
            <w:r>
              <w:rPr>
                <w:rFonts w:ascii="宋体" w:hAnsi="宋体" w:eastAsia="宋体"/>
                <w:sz w:val="16"/>
              </w:rPr>
              <w:t>6,586.38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866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2CCB0">
            <w:pPr>
              <w:jc w:val="center"/>
            </w:pPr>
            <w:r>
              <w:rPr>
                <w:rFonts w:ascii="宋体" w:hAnsi="宋体" w:eastAsia="宋体"/>
                <w:sz w:val="16"/>
              </w:rPr>
              <w:t>85.31%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FA409">
            <w:pPr>
              <w:jc w:val="center"/>
            </w:pPr>
            <w:r>
              <w:rPr>
                <w:rFonts w:ascii="宋体" w:hAnsi="宋体" w:eastAsia="宋体"/>
                <w:sz w:val="16"/>
              </w:rPr>
              <w:t>8.53</w:t>
            </w:r>
          </w:p>
        </w:tc>
      </w:tr>
      <w:tr w14:paraId="34A3E9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3FA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2E58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2F968">
            <w:pPr>
              <w:jc w:val="center"/>
            </w:pPr>
            <w:r>
              <w:rPr>
                <w:rFonts w:ascii="宋体" w:hAnsi="宋体" w:eastAsia="宋体"/>
                <w:sz w:val="16"/>
              </w:rPr>
              <w:t>1,392.76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81074">
            <w:pPr>
              <w:jc w:val="center"/>
            </w:pPr>
            <w:r>
              <w:rPr>
                <w:rFonts w:ascii="宋体" w:hAnsi="宋体" w:eastAsia="宋体"/>
                <w:sz w:val="16"/>
              </w:rPr>
              <w:t>1,796.53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876D1">
            <w:pPr>
              <w:jc w:val="center"/>
            </w:pPr>
            <w:r>
              <w:rPr>
                <w:rFonts w:ascii="宋体" w:hAnsi="宋体" w:eastAsia="宋体"/>
                <w:sz w:val="16"/>
              </w:rPr>
              <w:t>1,364.84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EE5A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2263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54BA9">
            <w:pPr>
              <w:jc w:val="center"/>
            </w:pPr>
            <w:r>
              <w:rPr>
                <w:rFonts w:ascii="宋体" w:hAnsi="宋体" w:eastAsia="宋体"/>
                <w:sz w:val="16"/>
              </w:rPr>
              <w:t>—</w:t>
            </w:r>
          </w:p>
        </w:tc>
      </w:tr>
      <w:tr w14:paraId="2BB192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CA10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8CB0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E3B16">
            <w:pPr>
              <w:jc w:val="center"/>
            </w:pPr>
            <w:r>
              <w:rPr>
                <w:rFonts w:ascii="宋体" w:hAnsi="宋体" w:eastAsia="宋体"/>
                <w:sz w:val="16"/>
              </w:rPr>
              <w:t>4,942.39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AAA68">
            <w:pPr>
              <w:jc w:val="center"/>
            </w:pPr>
            <w:r>
              <w:rPr>
                <w:rFonts w:ascii="宋体" w:hAnsi="宋体" w:eastAsia="宋体"/>
                <w:sz w:val="16"/>
              </w:rPr>
              <w:t>4,824.79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0CEF0">
            <w:pPr>
              <w:jc w:val="center"/>
            </w:pPr>
            <w:r>
              <w:rPr>
                <w:rFonts w:ascii="宋体" w:hAnsi="宋体" w:eastAsia="宋体"/>
                <w:sz w:val="16"/>
              </w:rPr>
              <w:t>4,792.24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75A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F2C5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A5440">
            <w:pPr>
              <w:jc w:val="center"/>
            </w:pPr>
            <w:r>
              <w:rPr>
                <w:rFonts w:ascii="宋体" w:hAnsi="宋体" w:eastAsia="宋体"/>
                <w:sz w:val="16"/>
              </w:rPr>
              <w:t>—</w:t>
            </w:r>
          </w:p>
        </w:tc>
      </w:tr>
      <w:tr w14:paraId="50480A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51CC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D29E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252B8">
            <w:pPr>
              <w:jc w:val="center"/>
            </w:pPr>
            <w:r>
              <w:rPr>
                <w:rFonts w:ascii="宋体" w:hAnsi="宋体" w:eastAsia="宋体"/>
                <w:sz w:val="16"/>
              </w:rPr>
              <w:t>1,099.41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9F2C4">
            <w:pPr>
              <w:jc w:val="center"/>
            </w:pPr>
            <w:r>
              <w:rPr>
                <w:rFonts w:ascii="宋体" w:hAnsi="宋体" w:eastAsia="宋体"/>
                <w:sz w:val="16"/>
              </w:rPr>
              <w:t>1,099.41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E2767">
            <w:pPr>
              <w:jc w:val="center"/>
            </w:pPr>
            <w:r>
              <w:rPr>
                <w:rFonts w:ascii="宋体" w:hAnsi="宋体" w:eastAsia="宋体"/>
                <w:sz w:val="16"/>
              </w:rPr>
              <w:t>429.30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BC7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528F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F91FD">
            <w:pPr>
              <w:jc w:val="center"/>
            </w:pPr>
            <w:r>
              <w:rPr>
                <w:rFonts w:ascii="宋体" w:hAnsi="宋体" w:eastAsia="宋体"/>
                <w:sz w:val="16"/>
              </w:rPr>
              <w:t>—</w:t>
            </w:r>
          </w:p>
        </w:tc>
      </w:tr>
      <w:tr w14:paraId="00236C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5FC8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73369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213ACA">
            <w:pPr>
              <w:jc w:val="center"/>
            </w:pPr>
            <w:r>
              <w:rPr>
                <w:rFonts w:ascii="宋体" w:hAnsi="宋体" w:eastAsia="宋体"/>
                <w:sz w:val="16"/>
              </w:rPr>
              <w:t>实际完成情况</w:t>
            </w:r>
          </w:p>
        </w:tc>
      </w:tr>
      <w:tr w14:paraId="323165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AA891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EA4D43">
            <w:pPr>
              <w:jc w:val="both"/>
            </w:pPr>
            <w:r>
              <w:rPr>
                <w:rFonts w:ascii="宋体" w:hAnsi="宋体" w:eastAsia="宋体"/>
                <w:sz w:val="16"/>
              </w:rPr>
              <w:t>根据《2023年喀什地区中级人民法院工作报告》和《2024年工作计划》，喀什中院</w:t>
            </w:r>
            <w:r>
              <w:rPr>
                <w:rFonts w:hint="eastAsia" w:ascii="宋体" w:hAnsi="宋体"/>
                <w:sz w:val="16"/>
                <w:lang w:eastAsia="zh-CN"/>
              </w:rPr>
              <w:t>坚持以习近平新时代中国特色社会</w:t>
            </w:r>
            <w:r>
              <w:rPr>
                <w:rFonts w:ascii="宋体" w:hAnsi="宋体" w:eastAsia="宋体"/>
                <w:sz w:val="16"/>
              </w:rPr>
              <w:t>主义思想为指导，全面贯彻落实党的二十大和</w:t>
            </w:r>
            <w:r>
              <w:rPr>
                <w:rFonts w:hint="eastAsia" w:ascii="宋体" w:hAnsi="宋体"/>
                <w:sz w:val="16"/>
                <w:lang w:eastAsia="zh-CN"/>
              </w:rPr>
              <w:t>党的二十届二中全会精神</w:t>
            </w:r>
            <w:r>
              <w:rPr>
                <w:rFonts w:ascii="宋体" w:hAnsi="宋体" w:eastAsia="宋体"/>
                <w:sz w:val="16"/>
              </w:rPr>
              <w:t>，深入践行习近平法治思想，按照自治区党委十届历次全会部署和地委工作要求，紧盯新一年人民法院各项工作任务，狠抓贯彻落实，全力推动喀什法院高质量发展，为在新征程上奋力建设美好喀什新篇章提供更加坚强有力的司法服务和保障。喀什中院2024年预期依法审理案件数量不少于5500件，办理常规评查案件数量不少于1600件，办理执行案件290件，举办《古城说法》栏目期数不少于24期。</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0DA1D7">
            <w:pPr>
              <w:jc w:val="both"/>
            </w:pPr>
            <w:r>
              <w:rPr>
                <w:rFonts w:ascii="宋体" w:hAnsi="宋体" w:eastAsia="宋体"/>
                <w:sz w:val="16"/>
              </w:rPr>
              <w:t>2024年，喀什中院党组在地委坚强领导和自治区高院指导下，紧扣“公正与效率”主题，坚决扛起为大局服务、为人民司法使命担当，推动各项工作提质、提速、提效，努力以审判工作现代化支撑和服务中国式现代化喀什实践。全年受理各类案件6216件，结案5683件，审结率91.43%，15项审判质量管理指标均优于全区法院平均值。</w:t>
            </w:r>
          </w:p>
        </w:tc>
      </w:tr>
      <w:tr w14:paraId="612CAA2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8A21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6384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CE89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8140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54412">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1F88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46D6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0A48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00A4E">
            <w:pPr>
              <w:jc w:val="center"/>
            </w:pPr>
            <w:r>
              <w:rPr>
                <w:rFonts w:ascii="宋体" w:hAnsi="宋体" w:eastAsia="宋体"/>
                <w:sz w:val="16"/>
              </w:rPr>
              <w:t>得分</w:t>
            </w:r>
          </w:p>
        </w:tc>
      </w:tr>
      <w:tr w14:paraId="7D0595F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0A14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118C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F2802">
            <w:pPr>
              <w:jc w:val="center"/>
            </w:pPr>
            <w:r>
              <w:rPr>
                <w:rFonts w:ascii="宋体" w:hAnsi="宋体" w:eastAsia="宋体"/>
                <w:sz w:val="16"/>
              </w:rPr>
              <w:t>依法审理案件数量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80CD2">
            <w:pPr>
              <w:jc w:val="center"/>
            </w:pPr>
            <w:r>
              <w:rPr>
                <w:rFonts w:ascii="宋体" w:hAnsi="宋体" w:eastAsia="宋体"/>
                <w:sz w:val="16"/>
              </w:rPr>
              <w:t>&gt;=5500件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29866">
            <w:pPr>
              <w:jc w:val="center"/>
            </w:pPr>
            <w:r>
              <w:rPr>
                <w:rFonts w:ascii="宋体" w:hAnsi="宋体" w:eastAsia="宋体"/>
                <w:sz w:val="16"/>
              </w:rPr>
              <w:t>《2023年喀什地区中级人民法院工作报告》和《2024年工作计划》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BA95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DB49F">
            <w:pPr>
              <w:jc w:val="center"/>
            </w:pPr>
            <w:r>
              <w:rPr>
                <w:rFonts w:ascii="宋体" w:hAnsi="宋体" w:eastAsia="宋体"/>
                <w:sz w:val="16"/>
              </w:rPr>
              <w:t>6216件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658AA">
            <w:pPr>
              <w:jc w:val="center"/>
            </w:pPr>
            <w:r>
              <w:rPr>
                <w:rFonts w:ascii="宋体" w:hAnsi="宋体" w:eastAsia="宋体"/>
                <w:sz w:val="16"/>
              </w:rPr>
              <w:t>113.02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4E608">
            <w:pPr>
              <w:jc w:val="center"/>
            </w:pPr>
            <w:r>
              <w:rPr>
                <w:rFonts w:ascii="宋体" w:hAnsi="宋体" w:eastAsia="宋体"/>
                <w:sz w:val="16"/>
              </w:rPr>
              <w:t>20</w:t>
            </w:r>
          </w:p>
        </w:tc>
      </w:tr>
      <w:tr w14:paraId="3F8683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37AB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9ED0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5811C">
            <w:pPr>
              <w:jc w:val="center"/>
            </w:pPr>
            <w:r>
              <w:rPr>
                <w:rFonts w:ascii="宋体" w:hAnsi="宋体" w:eastAsia="宋体"/>
                <w:sz w:val="16"/>
              </w:rPr>
              <w:t>依法办理执行案件数量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0676D">
            <w:pPr>
              <w:jc w:val="center"/>
            </w:pPr>
            <w:r>
              <w:rPr>
                <w:rFonts w:ascii="宋体" w:hAnsi="宋体" w:eastAsia="宋体"/>
                <w:sz w:val="16"/>
              </w:rPr>
              <w:t>&gt;=290件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63B0A">
            <w:pPr>
              <w:jc w:val="center"/>
            </w:pPr>
            <w:r>
              <w:rPr>
                <w:rFonts w:ascii="宋体" w:hAnsi="宋体" w:eastAsia="宋体"/>
                <w:sz w:val="16"/>
              </w:rPr>
              <w:t>《2023年喀什地区中级人民法院工作报告》和《2024年工作计划》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64A4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D2CEE">
            <w:pPr>
              <w:jc w:val="center"/>
            </w:pPr>
            <w:r>
              <w:rPr>
                <w:rFonts w:ascii="宋体" w:hAnsi="宋体" w:eastAsia="宋体"/>
                <w:sz w:val="16"/>
              </w:rPr>
              <w:t>805件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75D02">
            <w:pPr>
              <w:jc w:val="center"/>
            </w:pPr>
            <w:r>
              <w:rPr>
                <w:rFonts w:ascii="宋体" w:hAnsi="宋体" w:eastAsia="宋体"/>
                <w:sz w:val="16"/>
              </w:rPr>
              <w:t>277.59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8379F">
            <w:pPr>
              <w:jc w:val="center"/>
            </w:pPr>
            <w:r>
              <w:rPr>
                <w:rFonts w:ascii="宋体" w:hAnsi="宋体" w:eastAsia="宋体"/>
                <w:sz w:val="16"/>
              </w:rPr>
              <w:t>20</w:t>
            </w:r>
          </w:p>
        </w:tc>
      </w:tr>
      <w:tr w14:paraId="5A0206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F074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8959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0510A">
            <w:pPr>
              <w:jc w:val="center"/>
            </w:pPr>
            <w:r>
              <w:rPr>
                <w:rFonts w:ascii="宋体" w:hAnsi="宋体" w:eastAsia="宋体"/>
                <w:sz w:val="16"/>
              </w:rPr>
              <w:t>案件审理结案率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DD002">
            <w:pPr>
              <w:jc w:val="center"/>
            </w:pPr>
            <w:r>
              <w:rPr>
                <w:rFonts w:ascii="宋体" w:hAnsi="宋体" w:eastAsia="宋体"/>
                <w:sz w:val="16"/>
              </w:rPr>
              <w:t>&gt;=91%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9E16E">
            <w:pPr>
              <w:jc w:val="center"/>
            </w:pPr>
            <w:r>
              <w:rPr>
                <w:rFonts w:ascii="宋体" w:hAnsi="宋体" w:eastAsia="宋体"/>
                <w:sz w:val="16"/>
              </w:rPr>
              <w:t>《2023年喀什地区中级人民法院工作报告》和《2024年工作计划》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E33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94406">
            <w:pPr>
              <w:jc w:val="center"/>
            </w:pPr>
            <w:r>
              <w:rPr>
                <w:rFonts w:ascii="宋体" w:hAnsi="宋体" w:eastAsia="宋体"/>
                <w:sz w:val="16"/>
              </w:rPr>
              <w:t>91.43%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3A651">
            <w:pPr>
              <w:jc w:val="center"/>
            </w:pPr>
            <w:r>
              <w:rPr>
                <w:rFonts w:ascii="宋体" w:hAnsi="宋体" w:eastAsia="宋体"/>
                <w:sz w:val="16"/>
              </w:rPr>
              <w:t>100.47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F97A2">
            <w:pPr>
              <w:jc w:val="center"/>
            </w:pPr>
            <w:r>
              <w:rPr>
                <w:rFonts w:ascii="宋体" w:hAnsi="宋体" w:eastAsia="宋体"/>
                <w:sz w:val="16"/>
              </w:rPr>
              <w:t>10</w:t>
            </w:r>
          </w:p>
        </w:tc>
      </w:tr>
      <w:tr w14:paraId="3E8930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E6C6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A3FB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3BD10">
            <w:pPr>
              <w:jc w:val="center"/>
            </w:pPr>
            <w:r>
              <w:rPr>
                <w:rFonts w:ascii="宋体" w:hAnsi="宋体" w:eastAsia="宋体"/>
                <w:sz w:val="16"/>
              </w:rPr>
              <w:t>办理常规评查案件数量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A4A1D">
            <w:pPr>
              <w:jc w:val="center"/>
            </w:pPr>
            <w:r>
              <w:rPr>
                <w:rFonts w:ascii="宋体" w:hAnsi="宋体" w:eastAsia="宋体"/>
                <w:sz w:val="16"/>
              </w:rPr>
              <w:t>&gt;=1600件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D2E4B">
            <w:pPr>
              <w:jc w:val="center"/>
            </w:pPr>
            <w:r>
              <w:rPr>
                <w:rFonts w:ascii="宋体" w:hAnsi="宋体" w:eastAsia="宋体"/>
                <w:sz w:val="16"/>
              </w:rPr>
              <w:t>《2023年喀什地区中级人民法院工作报告》和《2024年工作计划》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4E2D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4CE3A">
            <w:pPr>
              <w:jc w:val="center"/>
            </w:pPr>
            <w:r>
              <w:rPr>
                <w:rFonts w:ascii="宋体" w:hAnsi="宋体" w:eastAsia="宋体"/>
                <w:sz w:val="16"/>
              </w:rPr>
              <w:t>2205件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EAD90">
            <w:pPr>
              <w:jc w:val="center"/>
            </w:pPr>
            <w:r>
              <w:rPr>
                <w:rFonts w:ascii="宋体" w:hAnsi="宋体" w:eastAsia="宋体"/>
                <w:sz w:val="16"/>
              </w:rPr>
              <w:t>137.81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D802D">
            <w:pPr>
              <w:jc w:val="center"/>
            </w:pPr>
            <w:r>
              <w:rPr>
                <w:rFonts w:ascii="宋体" w:hAnsi="宋体" w:eastAsia="宋体"/>
                <w:sz w:val="16"/>
              </w:rPr>
              <w:t>20</w:t>
            </w:r>
          </w:p>
        </w:tc>
      </w:tr>
      <w:tr w14:paraId="3E1064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8611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74EB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AD2E5">
            <w:pPr>
              <w:jc w:val="center"/>
            </w:pPr>
            <w:r>
              <w:rPr>
                <w:rFonts w:ascii="宋体" w:hAnsi="宋体" w:eastAsia="宋体"/>
                <w:sz w:val="16"/>
              </w:rPr>
              <w:t>“古城说法”栏目办理期数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9C0EA">
            <w:pPr>
              <w:jc w:val="center"/>
            </w:pPr>
            <w:r>
              <w:rPr>
                <w:rFonts w:ascii="宋体" w:hAnsi="宋体" w:eastAsia="宋体"/>
                <w:sz w:val="16"/>
              </w:rPr>
              <w:t>&gt;=24期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60284">
            <w:pPr>
              <w:jc w:val="center"/>
            </w:pPr>
            <w:r>
              <w:rPr>
                <w:rFonts w:ascii="宋体" w:hAnsi="宋体" w:eastAsia="宋体"/>
                <w:sz w:val="16"/>
              </w:rPr>
              <w:t>《关于做好2024年喀什中院&lt;古城说法&gt;栏目的通知》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BF2D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B34BB">
            <w:pPr>
              <w:jc w:val="center"/>
            </w:pPr>
            <w:r>
              <w:rPr>
                <w:rFonts w:ascii="宋体" w:hAnsi="宋体" w:eastAsia="宋体"/>
                <w:sz w:val="16"/>
              </w:rPr>
              <w:t>20期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D6866">
            <w:pPr>
              <w:jc w:val="center"/>
            </w:pPr>
            <w:r>
              <w:rPr>
                <w:rFonts w:ascii="宋体" w:hAnsi="宋体" w:eastAsia="宋体"/>
                <w:sz w:val="16"/>
              </w:rPr>
              <w:t>83.33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13D7B">
            <w:pPr>
              <w:jc w:val="center"/>
            </w:pPr>
            <w:r>
              <w:rPr>
                <w:rFonts w:ascii="宋体" w:hAnsi="宋体" w:eastAsia="宋体"/>
                <w:sz w:val="16"/>
              </w:rPr>
              <w:t>16.67</w:t>
            </w:r>
          </w:p>
        </w:tc>
      </w:tr>
    </w:tbl>
    <w:p w14:paraId="13706CA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5CB3798D">
        <w:tblPrEx>
          <w:tblCellMar>
            <w:top w:w="0" w:type="dxa"/>
            <w:left w:w="108" w:type="dxa"/>
            <w:bottom w:w="0" w:type="dxa"/>
            <w:right w:w="108" w:type="dxa"/>
          </w:tblCellMar>
        </w:tblPrEx>
        <w:tc>
          <w:tcPr>
            <w:tcW w:w="8848" w:type="dxa"/>
            <w:gridSpan w:val="14"/>
            <w:vAlign w:val="center"/>
          </w:tcPr>
          <w:p w14:paraId="6A15DAE3">
            <w:pPr>
              <w:jc w:val="center"/>
            </w:pPr>
            <w:r>
              <w:rPr>
                <w:rFonts w:ascii="宋体" w:hAnsi="宋体" w:eastAsia="宋体"/>
                <w:sz w:val="24"/>
              </w:rPr>
              <w:t>项目支出绩效自评表</w:t>
            </w:r>
          </w:p>
        </w:tc>
      </w:tr>
      <w:tr w14:paraId="43999432">
        <w:tblPrEx>
          <w:tblCellMar>
            <w:top w:w="0" w:type="dxa"/>
            <w:left w:w="108" w:type="dxa"/>
            <w:bottom w:w="0" w:type="dxa"/>
            <w:right w:w="108" w:type="dxa"/>
          </w:tblCellMar>
        </w:tblPrEx>
        <w:tc>
          <w:tcPr>
            <w:tcW w:w="8848" w:type="dxa"/>
            <w:gridSpan w:val="14"/>
            <w:vAlign w:val="center"/>
          </w:tcPr>
          <w:p w14:paraId="3F82CD4F">
            <w:pPr>
              <w:jc w:val="center"/>
            </w:pPr>
            <w:r>
              <w:rPr>
                <w:rFonts w:ascii="宋体" w:hAnsi="宋体" w:eastAsia="宋体"/>
                <w:sz w:val="24"/>
              </w:rPr>
              <w:t>(2024年度)</w:t>
            </w:r>
          </w:p>
        </w:tc>
      </w:tr>
      <w:tr w14:paraId="05D589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5C5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699967">
            <w:pPr>
              <w:jc w:val="center"/>
            </w:pPr>
            <w:r>
              <w:rPr>
                <w:rFonts w:ascii="宋体" w:hAnsi="宋体" w:eastAsia="宋体"/>
                <w:sz w:val="16"/>
              </w:rPr>
              <w:t>喀什中院专业人才培养和素质提升项目</w:t>
            </w:r>
          </w:p>
        </w:tc>
      </w:tr>
      <w:tr w14:paraId="7E3AFA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D9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96ABE9">
            <w:pPr>
              <w:jc w:val="center"/>
            </w:pPr>
            <w:r>
              <w:rPr>
                <w:rFonts w:ascii="宋体" w:hAnsi="宋体" w:eastAsia="宋体"/>
                <w:sz w:val="16"/>
              </w:rPr>
              <w:t>新疆维吾尔自治区喀什地区中级人民法院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F960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DAEE8C">
            <w:pPr>
              <w:jc w:val="center"/>
            </w:pPr>
            <w:r>
              <w:rPr>
                <w:rFonts w:ascii="宋体" w:hAnsi="宋体" w:eastAsia="宋体"/>
                <w:sz w:val="16"/>
              </w:rPr>
              <w:t>新疆维吾尔自治区喀什地区中级人民法院</w:t>
            </w:r>
          </w:p>
        </w:tc>
      </w:tr>
      <w:tr w14:paraId="663594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37F94">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DE1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03D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AA9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FFC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226E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D766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A066A">
            <w:pPr>
              <w:jc w:val="center"/>
            </w:pPr>
            <w:r>
              <w:rPr>
                <w:rFonts w:ascii="宋体" w:hAnsi="宋体" w:eastAsia="宋体"/>
                <w:sz w:val="16"/>
              </w:rPr>
              <w:t>得分</w:t>
            </w:r>
          </w:p>
        </w:tc>
      </w:tr>
      <w:tr w14:paraId="1F6805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138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5F9C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0AD5B">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798B1">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29F66">
            <w:pPr>
              <w:jc w:val="center"/>
            </w:pPr>
            <w:r>
              <w:rPr>
                <w:rFonts w:ascii="宋体" w:hAnsi="宋体" w:eastAsia="宋体"/>
                <w:sz w:val="16"/>
              </w:rPr>
              <w:t>56.66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BB7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60392">
            <w:pPr>
              <w:jc w:val="center"/>
            </w:pPr>
            <w:r>
              <w:rPr>
                <w:rFonts w:ascii="宋体" w:hAnsi="宋体" w:eastAsia="宋体"/>
                <w:sz w:val="16"/>
              </w:rPr>
              <w:t>89.9%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44CF">
            <w:pPr>
              <w:jc w:val="center"/>
            </w:pPr>
            <w:r>
              <w:rPr>
                <w:rFonts w:ascii="宋体" w:hAnsi="宋体" w:eastAsia="宋体"/>
                <w:sz w:val="16"/>
              </w:rPr>
              <w:t>7.48分</w:t>
            </w:r>
          </w:p>
        </w:tc>
      </w:tr>
      <w:tr w14:paraId="1D8176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2C5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7360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849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688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E40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2EA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D22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116F5">
            <w:pPr>
              <w:jc w:val="center"/>
            </w:pPr>
            <w:r>
              <w:rPr>
                <w:rFonts w:ascii="宋体" w:hAnsi="宋体" w:eastAsia="宋体"/>
                <w:sz w:val="16"/>
              </w:rPr>
              <w:t>—</w:t>
            </w:r>
          </w:p>
        </w:tc>
      </w:tr>
      <w:tr w14:paraId="476C3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DEA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64C41">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EB62B">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8DCC6">
            <w:pPr>
              <w:jc w:val="center"/>
            </w:pPr>
            <w:r>
              <w:rPr>
                <w:rFonts w:ascii="宋体" w:hAnsi="宋体" w:eastAsia="宋体"/>
                <w:sz w:val="16"/>
              </w:rPr>
              <w:t>63.00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CB8F8">
            <w:pPr>
              <w:jc w:val="center"/>
            </w:pPr>
            <w:r>
              <w:rPr>
                <w:rFonts w:ascii="宋体" w:hAnsi="宋体" w:eastAsia="宋体"/>
                <w:sz w:val="16"/>
              </w:rPr>
              <w:t>56.66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6AC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07E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A855D">
            <w:pPr>
              <w:jc w:val="center"/>
            </w:pPr>
            <w:r>
              <w:rPr>
                <w:rFonts w:ascii="宋体" w:hAnsi="宋体" w:eastAsia="宋体"/>
                <w:sz w:val="16"/>
              </w:rPr>
              <w:t>—</w:t>
            </w:r>
          </w:p>
        </w:tc>
      </w:tr>
      <w:tr w14:paraId="0358FC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2B65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2AC9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EE01E2">
            <w:pPr>
              <w:jc w:val="center"/>
            </w:pPr>
            <w:r>
              <w:rPr>
                <w:rFonts w:ascii="宋体" w:hAnsi="宋体" w:eastAsia="宋体"/>
                <w:sz w:val="16"/>
              </w:rPr>
              <w:t>实际完成情况</w:t>
            </w:r>
          </w:p>
        </w:tc>
      </w:tr>
      <w:tr w14:paraId="66826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0ED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7EA866">
            <w:pPr>
              <w:jc w:val="both"/>
            </w:pPr>
            <w:r>
              <w:rPr>
                <w:rFonts w:ascii="宋体" w:hAnsi="宋体" w:eastAsia="宋体"/>
                <w:sz w:val="16"/>
              </w:rPr>
              <w:t>通过开展80余人次的各项培训活动，全面提升人民法院员额法官、司法辅助人员和司法行政人员的业务技能和综合素质，提升审判执行工作质效，更好为人民群众提供公平公正的司法服务。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F54180">
            <w:pPr>
              <w:jc w:val="both"/>
            </w:pPr>
            <w:r>
              <w:rPr>
                <w:rFonts w:hint="eastAsia" w:ascii="宋体" w:hAnsi="宋体"/>
                <w:sz w:val="16"/>
                <w:lang w:eastAsia="zh-CN"/>
              </w:rPr>
              <w:t>截至</w:t>
            </w:r>
            <w:r>
              <w:rPr>
                <w:rFonts w:ascii="宋体" w:hAnsi="宋体" w:eastAsia="宋体"/>
                <w:sz w:val="16"/>
              </w:rPr>
              <w:t>2024年12月31日，我单位已完成49人次人员培训，培训合格率为100%，通过培训，增长了知识、拓展了视野、学到了审判执行工作先进经验，全面提升了参训人员的专业技能和综合素质，为提升审判执行工作质效、更好为人民群众提供公平正义的司法服务筑牢根基。</w:t>
            </w:r>
          </w:p>
        </w:tc>
      </w:tr>
      <w:tr w14:paraId="769DF1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08CF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7A2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BC3A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F6F2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075D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D17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BFCD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8E2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F13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F2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489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449D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D0C92">
            <w:pPr>
              <w:jc w:val="center"/>
            </w:pPr>
            <w:r>
              <w:rPr>
                <w:rFonts w:ascii="宋体" w:hAnsi="宋体" w:eastAsia="宋体"/>
                <w:sz w:val="16"/>
              </w:rPr>
              <w:t>偏差原因分析及改进措施</w:t>
            </w:r>
          </w:p>
        </w:tc>
      </w:tr>
      <w:tr w14:paraId="39BBC6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A72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8C1B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E67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C4693">
            <w:pPr>
              <w:jc w:val="center"/>
            </w:pPr>
            <w:r>
              <w:rPr>
                <w:rFonts w:ascii="宋体" w:hAnsi="宋体" w:eastAsia="宋体"/>
                <w:sz w:val="16"/>
              </w:rPr>
              <w:t>参与培训人次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BB1D5">
            <w:pPr>
              <w:jc w:val="center"/>
            </w:pPr>
            <w:r>
              <w:rPr>
                <w:rFonts w:ascii="宋体" w:hAnsi="宋体" w:eastAsia="宋体"/>
                <w:sz w:val="16"/>
              </w:rPr>
              <w:t>&gt;=80人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77B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7C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05B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0F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C2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DE19">
            <w:pPr>
              <w:jc w:val="center"/>
            </w:pPr>
            <w:r>
              <w:rPr>
                <w:rFonts w:ascii="宋体" w:hAnsi="宋体" w:eastAsia="宋体"/>
                <w:sz w:val="16"/>
              </w:rPr>
              <w:t>=49人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E9295">
            <w:pPr>
              <w:jc w:val="center"/>
            </w:pPr>
            <w:r>
              <w:rPr>
                <w:rFonts w:ascii="宋体" w:hAnsi="宋体" w:eastAsia="宋体"/>
                <w:sz w:val="16"/>
              </w:rPr>
              <w:t>0.31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57732">
            <w:pPr>
              <w:jc w:val="center"/>
            </w:pPr>
            <w:r>
              <w:rPr>
                <w:rFonts w:ascii="宋体" w:hAnsi="宋体" w:eastAsia="宋体"/>
                <w:sz w:val="16"/>
              </w:rPr>
              <w:t>偏差原因：年底办案压力大，抽不出时间去参加培训。改进措施：合理安排时间，按照计划开展培训。</w:t>
            </w:r>
          </w:p>
        </w:tc>
      </w:tr>
      <w:tr w14:paraId="5374B2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3CF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29B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F23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DA6C8">
            <w:pPr>
              <w:jc w:val="center"/>
            </w:pPr>
            <w:r>
              <w:rPr>
                <w:rFonts w:ascii="宋体" w:hAnsi="宋体" w:eastAsia="宋体"/>
                <w:sz w:val="16"/>
              </w:rPr>
              <w:t>培训人员合格率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E7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C7B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4A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A2D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D688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9B1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4C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088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D1A3B">
            <w:pPr>
              <w:jc w:val="center"/>
            </w:pPr>
          </w:p>
        </w:tc>
      </w:tr>
      <w:tr w14:paraId="6B2E2C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755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F36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7EE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68AB">
            <w:pPr>
              <w:jc w:val="center"/>
            </w:pPr>
            <w:r>
              <w:rPr>
                <w:rFonts w:ascii="宋体" w:hAnsi="宋体" w:eastAsia="宋体"/>
                <w:sz w:val="16"/>
              </w:rPr>
              <w:t>培训覆盖率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B8F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21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60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60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296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A6F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A1CB9">
            <w:pPr>
              <w:jc w:val="center"/>
            </w:pPr>
            <w:r>
              <w:rPr>
                <w:rFonts w:ascii="宋体" w:hAnsi="宋体" w:eastAsia="宋体"/>
                <w:sz w:val="16"/>
              </w:rPr>
              <w:t>=61.25%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71924">
            <w:pPr>
              <w:jc w:val="center"/>
            </w:pPr>
            <w:r>
              <w:rPr>
                <w:rFonts w:ascii="宋体" w:hAnsi="宋体" w:eastAsia="宋体"/>
                <w:sz w:val="16"/>
              </w:rPr>
              <w:t>0.31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772C3">
            <w:pPr>
              <w:jc w:val="center"/>
            </w:pPr>
            <w:r>
              <w:rPr>
                <w:rFonts w:ascii="宋体" w:hAnsi="宋体" w:eastAsia="宋体"/>
                <w:sz w:val="16"/>
              </w:rPr>
              <w:t>偏差原因：年底办案压力大，抽不出时间去参加培训，导致第三批次未开展培训。改进措施：根据计划开展培训。</w:t>
            </w:r>
          </w:p>
        </w:tc>
      </w:tr>
      <w:tr w14:paraId="218E3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80B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AD9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A79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A56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AF2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887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F37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C6D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68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F0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478D6">
            <w:pPr>
              <w:jc w:val="center"/>
            </w:pPr>
            <w:r>
              <w:rPr>
                <w:rFonts w:ascii="宋体" w:hAnsi="宋体" w:eastAsia="宋体"/>
                <w:sz w:val="16"/>
              </w:rPr>
              <w:t>=2024年9月13日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2E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E57DD">
            <w:pPr>
              <w:jc w:val="center"/>
            </w:pPr>
          </w:p>
        </w:tc>
      </w:tr>
      <w:tr w14:paraId="6D6691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1FD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6BD4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8AA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728F8">
            <w:pPr>
              <w:jc w:val="center"/>
            </w:pPr>
            <w:r>
              <w:rPr>
                <w:rFonts w:ascii="宋体" w:hAnsi="宋体" w:eastAsia="宋体"/>
                <w:sz w:val="16"/>
              </w:rPr>
              <w:t>人均培训成本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A4E6C">
            <w:pPr>
              <w:jc w:val="center"/>
            </w:pPr>
            <w:r>
              <w:rPr>
                <w:rFonts w:ascii="宋体" w:hAnsi="宋体" w:eastAsia="宋体"/>
                <w:sz w:val="16"/>
              </w:rPr>
              <w:t>&lt;=7875元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46B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923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436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EB0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B81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3F1E">
            <w:pPr>
              <w:jc w:val="center"/>
            </w:pPr>
            <w:r>
              <w:rPr>
                <w:rFonts w:ascii="宋体" w:hAnsi="宋体" w:eastAsia="宋体"/>
                <w:sz w:val="16"/>
              </w:rPr>
              <w:t>=11332元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05945">
            <w:pPr>
              <w:jc w:val="center"/>
            </w:pPr>
            <w:r>
              <w:rPr>
                <w:rFonts w:ascii="宋体" w:hAnsi="宋体" w:eastAsia="宋体"/>
                <w:sz w:val="16"/>
              </w:rPr>
              <w:t>11.22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3A46C">
            <w:pPr>
              <w:jc w:val="center"/>
            </w:pPr>
            <w:r>
              <w:rPr>
                <w:rFonts w:ascii="宋体" w:hAnsi="宋体" w:eastAsia="宋体"/>
                <w:sz w:val="16"/>
              </w:rPr>
              <w:t>偏差原因：出去培训时间为4月和9月，为旅游高峰期，乘坐飞机价格比较高，造成成本增加。改进</w:t>
            </w:r>
          </w:p>
        </w:tc>
      </w:tr>
      <w:tr w14:paraId="794C6B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8B7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E07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DDD6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AD50">
            <w:pPr>
              <w:jc w:val="center"/>
            </w:pPr>
            <w:r>
              <w:rPr>
                <w:rFonts w:ascii="宋体" w:hAnsi="宋体" w:eastAsia="宋体"/>
                <w:sz w:val="16"/>
              </w:rPr>
              <w:t>提升我院人员的业务技能和综合素质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CF8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31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AEF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6F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09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2C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8166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F7A5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7BC9E">
            <w:pPr>
              <w:jc w:val="center"/>
            </w:pPr>
          </w:p>
        </w:tc>
      </w:tr>
      <w:tr w14:paraId="5B394C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D4F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4A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13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478A">
            <w:pPr>
              <w:jc w:val="center"/>
            </w:pPr>
            <w:r>
              <w:rPr>
                <w:rFonts w:ascii="宋体" w:hAnsi="宋体" w:eastAsia="宋体"/>
                <w:sz w:val="16"/>
              </w:rPr>
              <w:t>干警满意度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385C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22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B30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FA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089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77B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09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EA6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1BB24">
            <w:pPr>
              <w:jc w:val="center"/>
            </w:pPr>
          </w:p>
        </w:tc>
      </w:tr>
      <w:tr w14:paraId="799C62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B03C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F66C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CDFFD">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952CFA">
            <w:pPr>
              <w:jc w:val="center"/>
            </w:pPr>
            <w:r>
              <w:rPr>
                <w:rFonts w:ascii="宋体" w:hAnsi="宋体" w:eastAsia="宋体"/>
                <w:sz w:val="16"/>
              </w:rPr>
              <w:t>69.32分</w:t>
            </w:r>
          </w:p>
        </w:tc>
      </w:tr>
    </w:tbl>
    <w:p w14:paraId="75B26EE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FB8A706">
        <w:tblPrEx>
          <w:tblCellMar>
            <w:top w:w="0" w:type="dxa"/>
            <w:left w:w="108" w:type="dxa"/>
            <w:bottom w:w="0" w:type="dxa"/>
            <w:right w:w="108" w:type="dxa"/>
          </w:tblCellMar>
        </w:tblPrEx>
        <w:tc>
          <w:tcPr>
            <w:tcW w:w="8848" w:type="dxa"/>
            <w:gridSpan w:val="14"/>
            <w:vAlign w:val="center"/>
          </w:tcPr>
          <w:p w14:paraId="51411A00">
            <w:pPr>
              <w:jc w:val="center"/>
            </w:pPr>
            <w:r>
              <w:rPr>
                <w:rFonts w:ascii="宋体" w:hAnsi="宋体" w:eastAsia="宋体"/>
                <w:sz w:val="24"/>
              </w:rPr>
              <w:t>项目支出绩效自评表</w:t>
            </w:r>
          </w:p>
        </w:tc>
      </w:tr>
      <w:tr w14:paraId="3E483427">
        <w:tblPrEx>
          <w:tblCellMar>
            <w:top w:w="0" w:type="dxa"/>
            <w:left w:w="108" w:type="dxa"/>
            <w:bottom w:w="0" w:type="dxa"/>
            <w:right w:w="108" w:type="dxa"/>
          </w:tblCellMar>
        </w:tblPrEx>
        <w:tc>
          <w:tcPr>
            <w:tcW w:w="8848" w:type="dxa"/>
            <w:gridSpan w:val="14"/>
            <w:vAlign w:val="center"/>
          </w:tcPr>
          <w:p w14:paraId="5575B90E">
            <w:pPr>
              <w:jc w:val="center"/>
            </w:pPr>
            <w:r>
              <w:rPr>
                <w:rFonts w:ascii="宋体" w:hAnsi="宋体" w:eastAsia="宋体"/>
                <w:sz w:val="24"/>
              </w:rPr>
              <w:t>(2024年度)</w:t>
            </w:r>
          </w:p>
        </w:tc>
      </w:tr>
      <w:tr w14:paraId="360140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FC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FBCC38">
            <w:pPr>
              <w:jc w:val="center"/>
            </w:pPr>
            <w:r>
              <w:rPr>
                <w:rFonts w:ascii="宋体" w:hAnsi="宋体" w:eastAsia="宋体"/>
                <w:sz w:val="16"/>
              </w:rPr>
              <w:t>喀什中院网络安全设备购置项目</w:t>
            </w:r>
          </w:p>
        </w:tc>
      </w:tr>
      <w:tr w14:paraId="2A0165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38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2E1BC6">
            <w:pPr>
              <w:jc w:val="center"/>
            </w:pPr>
            <w:r>
              <w:rPr>
                <w:rFonts w:ascii="宋体" w:hAnsi="宋体" w:eastAsia="宋体"/>
                <w:sz w:val="16"/>
              </w:rPr>
              <w:t>新疆维吾尔自治区喀什地区中级人民法院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30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8FDB91">
            <w:pPr>
              <w:jc w:val="center"/>
            </w:pPr>
            <w:r>
              <w:rPr>
                <w:rFonts w:ascii="宋体" w:hAnsi="宋体" w:eastAsia="宋体"/>
                <w:sz w:val="16"/>
              </w:rPr>
              <w:t>新疆维吾尔自治区喀什地区中级人民法院</w:t>
            </w:r>
          </w:p>
        </w:tc>
      </w:tr>
      <w:tr w14:paraId="5A4C01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998AC">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254F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601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9ED7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E76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6A7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43A5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6D57">
            <w:pPr>
              <w:jc w:val="center"/>
            </w:pPr>
            <w:r>
              <w:rPr>
                <w:rFonts w:ascii="宋体" w:hAnsi="宋体" w:eastAsia="宋体"/>
                <w:sz w:val="16"/>
              </w:rPr>
              <w:t>得分</w:t>
            </w:r>
          </w:p>
        </w:tc>
      </w:tr>
      <w:tr w14:paraId="7387C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051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9E2E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E6519">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7B525">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02A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DF8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71A8B">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DD07D">
            <w:pPr>
              <w:jc w:val="center"/>
            </w:pPr>
            <w:r>
              <w:rPr>
                <w:rFonts w:ascii="宋体" w:hAnsi="宋体" w:eastAsia="宋体"/>
                <w:sz w:val="16"/>
              </w:rPr>
              <w:t>0.00分</w:t>
            </w:r>
          </w:p>
        </w:tc>
      </w:tr>
      <w:tr w14:paraId="590970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E02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949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CB9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6C1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14C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51A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979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69B2">
            <w:pPr>
              <w:jc w:val="center"/>
            </w:pPr>
            <w:r>
              <w:rPr>
                <w:rFonts w:ascii="宋体" w:hAnsi="宋体" w:eastAsia="宋体"/>
                <w:sz w:val="16"/>
              </w:rPr>
              <w:t>—</w:t>
            </w:r>
          </w:p>
        </w:tc>
      </w:tr>
      <w:tr w14:paraId="59B66F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C5F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B669E">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F0A06">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EFB5B">
            <w:pPr>
              <w:jc w:val="center"/>
            </w:pPr>
            <w:r>
              <w:rPr>
                <w:rFonts w:ascii="宋体" w:hAnsi="宋体" w:eastAsia="宋体"/>
                <w:sz w:val="16"/>
              </w:rPr>
              <w:t>240.00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15E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316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9B3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8339">
            <w:pPr>
              <w:jc w:val="center"/>
            </w:pPr>
            <w:r>
              <w:rPr>
                <w:rFonts w:ascii="宋体" w:hAnsi="宋体" w:eastAsia="宋体"/>
                <w:sz w:val="16"/>
              </w:rPr>
              <w:t>—</w:t>
            </w:r>
          </w:p>
        </w:tc>
      </w:tr>
      <w:tr w14:paraId="5D8E40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2F5E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5470E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C752CB">
            <w:pPr>
              <w:jc w:val="center"/>
            </w:pPr>
            <w:r>
              <w:rPr>
                <w:rFonts w:ascii="宋体" w:hAnsi="宋体" w:eastAsia="宋体"/>
                <w:sz w:val="16"/>
              </w:rPr>
              <w:t>实际完成情况</w:t>
            </w:r>
          </w:p>
        </w:tc>
      </w:tr>
      <w:tr w14:paraId="119413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7DF4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4B3E19">
            <w:pPr>
              <w:jc w:val="both"/>
            </w:pPr>
            <w:r>
              <w:rPr>
                <w:rFonts w:ascii="宋体" w:hAnsi="宋体" w:eastAsia="宋体"/>
                <w:sz w:val="16"/>
              </w:rPr>
              <w:t>采购入侵防御、防火墙、web应用防护、堡垒机、漏洞扫描、数据库审计、日志审计、综合威胁探针、态势感知9种网络安全设备20台，实现本院内外网兼容的网络安全防护体系，提升网络安全防护能力，保护法院数据的安全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564EB3">
            <w:pPr>
              <w:jc w:val="both"/>
            </w:pPr>
            <w:r>
              <w:rPr>
                <w:rFonts w:ascii="宋体" w:hAnsi="宋体" w:eastAsia="宋体"/>
                <w:sz w:val="16"/>
              </w:rPr>
              <w:t>截至2024年12月31日该项目采购与安装已完成，20件设备已全部上架，已完成调试工作及验收工作，目前正在进行审计，计划于2025年整改完成。因2024年未完成审计，故项目支付条件未达成，导致预算执行进度零。</w:t>
            </w:r>
          </w:p>
        </w:tc>
      </w:tr>
      <w:tr w14:paraId="6A0FB9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32D0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6D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24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981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3D4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14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1E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58B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10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3AFA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AFF2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68D1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49E33">
            <w:pPr>
              <w:jc w:val="center"/>
            </w:pPr>
            <w:r>
              <w:rPr>
                <w:rFonts w:ascii="宋体" w:hAnsi="宋体" w:eastAsia="宋体"/>
                <w:sz w:val="16"/>
              </w:rPr>
              <w:t>偏差原因分析及改进措施</w:t>
            </w:r>
          </w:p>
        </w:tc>
      </w:tr>
      <w:tr w14:paraId="06E8B7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D10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5900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11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7EFC">
            <w:pPr>
              <w:jc w:val="center"/>
            </w:pPr>
            <w:r>
              <w:rPr>
                <w:rFonts w:ascii="宋体" w:hAnsi="宋体" w:eastAsia="宋体"/>
                <w:sz w:val="16"/>
              </w:rPr>
              <w:t>设备采购数量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48C85">
            <w:pPr>
              <w:jc w:val="center"/>
            </w:pPr>
            <w:r>
              <w:rPr>
                <w:rFonts w:ascii="宋体" w:hAnsi="宋体" w:eastAsia="宋体"/>
                <w:sz w:val="16"/>
              </w:rPr>
              <w:t>&gt;=20台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59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EEE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A20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087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94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3C25">
            <w:pPr>
              <w:jc w:val="center"/>
            </w:pPr>
            <w:r>
              <w:rPr>
                <w:rFonts w:ascii="宋体" w:hAnsi="宋体" w:eastAsia="宋体"/>
                <w:sz w:val="16"/>
              </w:rPr>
              <w:t>=20台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864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6CA94">
            <w:pPr>
              <w:jc w:val="center"/>
            </w:pPr>
          </w:p>
        </w:tc>
      </w:tr>
      <w:tr w14:paraId="01EF2E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3DB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1CF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3859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1054E">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1F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FC0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3D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30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5ECC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E6F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306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0AA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5C938">
            <w:pPr>
              <w:jc w:val="center"/>
            </w:pPr>
          </w:p>
        </w:tc>
      </w:tr>
      <w:tr w14:paraId="2DF65A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4BD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D6C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B32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D0A1">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216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E41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B5B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BE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D52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FB1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9E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B02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43EE2">
            <w:pPr>
              <w:jc w:val="center"/>
            </w:pPr>
          </w:p>
        </w:tc>
      </w:tr>
      <w:tr w14:paraId="72BF96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060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EFC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5AA5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0C91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0C20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E2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C2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85F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118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EB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3909">
            <w:pPr>
              <w:jc w:val="center"/>
            </w:pPr>
            <w:r>
              <w:rPr>
                <w:rFonts w:ascii="宋体" w:hAnsi="宋体" w:eastAsia="宋体"/>
                <w:sz w:val="16"/>
              </w:rPr>
              <w:t>=2025年1月20日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142E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19D96">
            <w:pPr>
              <w:jc w:val="center"/>
            </w:pPr>
            <w:r>
              <w:rPr>
                <w:rFonts w:ascii="宋体" w:hAnsi="宋体" w:eastAsia="宋体"/>
                <w:sz w:val="16"/>
              </w:rPr>
              <w:t>截至2024年12月31日，项目未执行。</w:t>
            </w:r>
          </w:p>
        </w:tc>
      </w:tr>
      <w:tr w14:paraId="7ED572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637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EC64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1A8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4649C">
            <w:pPr>
              <w:jc w:val="center"/>
            </w:pPr>
            <w:r>
              <w:rPr>
                <w:rFonts w:ascii="宋体" w:hAnsi="宋体" w:eastAsia="宋体"/>
                <w:sz w:val="16"/>
              </w:rPr>
              <w:t>设备单价平均成本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7AE0">
            <w:pPr>
              <w:jc w:val="center"/>
            </w:pPr>
            <w:r>
              <w:rPr>
                <w:rFonts w:ascii="宋体" w:hAnsi="宋体" w:eastAsia="宋体"/>
                <w:sz w:val="16"/>
              </w:rPr>
              <w:t>&lt;=12万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0FB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BE6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5F2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07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BB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F07C">
            <w:pPr>
              <w:jc w:val="center"/>
            </w:pPr>
            <w:r>
              <w:rPr>
                <w:rFonts w:ascii="宋体" w:hAnsi="宋体" w:eastAsia="宋体"/>
                <w:sz w:val="16"/>
              </w:rPr>
              <w:t>=0万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0FD7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D353A">
            <w:pPr>
              <w:jc w:val="center"/>
            </w:pPr>
            <w:r>
              <w:rPr>
                <w:rFonts w:ascii="宋体" w:hAnsi="宋体" w:eastAsia="宋体"/>
                <w:sz w:val="16"/>
              </w:rPr>
              <w:t>偏差原因：2024年未完成审计，故项目支付条件未达成，导致预算执行进度零。改进措施：加快审计工作开展，及时支付设备款。</w:t>
            </w:r>
          </w:p>
        </w:tc>
      </w:tr>
      <w:tr w14:paraId="5CEE51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551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61E4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F3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E18B">
            <w:pPr>
              <w:jc w:val="center"/>
            </w:pPr>
            <w:r>
              <w:rPr>
                <w:rFonts w:ascii="宋体" w:hAnsi="宋体" w:eastAsia="宋体"/>
                <w:sz w:val="16"/>
              </w:rPr>
              <w:t>提高网络安全性能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7A24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67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FB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BB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3C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8D7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A7C3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9B0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D5F7E">
            <w:pPr>
              <w:jc w:val="center"/>
            </w:pPr>
            <w:r>
              <w:rPr>
                <w:rFonts w:ascii="宋体" w:hAnsi="宋体" w:eastAsia="宋体"/>
                <w:sz w:val="16"/>
              </w:rPr>
              <w:t>偏差原因：所购设备未投入使用，没有产生效益。改进措施：待审计结束，及时投入使用。</w:t>
            </w:r>
          </w:p>
        </w:tc>
      </w:tr>
      <w:tr w14:paraId="529239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D6F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141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5A5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1CC78">
            <w:pPr>
              <w:jc w:val="center"/>
            </w:pPr>
            <w:r>
              <w:rPr>
                <w:rFonts w:ascii="宋体" w:hAnsi="宋体" w:eastAsia="宋体"/>
                <w:sz w:val="16"/>
              </w:rPr>
              <w:t>干警满意度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73A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74C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1B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DFC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71B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1C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4242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F40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45A59">
            <w:pPr>
              <w:jc w:val="center"/>
            </w:pPr>
            <w:r>
              <w:rPr>
                <w:rFonts w:ascii="宋体" w:hAnsi="宋体" w:eastAsia="宋体"/>
                <w:sz w:val="16"/>
              </w:rPr>
              <w:t>偏差原因：所购设备未投入使用，未做满意度调查。改进措施：待审计结束，及时投入使用，并做满意度调查。</w:t>
            </w:r>
          </w:p>
        </w:tc>
      </w:tr>
      <w:tr w14:paraId="54185D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9716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A3AB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8E41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9814CE">
            <w:pPr>
              <w:jc w:val="center"/>
            </w:pPr>
            <w:r>
              <w:rPr>
                <w:rFonts w:ascii="宋体" w:hAnsi="宋体" w:eastAsia="宋体"/>
                <w:sz w:val="16"/>
              </w:rPr>
              <w:t>30分</w:t>
            </w:r>
          </w:p>
        </w:tc>
      </w:tr>
    </w:tbl>
    <w:p w14:paraId="402D0DEC">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9"/>
        <w:gridCol w:w="776"/>
        <w:gridCol w:w="625"/>
        <w:gridCol w:w="625"/>
        <w:gridCol w:w="625"/>
        <w:gridCol w:w="625"/>
        <w:gridCol w:w="625"/>
        <w:gridCol w:w="776"/>
        <w:gridCol w:w="631"/>
        <w:gridCol w:w="615"/>
        <w:gridCol w:w="629"/>
      </w:tblGrid>
      <w:tr w14:paraId="054AE957">
        <w:tblPrEx>
          <w:tblCellMar>
            <w:top w:w="0" w:type="dxa"/>
            <w:left w:w="108" w:type="dxa"/>
            <w:bottom w:w="0" w:type="dxa"/>
            <w:right w:w="108" w:type="dxa"/>
          </w:tblCellMar>
        </w:tblPrEx>
        <w:tc>
          <w:tcPr>
            <w:tcW w:w="8848" w:type="dxa"/>
            <w:gridSpan w:val="14"/>
            <w:vAlign w:val="center"/>
          </w:tcPr>
          <w:p w14:paraId="2E43590B">
            <w:pPr>
              <w:jc w:val="center"/>
            </w:pPr>
            <w:r>
              <w:rPr>
                <w:rFonts w:ascii="宋体" w:hAnsi="宋体" w:eastAsia="宋体"/>
                <w:sz w:val="24"/>
              </w:rPr>
              <w:t>项目支出绩效自评表</w:t>
            </w:r>
          </w:p>
        </w:tc>
      </w:tr>
      <w:tr w14:paraId="463CA0E9">
        <w:tblPrEx>
          <w:tblCellMar>
            <w:top w:w="0" w:type="dxa"/>
            <w:left w:w="108" w:type="dxa"/>
            <w:bottom w:w="0" w:type="dxa"/>
            <w:right w:w="108" w:type="dxa"/>
          </w:tblCellMar>
        </w:tblPrEx>
        <w:tc>
          <w:tcPr>
            <w:tcW w:w="8848" w:type="dxa"/>
            <w:gridSpan w:val="14"/>
            <w:vAlign w:val="center"/>
          </w:tcPr>
          <w:p w14:paraId="49DD0307">
            <w:pPr>
              <w:jc w:val="center"/>
            </w:pPr>
            <w:r>
              <w:rPr>
                <w:rFonts w:ascii="宋体" w:hAnsi="宋体" w:eastAsia="宋体"/>
                <w:sz w:val="24"/>
              </w:rPr>
              <w:t>(2024年度)</w:t>
            </w:r>
          </w:p>
        </w:tc>
      </w:tr>
      <w:tr w14:paraId="1813F0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B1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F27DC9">
            <w:pPr>
              <w:jc w:val="center"/>
            </w:pPr>
            <w:r>
              <w:rPr>
                <w:rFonts w:ascii="宋体" w:hAnsi="宋体" w:eastAsia="宋体"/>
                <w:sz w:val="16"/>
              </w:rPr>
              <w:t>喀什中院融媒体中心建设项目</w:t>
            </w:r>
          </w:p>
        </w:tc>
      </w:tr>
      <w:tr w14:paraId="006D91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860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7CEC13">
            <w:pPr>
              <w:jc w:val="center"/>
            </w:pPr>
            <w:r>
              <w:rPr>
                <w:rFonts w:ascii="宋体" w:hAnsi="宋体" w:eastAsia="宋体"/>
                <w:sz w:val="16"/>
              </w:rPr>
              <w:t>新疆维吾尔自治区喀什地区中级人民法院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6F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5B568C">
            <w:pPr>
              <w:jc w:val="center"/>
            </w:pPr>
            <w:r>
              <w:rPr>
                <w:rFonts w:ascii="宋体" w:hAnsi="宋体" w:eastAsia="宋体"/>
                <w:sz w:val="16"/>
              </w:rPr>
              <w:t>新疆维吾尔自治区喀什地区中级人民法院</w:t>
            </w:r>
          </w:p>
        </w:tc>
      </w:tr>
      <w:tr w14:paraId="5C0A2D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FFCA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350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913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A50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EE5A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72C6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EFA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B1F8">
            <w:pPr>
              <w:jc w:val="center"/>
            </w:pPr>
            <w:r>
              <w:rPr>
                <w:rFonts w:ascii="宋体" w:hAnsi="宋体" w:eastAsia="宋体"/>
                <w:sz w:val="16"/>
              </w:rPr>
              <w:t>得分</w:t>
            </w:r>
          </w:p>
        </w:tc>
      </w:tr>
      <w:tr w14:paraId="4F01A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7DB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16B0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A91AC">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8B3DF">
            <w:pPr>
              <w:jc w:val="center"/>
            </w:pPr>
            <w:r>
              <w:rPr>
                <w:rFonts w:ascii="宋体" w:hAnsi="宋体" w:eastAsia="宋体"/>
                <w:sz w:val="16"/>
              </w:rPr>
              <w:t>96.50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7C56B">
            <w:pPr>
              <w:jc w:val="center"/>
            </w:pPr>
            <w:r>
              <w:rPr>
                <w:rFonts w:ascii="宋体" w:hAnsi="宋体" w:eastAsia="宋体"/>
                <w:sz w:val="16"/>
              </w:rPr>
              <w:t>93.60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C75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9F90A">
            <w:pPr>
              <w:jc w:val="center"/>
            </w:pPr>
            <w:r>
              <w:rPr>
                <w:rFonts w:ascii="宋体" w:hAnsi="宋体" w:eastAsia="宋体"/>
                <w:sz w:val="16"/>
              </w:rPr>
              <w:t>97.0%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895C0">
            <w:pPr>
              <w:jc w:val="center"/>
            </w:pPr>
            <w:r>
              <w:rPr>
                <w:rFonts w:ascii="宋体" w:hAnsi="宋体" w:eastAsia="宋体"/>
                <w:sz w:val="16"/>
              </w:rPr>
              <w:t>9.25分</w:t>
            </w:r>
          </w:p>
        </w:tc>
      </w:tr>
      <w:tr w14:paraId="785DA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030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A678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7FF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FFA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B13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A11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65A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C8CB">
            <w:pPr>
              <w:jc w:val="center"/>
            </w:pPr>
            <w:r>
              <w:rPr>
                <w:rFonts w:ascii="宋体" w:hAnsi="宋体" w:eastAsia="宋体"/>
                <w:sz w:val="16"/>
              </w:rPr>
              <w:t>—</w:t>
            </w:r>
          </w:p>
        </w:tc>
      </w:tr>
      <w:tr w14:paraId="36AF63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625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0603D">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DBBD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D4AA9">
            <w:pPr>
              <w:jc w:val="center"/>
            </w:pPr>
            <w:r>
              <w:rPr>
                <w:rFonts w:ascii="宋体" w:hAnsi="宋体" w:eastAsia="宋体"/>
                <w:sz w:val="16"/>
              </w:rPr>
              <w:t>96.50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6E8D2">
            <w:pPr>
              <w:jc w:val="center"/>
            </w:pPr>
            <w:r>
              <w:rPr>
                <w:rFonts w:ascii="宋体" w:hAnsi="宋体" w:eastAsia="宋体"/>
                <w:sz w:val="16"/>
              </w:rPr>
              <w:t>93.60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F13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47F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1B836">
            <w:pPr>
              <w:jc w:val="center"/>
            </w:pPr>
            <w:r>
              <w:rPr>
                <w:rFonts w:ascii="宋体" w:hAnsi="宋体" w:eastAsia="宋体"/>
                <w:sz w:val="16"/>
              </w:rPr>
              <w:t>—</w:t>
            </w:r>
          </w:p>
        </w:tc>
      </w:tr>
      <w:tr w14:paraId="4AF5C4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CF4F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4CDB3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8854A9">
            <w:pPr>
              <w:jc w:val="center"/>
            </w:pPr>
            <w:r>
              <w:rPr>
                <w:rFonts w:ascii="宋体" w:hAnsi="宋体" w:eastAsia="宋体"/>
                <w:sz w:val="16"/>
              </w:rPr>
              <w:t>实际完成情况</w:t>
            </w:r>
          </w:p>
        </w:tc>
      </w:tr>
      <w:tr w14:paraId="4268A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088B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182043">
            <w:pPr>
              <w:jc w:val="both"/>
            </w:pPr>
            <w:r>
              <w:rPr>
                <w:rFonts w:ascii="宋体" w:hAnsi="宋体" w:eastAsia="宋体"/>
                <w:sz w:val="16"/>
              </w:rPr>
              <w:t>以深入贯彻习近平法治思想，深入贯彻落实党的二十大精神，贯彻；落实年初两级法院工作会议精神，切实把融媒体中心建设成为主要舆论阵地，成为人民法院与人民群众交流沟通的重要平台、服务群众的重要途径、接受群众监督的重要渠道，多元化提供司法服务，为喀什地区经济社会高质量发展，提供强大的精神力量和舆论支撑。2024年，喀什中院融媒体中心建设项目计划采购设备66台，装修面积87.66平方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286295">
            <w:pPr>
              <w:jc w:val="both"/>
            </w:pPr>
            <w:r>
              <w:rPr>
                <w:rFonts w:ascii="宋体" w:hAnsi="宋体" w:eastAsia="宋体"/>
                <w:sz w:val="16"/>
              </w:rPr>
              <w:t>截至2024年12月31日，该项目已完工,采购设备66台，装修面积87.66平方米。预期该项目后期会成为人民法院与人民群众交流沟通的重要平台、服务群众的重要途径、接受群众监督的重要渠道，多元化提供司法服务，为喀什地区经济社会高质量发展，提供强大的精神力量和舆论支撑。</w:t>
            </w:r>
          </w:p>
        </w:tc>
      </w:tr>
      <w:tr w14:paraId="5AFDB3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FEC2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14F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C65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F45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B68E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516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E26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8879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804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1FC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F0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C2B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08940">
            <w:pPr>
              <w:jc w:val="center"/>
            </w:pPr>
            <w:r>
              <w:rPr>
                <w:rFonts w:ascii="宋体" w:hAnsi="宋体" w:eastAsia="宋体"/>
                <w:sz w:val="16"/>
              </w:rPr>
              <w:t>偏差原因分析及改进措施</w:t>
            </w:r>
          </w:p>
        </w:tc>
      </w:tr>
      <w:tr w14:paraId="758727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00F8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4436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29E0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C5E83">
            <w:pPr>
              <w:jc w:val="center"/>
            </w:pPr>
            <w:r>
              <w:rPr>
                <w:rFonts w:ascii="宋体" w:hAnsi="宋体" w:eastAsia="宋体"/>
                <w:sz w:val="16"/>
              </w:rPr>
              <w:t>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4D0A">
            <w:pPr>
              <w:jc w:val="center"/>
            </w:pPr>
            <w:r>
              <w:rPr>
                <w:rFonts w:ascii="宋体" w:hAnsi="宋体" w:eastAsia="宋体"/>
                <w:sz w:val="16"/>
              </w:rPr>
              <w:t>&gt;=66台（套）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381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D86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DAD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624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488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2753">
            <w:pPr>
              <w:jc w:val="center"/>
            </w:pPr>
            <w:r>
              <w:rPr>
                <w:rFonts w:ascii="宋体" w:hAnsi="宋体" w:eastAsia="宋体"/>
                <w:sz w:val="16"/>
              </w:rPr>
              <w:t>=66台（套）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8F5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7949D">
            <w:pPr>
              <w:jc w:val="center"/>
            </w:pPr>
          </w:p>
        </w:tc>
      </w:tr>
      <w:tr w14:paraId="296DC8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A45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658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526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A5B66">
            <w:pPr>
              <w:jc w:val="center"/>
            </w:pPr>
            <w:r>
              <w:rPr>
                <w:rFonts w:ascii="宋体" w:hAnsi="宋体" w:eastAsia="宋体"/>
                <w:sz w:val="16"/>
              </w:rPr>
              <w:t>装修面积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F0635">
            <w:pPr>
              <w:jc w:val="center"/>
            </w:pPr>
            <w:r>
              <w:rPr>
                <w:rFonts w:ascii="宋体" w:hAnsi="宋体" w:eastAsia="宋体"/>
                <w:sz w:val="16"/>
              </w:rPr>
              <w:t>&gt;=87.66平方米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825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F5C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3A37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9C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E31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CAFD">
            <w:pPr>
              <w:jc w:val="center"/>
            </w:pPr>
            <w:r>
              <w:rPr>
                <w:rFonts w:ascii="宋体" w:hAnsi="宋体" w:eastAsia="宋体"/>
                <w:sz w:val="16"/>
              </w:rPr>
              <w:t>=87.66平方米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DE6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5C117">
            <w:pPr>
              <w:jc w:val="center"/>
            </w:pPr>
          </w:p>
        </w:tc>
      </w:tr>
      <w:tr w14:paraId="795AEF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C4D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AAE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EF78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560C8">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DA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485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F0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5B5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75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C6D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F8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4CEE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170FA">
            <w:pPr>
              <w:jc w:val="center"/>
            </w:pPr>
          </w:p>
        </w:tc>
      </w:tr>
      <w:tr w14:paraId="7E573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98B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F64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48A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0AA24">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AC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0A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9F3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8BDF">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7719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D4D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A34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F4EF5">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7D616">
            <w:pPr>
              <w:jc w:val="center"/>
            </w:pPr>
          </w:p>
        </w:tc>
      </w:tr>
      <w:tr w14:paraId="1F5F6D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C8A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433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3B4D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0887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271D0">
            <w:pPr>
              <w:jc w:val="center"/>
            </w:pPr>
            <w:r>
              <w:rPr>
                <w:rFonts w:ascii="宋体" w:hAnsi="宋体" w:eastAsia="宋体"/>
                <w:sz w:val="16"/>
              </w:rPr>
              <w:t>=2024年8月28日前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03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F0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689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F1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81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FA3F">
            <w:pPr>
              <w:jc w:val="center"/>
            </w:pPr>
            <w:r>
              <w:rPr>
                <w:rFonts w:ascii="宋体" w:hAnsi="宋体" w:eastAsia="宋体"/>
                <w:sz w:val="16"/>
              </w:rPr>
              <w:t>=2024年6月21日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802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FF8CA">
            <w:pPr>
              <w:jc w:val="center"/>
            </w:pPr>
          </w:p>
        </w:tc>
      </w:tr>
      <w:tr w14:paraId="75CD9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CBB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807C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597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882E">
            <w:pPr>
              <w:jc w:val="center"/>
            </w:pPr>
            <w:r>
              <w:rPr>
                <w:rFonts w:ascii="宋体" w:hAnsi="宋体" w:eastAsia="宋体"/>
                <w:sz w:val="16"/>
              </w:rPr>
              <w:t>设备平均单价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374DD">
            <w:pPr>
              <w:jc w:val="center"/>
            </w:pPr>
            <w:r>
              <w:rPr>
                <w:rFonts w:ascii="宋体" w:hAnsi="宋体" w:eastAsia="宋体"/>
                <w:sz w:val="16"/>
              </w:rPr>
              <w:t>&lt;=1.11万元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028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89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9F6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7C1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EB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371B">
            <w:pPr>
              <w:jc w:val="center"/>
            </w:pPr>
            <w:r>
              <w:rPr>
                <w:rFonts w:ascii="宋体" w:hAnsi="宋体" w:eastAsia="宋体"/>
                <w:sz w:val="16"/>
              </w:rPr>
              <w:t>=1.0665万元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83B65">
            <w:pPr>
              <w:jc w:val="center"/>
            </w:pPr>
            <w:r>
              <w:rPr>
                <w:rFonts w:ascii="宋体" w:hAnsi="宋体" w:eastAsia="宋体"/>
                <w:sz w:val="16"/>
              </w:rPr>
              <w:t>9.02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AD5D3">
            <w:pPr>
              <w:jc w:val="center"/>
            </w:pPr>
            <w:r>
              <w:rPr>
                <w:rFonts w:ascii="宋体" w:hAnsi="宋体" w:eastAsia="宋体"/>
                <w:sz w:val="16"/>
              </w:rPr>
              <w:t>偏差原因：项目存在尾款未支付，导致设备平均单价较低。改进措施：及时支付资金。</w:t>
            </w:r>
          </w:p>
        </w:tc>
      </w:tr>
      <w:tr w14:paraId="411EC6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0EA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87C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B05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085E">
            <w:pPr>
              <w:jc w:val="center"/>
            </w:pPr>
            <w:r>
              <w:rPr>
                <w:rFonts w:ascii="宋体" w:hAnsi="宋体" w:eastAsia="宋体"/>
                <w:sz w:val="16"/>
              </w:rPr>
              <w:t>装修成本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AA14C">
            <w:pPr>
              <w:jc w:val="center"/>
            </w:pPr>
            <w:r>
              <w:rPr>
                <w:rFonts w:ascii="宋体" w:hAnsi="宋体" w:eastAsia="宋体"/>
                <w:sz w:val="16"/>
              </w:rPr>
              <w:t>&lt;=23.21万元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7FB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8C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D5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4D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477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0D79">
            <w:pPr>
              <w:jc w:val="center"/>
            </w:pPr>
            <w:r>
              <w:rPr>
                <w:rFonts w:ascii="宋体" w:hAnsi="宋体" w:eastAsia="宋体"/>
                <w:sz w:val="16"/>
              </w:rPr>
              <w:t>=23.21万元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AC3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02EBB">
            <w:pPr>
              <w:jc w:val="center"/>
            </w:pPr>
          </w:p>
        </w:tc>
      </w:tr>
      <w:tr w14:paraId="7B1B95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0BB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71D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6A89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761EE">
            <w:pPr>
              <w:jc w:val="center"/>
            </w:pPr>
            <w:r>
              <w:rPr>
                <w:rFonts w:ascii="宋体" w:hAnsi="宋体" w:eastAsia="宋体"/>
                <w:sz w:val="16"/>
              </w:rPr>
              <w:t>提升司法公信力，多元化提供司法服务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066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8B4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95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2DA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F0F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2D3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54D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5124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24D6A">
            <w:pPr>
              <w:jc w:val="center"/>
            </w:pPr>
          </w:p>
        </w:tc>
      </w:tr>
      <w:tr w14:paraId="121FE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A6D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078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41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DFC38">
            <w:pPr>
              <w:jc w:val="center"/>
            </w:pPr>
            <w:r>
              <w:rPr>
                <w:rFonts w:ascii="宋体" w:hAnsi="宋体" w:eastAsia="宋体"/>
                <w:sz w:val="16"/>
              </w:rPr>
              <w:t>干警满意度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060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E24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11C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5DD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8D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CF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74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1ED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2509E">
            <w:pPr>
              <w:jc w:val="center"/>
            </w:pPr>
          </w:p>
        </w:tc>
      </w:tr>
      <w:tr w14:paraId="092CE2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BB9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2B5E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C37B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40505C">
            <w:pPr>
              <w:jc w:val="center"/>
            </w:pPr>
            <w:r>
              <w:rPr>
                <w:rFonts w:ascii="宋体" w:hAnsi="宋体" w:eastAsia="宋体"/>
                <w:sz w:val="16"/>
              </w:rPr>
              <w:t>98.27分</w:t>
            </w:r>
          </w:p>
        </w:tc>
      </w:tr>
    </w:tbl>
    <w:p w14:paraId="0D091E24">
      <w:r>
        <w:br w:type="page"/>
      </w:r>
    </w:p>
    <w:p w14:paraId="41816DF0">
      <w:pPr>
        <w:spacing w:line="640" w:lineRule="exact"/>
        <w:ind w:firstLine="640"/>
        <w:jc w:val="both"/>
        <w:outlineLvl w:val="2"/>
      </w:pPr>
      <w:r>
        <w:rPr>
          <w:rFonts w:ascii="黑体" w:hAnsi="黑体" w:eastAsia="黑体"/>
          <w:sz w:val="32"/>
        </w:rPr>
        <w:t>十二、其他需说明的事项</w:t>
      </w:r>
    </w:p>
    <w:p w14:paraId="49A7AF8E">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bookmarkStart w:id="0" w:name="_GoBack"/>
      <w:bookmarkEnd w:id="0"/>
      <w:r>
        <w:rPr>
          <w:rFonts w:ascii="仿宋_GB2312" w:hAnsi="仿宋_GB2312" w:eastAsia="仿宋_GB2312"/>
          <w:b w:val="0"/>
          <w:sz w:val="32"/>
        </w:rPr>
        <w:t>项目13个，全年预算数2368.65万元，全年执行数1624.81万元。</w:t>
      </w:r>
    </w:p>
    <w:p w14:paraId="673627C7">
      <w:r>
        <w:br w:type="page"/>
      </w:r>
    </w:p>
    <w:p w14:paraId="541EB8F8">
      <w:pPr>
        <w:spacing w:line="240" w:lineRule="auto"/>
        <w:jc w:val="center"/>
        <w:outlineLvl w:val="1"/>
      </w:pPr>
      <w:r>
        <w:rPr>
          <w:rFonts w:ascii="黑体" w:hAnsi="黑体" w:eastAsia="黑体"/>
          <w:sz w:val="32"/>
        </w:rPr>
        <w:t>第三部分 专业名词解释</w:t>
      </w:r>
    </w:p>
    <w:p w14:paraId="433E7B8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B95AF5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64CCA7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81F42A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0B5665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03CEA2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5FCFA6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1B2AB4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A069D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4ED4B9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9E2C76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CB8086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EDBC4B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3881D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091BECD">
      <w:r>
        <w:br w:type="page"/>
      </w:r>
    </w:p>
    <w:p w14:paraId="7C9063B9">
      <w:pPr>
        <w:spacing w:line="240" w:lineRule="auto"/>
        <w:jc w:val="center"/>
        <w:outlineLvl w:val="1"/>
      </w:pPr>
      <w:r>
        <w:rPr>
          <w:rFonts w:ascii="黑体" w:hAnsi="黑体" w:eastAsia="黑体"/>
          <w:sz w:val="32"/>
        </w:rPr>
        <w:t>第四部分 部门决算报表（见附表）</w:t>
      </w:r>
    </w:p>
    <w:p w14:paraId="06F3FBDB">
      <w:pPr>
        <w:spacing w:line="240" w:lineRule="auto"/>
        <w:ind w:firstLine="640"/>
        <w:jc w:val="both"/>
      </w:pPr>
      <w:r>
        <w:rPr>
          <w:rFonts w:ascii="仿宋_GB2312" w:hAnsi="仿宋_GB2312" w:eastAsia="仿宋_GB2312"/>
          <w:b w:val="0"/>
          <w:sz w:val="32"/>
        </w:rPr>
        <w:t>一、《收入支出决算总表》</w:t>
      </w:r>
    </w:p>
    <w:p w14:paraId="6F026DDB">
      <w:pPr>
        <w:spacing w:line="240" w:lineRule="auto"/>
        <w:ind w:firstLine="640"/>
        <w:jc w:val="both"/>
      </w:pPr>
      <w:r>
        <w:rPr>
          <w:rFonts w:ascii="仿宋_GB2312" w:hAnsi="仿宋_GB2312" w:eastAsia="仿宋_GB2312"/>
          <w:b w:val="0"/>
          <w:sz w:val="32"/>
        </w:rPr>
        <w:t>二、《收入决算表》</w:t>
      </w:r>
    </w:p>
    <w:p w14:paraId="6FC45E8B">
      <w:pPr>
        <w:spacing w:line="240" w:lineRule="auto"/>
        <w:ind w:firstLine="640"/>
        <w:jc w:val="both"/>
      </w:pPr>
      <w:r>
        <w:rPr>
          <w:rFonts w:ascii="仿宋_GB2312" w:hAnsi="仿宋_GB2312" w:eastAsia="仿宋_GB2312"/>
          <w:b w:val="0"/>
          <w:sz w:val="32"/>
        </w:rPr>
        <w:t>三、《支出决算表》</w:t>
      </w:r>
    </w:p>
    <w:p w14:paraId="5DF2E5C8">
      <w:pPr>
        <w:spacing w:line="240" w:lineRule="auto"/>
        <w:ind w:firstLine="640"/>
        <w:jc w:val="both"/>
      </w:pPr>
      <w:r>
        <w:rPr>
          <w:rFonts w:ascii="仿宋_GB2312" w:hAnsi="仿宋_GB2312" w:eastAsia="仿宋_GB2312"/>
          <w:b w:val="0"/>
          <w:sz w:val="32"/>
        </w:rPr>
        <w:t>四、《财政拨款收入支出决算总表》</w:t>
      </w:r>
    </w:p>
    <w:p w14:paraId="3797875A">
      <w:pPr>
        <w:spacing w:line="240" w:lineRule="auto"/>
        <w:ind w:firstLine="640"/>
        <w:jc w:val="both"/>
      </w:pPr>
      <w:r>
        <w:rPr>
          <w:rFonts w:ascii="仿宋_GB2312" w:hAnsi="仿宋_GB2312" w:eastAsia="仿宋_GB2312"/>
          <w:b w:val="0"/>
          <w:sz w:val="32"/>
        </w:rPr>
        <w:t>五、《一般公共预算财政拨款支出决算表》</w:t>
      </w:r>
    </w:p>
    <w:p w14:paraId="1C4361D4">
      <w:pPr>
        <w:spacing w:line="240" w:lineRule="auto"/>
        <w:ind w:firstLine="640"/>
        <w:jc w:val="both"/>
      </w:pPr>
      <w:r>
        <w:rPr>
          <w:rFonts w:ascii="仿宋_GB2312" w:hAnsi="仿宋_GB2312" w:eastAsia="仿宋_GB2312"/>
          <w:b w:val="0"/>
          <w:sz w:val="32"/>
        </w:rPr>
        <w:t>六、《一般公共预算财政拨款基本支出决算表》</w:t>
      </w:r>
    </w:p>
    <w:p w14:paraId="4E0B8E1E">
      <w:pPr>
        <w:spacing w:line="240" w:lineRule="auto"/>
        <w:ind w:firstLine="640"/>
        <w:jc w:val="both"/>
      </w:pPr>
      <w:r>
        <w:rPr>
          <w:rFonts w:ascii="仿宋_GB2312" w:hAnsi="仿宋_GB2312" w:eastAsia="仿宋_GB2312"/>
          <w:b w:val="0"/>
          <w:sz w:val="32"/>
        </w:rPr>
        <w:t>七、《政府性基金预算财政拨款收入支出决算表》</w:t>
      </w:r>
    </w:p>
    <w:p w14:paraId="72696D6F">
      <w:pPr>
        <w:spacing w:line="240" w:lineRule="auto"/>
        <w:ind w:firstLine="640"/>
        <w:jc w:val="both"/>
      </w:pPr>
      <w:r>
        <w:rPr>
          <w:rFonts w:ascii="仿宋_GB2312" w:hAnsi="仿宋_GB2312" w:eastAsia="仿宋_GB2312"/>
          <w:b w:val="0"/>
          <w:sz w:val="32"/>
        </w:rPr>
        <w:t>八、《国有资本经营预算财政拨款收入支出决算表》</w:t>
      </w:r>
    </w:p>
    <w:p w14:paraId="5B5F877D">
      <w:pPr>
        <w:spacing w:line="240" w:lineRule="auto"/>
        <w:ind w:firstLine="640"/>
        <w:jc w:val="both"/>
      </w:pPr>
      <w:r>
        <w:rPr>
          <w:rFonts w:ascii="仿宋_GB2312" w:hAnsi="仿宋_GB2312" w:eastAsia="仿宋_GB2312"/>
          <w:b w:val="0"/>
          <w:sz w:val="32"/>
        </w:rPr>
        <w:t>九、《财政拨款“三公”经费支出决算表》</w:t>
      </w:r>
    </w:p>
    <w:p w14:paraId="541104CA">
      <w:pPr>
        <w:spacing w:line="240" w:lineRule="auto"/>
        <w:ind w:firstLine="640"/>
        <w:jc w:val="both"/>
      </w:pPr>
    </w:p>
    <w:p w14:paraId="399CAD78">
      <w:pPr>
        <w:spacing w:line="240" w:lineRule="auto"/>
        <w:ind w:firstLine="640"/>
        <w:jc w:val="both"/>
      </w:pPr>
    </w:p>
    <w:p w14:paraId="50A79F05">
      <w:pPr>
        <w:spacing w:line="240" w:lineRule="auto"/>
        <w:ind w:firstLine="640"/>
        <w:jc w:val="both"/>
      </w:pPr>
    </w:p>
    <w:p w14:paraId="7CC2AEB7">
      <w:pPr>
        <w:spacing w:line="240" w:lineRule="auto"/>
        <w:ind w:firstLine="640"/>
        <w:jc w:val="both"/>
      </w:pPr>
    </w:p>
    <w:p w14:paraId="069D70A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FAD1C6-200E-482E-800C-9719EF6F36A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C48A43E1-742C-4922-9E46-72F32F873E02}"/>
  </w:font>
  <w:font w:name="方正小标宋_GBK">
    <w:panose1 w:val="02000000000000000000"/>
    <w:charset w:val="86"/>
    <w:family w:val="script"/>
    <w:pitch w:val="default"/>
    <w:sig w:usb0="A00002BF" w:usb1="38CF7CFA" w:usb2="00082016" w:usb3="00000000" w:csb0="00040001" w:csb1="00000000"/>
    <w:embedRegular r:id="rId3" w:fontKey="{FEEB0856-2827-404E-BFC4-6B6971429CFA}"/>
  </w:font>
  <w:font w:name="楷体_GB2312">
    <w:panose1 w:val="02010609030101010101"/>
    <w:charset w:val="86"/>
    <w:family w:val="auto"/>
    <w:pitch w:val="default"/>
    <w:sig w:usb0="00000001" w:usb1="080E0000" w:usb2="00000000" w:usb3="00000000" w:csb0="00040000" w:csb1="00000000"/>
    <w:embedRegular r:id="rId4" w:fontKey="{D45B9718-8406-443E-8BF9-BC482633DA1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CF4826"/>
    <w:rsid w:val="4B4C0111"/>
    <w:rsid w:val="4BB23021"/>
    <w:rsid w:val="4F3F074E"/>
    <w:rsid w:val="50DB5F45"/>
    <w:rsid w:val="52F92565"/>
    <w:rsid w:val="543D17CB"/>
    <w:rsid w:val="5578058C"/>
    <w:rsid w:val="55A96BB4"/>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3270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6469</Words>
  <Characters>7601</Characters>
  <Lines>0</Lines>
  <Paragraphs>0</Paragraphs>
  <TotalTime>5</TotalTime>
  <ScaleCrop>false</ScaleCrop>
  <LinksUpToDate>false</LinksUpToDate>
  <CharactersWithSpaces>7609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2025-09-29T03:00:19Z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