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535CAB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新疆维吾尔自治区喀什地区信访局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F784A8B">
      <w:r>
        <w:br w:type="page"/>
      </w:r>
    </w:p>
    <w:p w14:paraId="5615B306">
      <w:pPr>
        <w:spacing w:line="640" w:lineRule="exact"/>
        <w:jc w:val="center"/>
        <w:outlineLvl w:val="1"/>
      </w:pPr>
      <w:r>
        <w:rPr>
          <w:rFonts w:ascii="黑体" w:hAnsi="黑体" w:eastAsia="黑体"/>
          <w:sz w:val="32"/>
        </w:rPr>
        <w:t>第一部分 部门概况</w:t>
      </w:r>
    </w:p>
    <w:p w14:paraId="4FDF24FE">
      <w:pPr>
        <w:spacing w:line="640" w:lineRule="exact"/>
        <w:ind w:firstLine="640"/>
        <w:jc w:val="both"/>
        <w:outlineLvl w:val="2"/>
      </w:pPr>
      <w:r>
        <w:rPr>
          <w:rFonts w:ascii="黑体" w:hAnsi="黑体" w:eastAsia="黑体"/>
          <w:sz w:val="32"/>
        </w:rPr>
        <w:t>一、主要职能</w:t>
      </w:r>
    </w:p>
    <w:p w14:paraId="4F5F9744">
      <w:pPr>
        <w:spacing w:line="580" w:lineRule="exact"/>
        <w:ind w:firstLine="640"/>
        <w:jc w:val="both"/>
      </w:pPr>
      <w:r>
        <w:rPr>
          <w:rFonts w:ascii="仿宋_GB2312" w:hAnsi="仿宋_GB2312" w:eastAsia="仿宋_GB2312"/>
          <w:sz w:val="32"/>
        </w:rPr>
        <w:t>(一)贯彻落实中央和自治区关于信访工作的法律法规和方针政策,宣传和贯彻落实《信访条例》,综合协调指导地区信访工作。</w:t>
      </w:r>
    </w:p>
    <w:p w14:paraId="2B2DBC93">
      <w:pPr>
        <w:spacing w:line="580" w:lineRule="exact"/>
        <w:ind w:firstLine="640"/>
        <w:jc w:val="both"/>
      </w:pPr>
      <w:r>
        <w:rPr>
          <w:rFonts w:ascii="仿宋_GB2312" w:hAnsi="仿宋_GB2312" w:eastAsia="仿宋_GB2312"/>
          <w:sz w:val="32"/>
        </w:rPr>
        <w:t>(二)负责处理国内群众、人士、法人及其他组织通过信访渠道给地委、行署及领导同志的来信来电,接待群众来访。</w:t>
      </w:r>
    </w:p>
    <w:p w14:paraId="6C15E0BC">
      <w:pPr>
        <w:spacing w:line="580" w:lineRule="exact"/>
        <w:ind w:firstLine="640"/>
        <w:jc w:val="both"/>
      </w:pPr>
      <w:r>
        <w:rPr>
          <w:rFonts w:ascii="仿宋_GB2312" w:hAnsi="仿宋_GB2312" w:eastAsia="仿宋_GB2312"/>
          <w:sz w:val="32"/>
        </w:rPr>
        <w:t>(三)负责向地委、行署反映群众来信来电来访中提出的重要建议、意见和问题,综合研判信访信息,开展调查研究,提出制定修改完善有关方针政策的建议。</w:t>
      </w:r>
    </w:p>
    <w:p w14:paraId="7926EBD3">
      <w:pPr>
        <w:spacing w:line="580" w:lineRule="exact"/>
        <w:ind w:firstLine="640"/>
        <w:jc w:val="both"/>
      </w:pPr>
      <w:r>
        <w:rPr>
          <w:rFonts w:ascii="仿宋_GB2312" w:hAnsi="仿宋_GB2312" w:eastAsia="仿宋_GB2312"/>
          <w:sz w:val="32"/>
        </w:rPr>
        <w:t>(四)承办上级机关和地委、行署领导同志交办的信访事项,督促检查领导同志有关批示落实情况,拟订信访督查制度并组织实施,承办地区领导交办信访事项的落实,向有关单位和县市转办、交办信访事项,督促检查重要信访事项的处理和落实。</w:t>
      </w:r>
    </w:p>
    <w:p w14:paraId="52438617">
      <w:pPr>
        <w:spacing w:line="580" w:lineRule="exact"/>
        <w:ind w:firstLine="640"/>
        <w:jc w:val="both"/>
      </w:pPr>
      <w:r>
        <w:rPr>
          <w:rFonts w:ascii="仿宋_GB2312" w:hAnsi="仿宋_GB2312" w:eastAsia="仿宋_GB2312"/>
          <w:sz w:val="32"/>
        </w:rPr>
        <w:t>(五)承担协调处理群众进京、赴自治区上访、集体上访的责任,综合协调处理跨地区、跨行业、跨部门和人事分离、人户分离、人事户分离的重要信访问题。</w:t>
      </w:r>
    </w:p>
    <w:p w14:paraId="1BCCEEED">
      <w:pPr>
        <w:spacing w:line="580" w:lineRule="exact"/>
        <w:ind w:firstLine="640"/>
        <w:jc w:val="both"/>
      </w:pPr>
      <w:r>
        <w:rPr>
          <w:rFonts w:ascii="仿宋_GB2312" w:hAnsi="仿宋_GB2312" w:eastAsia="仿宋_GB2312"/>
          <w:sz w:val="32"/>
        </w:rPr>
        <w:t>(六)制定信访问题排查化解措施并组织实施,建立和完善信访信息汇集分析机制,指导自治区信访信息系统建设和应用。</w:t>
      </w:r>
    </w:p>
    <w:p w14:paraId="7826F47A">
      <w:pPr>
        <w:spacing w:line="580" w:lineRule="exact"/>
        <w:ind w:firstLine="640"/>
        <w:jc w:val="both"/>
      </w:pPr>
      <w:r>
        <w:rPr>
          <w:rFonts w:ascii="仿宋_GB2312" w:hAnsi="仿宋_GB2312" w:eastAsia="仿宋_GB2312"/>
          <w:sz w:val="32"/>
        </w:rPr>
        <w:t>(七)承担地区信访工作联席会议的日常工作,督促落实地区信访工作联席会议决定的事项。</w:t>
      </w:r>
    </w:p>
    <w:p w14:paraId="0E495364">
      <w:pPr>
        <w:spacing w:line="580" w:lineRule="exact"/>
        <w:ind w:firstLine="640"/>
        <w:jc w:val="both"/>
      </w:pPr>
      <w:r>
        <w:rPr>
          <w:rFonts w:ascii="仿宋_GB2312" w:hAnsi="仿宋_GB2312" w:eastAsia="仿宋_GB2312"/>
          <w:sz w:val="32"/>
        </w:rPr>
        <w:t>(八)协调和组织信访工作的宣传和有关信息的发布,了解掌握信访干部队伍及联合接待场所建设情况,有针对性</w:t>
      </w:r>
      <w:r>
        <w:rPr>
          <w:rFonts w:hint="eastAsia" w:ascii="仿宋_GB2312" w:hAnsi="仿宋_GB2312" w:eastAsia="仿宋_GB2312"/>
          <w:sz w:val="32"/>
          <w:lang w:eastAsia="zh-CN"/>
        </w:rPr>
        <w:t>地</w:t>
      </w:r>
      <w:r>
        <w:rPr>
          <w:rFonts w:ascii="仿宋_GB2312" w:hAnsi="仿宋_GB2312" w:eastAsia="仿宋_GB2312"/>
          <w:sz w:val="32"/>
        </w:rPr>
        <w:t>组织干部培训。</w:t>
      </w:r>
    </w:p>
    <w:p w14:paraId="670ECB67">
      <w:pPr>
        <w:spacing w:line="580" w:lineRule="exact"/>
        <w:ind w:firstLine="640"/>
        <w:jc w:val="both"/>
      </w:pPr>
      <w:r>
        <w:rPr>
          <w:rFonts w:ascii="仿宋_GB2312" w:hAnsi="仿宋_GB2312" w:eastAsia="仿宋_GB2312"/>
          <w:sz w:val="32"/>
        </w:rPr>
        <w:t>(九)完成地委、行署交办的其他任务。</w:t>
      </w:r>
    </w:p>
    <w:p w14:paraId="3C27A086">
      <w:pPr>
        <w:spacing w:line="640" w:lineRule="exact"/>
        <w:ind w:firstLine="640"/>
        <w:jc w:val="both"/>
        <w:outlineLvl w:val="2"/>
      </w:pPr>
      <w:r>
        <w:rPr>
          <w:rFonts w:ascii="黑体" w:hAnsi="黑体" w:eastAsia="黑体"/>
          <w:sz w:val="32"/>
        </w:rPr>
        <w:t>二、机构设置及人员情况</w:t>
      </w:r>
    </w:p>
    <w:p w14:paraId="61BB5E08">
      <w:pPr>
        <w:spacing w:line="580" w:lineRule="exact"/>
        <w:ind w:firstLine="640"/>
        <w:jc w:val="both"/>
      </w:pPr>
      <w:r>
        <w:rPr>
          <w:rFonts w:ascii="仿宋_GB2312" w:hAnsi="仿宋_GB2312" w:eastAsia="仿宋_GB2312"/>
          <w:sz w:val="32"/>
        </w:rPr>
        <w:t>新疆维吾尔自治区喀什地区信访局2024年度，实有人数30人，其中：在职人员22人，增加2人；离休人员0人，增加0人；退休人员8人,增加1人。</w:t>
      </w:r>
    </w:p>
    <w:p w14:paraId="60D82C6A">
      <w:pPr>
        <w:spacing w:line="580" w:lineRule="exact"/>
        <w:ind w:firstLine="640"/>
        <w:jc w:val="both"/>
      </w:pPr>
      <w:r>
        <w:rPr>
          <w:rFonts w:ascii="仿宋_GB2312" w:hAnsi="仿宋_GB2312" w:eastAsia="仿宋_GB2312"/>
          <w:sz w:val="32"/>
        </w:rPr>
        <w:t>新疆维吾尔自治区喀什地区信访局无下属预算单位，下设4个科室，分别是：办公室、信件办理科、督察办案科、来访接待科。</w:t>
      </w:r>
    </w:p>
    <w:p w14:paraId="08791318">
      <w:r>
        <w:br w:type="page"/>
      </w:r>
    </w:p>
    <w:p w14:paraId="367B7FF7">
      <w:pPr>
        <w:spacing w:line="240" w:lineRule="auto"/>
        <w:jc w:val="center"/>
        <w:outlineLvl w:val="1"/>
      </w:pPr>
      <w:r>
        <w:rPr>
          <w:rFonts w:ascii="黑体" w:hAnsi="黑体" w:eastAsia="黑体"/>
          <w:sz w:val="32"/>
        </w:rPr>
        <w:t>第二部分 部门决算情况说明</w:t>
      </w:r>
    </w:p>
    <w:p w14:paraId="40F6D8E5">
      <w:pPr>
        <w:spacing w:line="640" w:lineRule="exact"/>
        <w:ind w:firstLine="640"/>
        <w:jc w:val="both"/>
        <w:outlineLvl w:val="2"/>
      </w:pPr>
      <w:r>
        <w:rPr>
          <w:rFonts w:ascii="黑体" w:hAnsi="黑体" w:eastAsia="黑体"/>
          <w:sz w:val="32"/>
        </w:rPr>
        <w:t>一、收入支出决算总体情况说明</w:t>
      </w:r>
    </w:p>
    <w:p w14:paraId="5747F782">
      <w:pPr>
        <w:spacing w:line="580" w:lineRule="exact"/>
        <w:ind w:firstLine="640"/>
        <w:jc w:val="both"/>
      </w:pPr>
      <w:r>
        <w:rPr>
          <w:rFonts w:ascii="仿宋_GB2312" w:hAnsi="仿宋_GB2312" w:eastAsia="仿宋_GB2312"/>
          <w:b/>
          <w:sz w:val="32"/>
        </w:rPr>
        <w:t>2024年度收入总计572.32万元，</w:t>
      </w:r>
      <w:r>
        <w:rPr>
          <w:rFonts w:ascii="仿宋_GB2312" w:hAnsi="仿宋_GB2312" w:eastAsia="仿宋_GB2312"/>
          <w:b w:val="0"/>
          <w:sz w:val="32"/>
        </w:rPr>
        <w:t>其中：本年收入合计572.32万元，使用非财政拨款结余（含专用结余）0.00万元，年初结转和结余0.00万元。</w:t>
      </w:r>
    </w:p>
    <w:p w14:paraId="5A72F450">
      <w:pPr>
        <w:spacing w:line="580" w:lineRule="exact"/>
        <w:ind w:firstLine="640"/>
        <w:jc w:val="both"/>
      </w:pPr>
      <w:r>
        <w:rPr>
          <w:rFonts w:ascii="仿宋_GB2312" w:hAnsi="仿宋_GB2312" w:eastAsia="仿宋_GB2312"/>
          <w:b/>
          <w:sz w:val="32"/>
        </w:rPr>
        <w:t>2024年度支出总计572.32万元，</w:t>
      </w:r>
      <w:r>
        <w:rPr>
          <w:rFonts w:ascii="仿宋_GB2312" w:hAnsi="仿宋_GB2312" w:eastAsia="仿宋_GB2312"/>
          <w:b w:val="0"/>
          <w:sz w:val="32"/>
        </w:rPr>
        <w:t>其中：本年支出合计572.32万元，结余分配0.00万元，年末结转和结余0.00万元。</w:t>
      </w:r>
    </w:p>
    <w:p w14:paraId="261F3323">
      <w:pPr>
        <w:spacing w:line="580" w:lineRule="exact"/>
        <w:ind w:firstLine="640"/>
        <w:jc w:val="both"/>
      </w:pPr>
      <w:r>
        <w:rPr>
          <w:rFonts w:ascii="仿宋_GB2312" w:hAnsi="仿宋_GB2312" w:eastAsia="仿宋_GB2312"/>
          <w:b w:val="0"/>
          <w:sz w:val="32"/>
        </w:rPr>
        <w:t>收入支出总体与上年相比，减少22.08万元，下降3.71%，主要原因是：2023年度有抚恤金发放，本年无此情况，导致人员经费减少；本年喀什人民群众来访接待中心运行保障项目资金较上年减少。</w:t>
      </w:r>
    </w:p>
    <w:p w14:paraId="09E8D579">
      <w:pPr>
        <w:spacing w:line="640" w:lineRule="exact"/>
        <w:ind w:firstLine="640"/>
        <w:jc w:val="both"/>
        <w:outlineLvl w:val="2"/>
      </w:pPr>
      <w:r>
        <w:rPr>
          <w:rFonts w:ascii="黑体" w:hAnsi="黑体" w:eastAsia="黑体"/>
          <w:sz w:val="32"/>
        </w:rPr>
        <w:t>二、收入决算情况说明</w:t>
      </w:r>
    </w:p>
    <w:p w14:paraId="6A11123B">
      <w:pPr>
        <w:spacing w:line="580" w:lineRule="exact"/>
        <w:ind w:firstLine="640"/>
        <w:jc w:val="both"/>
      </w:pPr>
      <w:r>
        <w:rPr>
          <w:rFonts w:ascii="仿宋_GB2312" w:hAnsi="仿宋_GB2312" w:eastAsia="仿宋_GB2312"/>
          <w:b/>
          <w:sz w:val="32"/>
        </w:rPr>
        <w:t>本年收入572.32万元，</w:t>
      </w:r>
      <w:r>
        <w:rPr>
          <w:rFonts w:ascii="仿宋_GB2312" w:hAnsi="仿宋_GB2312" w:eastAsia="仿宋_GB2312"/>
          <w:b w:val="0"/>
          <w:sz w:val="32"/>
        </w:rPr>
        <w:t>其中：财政拨款收入572.32万元，占100.00%；上级补助收入0.00万元，占0.00%；事业收入0.00万元，占0.00%；经营收入0.00万元，占0.00%；附属单位上缴收入0.00万元，占0.00%；其他收入0.00万元，占0.00%。</w:t>
      </w:r>
    </w:p>
    <w:p w14:paraId="04346989">
      <w:pPr>
        <w:spacing w:line="640" w:lineRule="exact"/>
        <w:ind w:firstLine="640"/>
        <w:jc w:val="both"/>
        <w:outlineLvl w:val="2"/>
      </w:pPr>
      <w:r>
        <w:rPr>
          <w:rFonts w:ascii="黑体" w:hAnsi="黑体" w:eastAsia="黑体"/>
          <w:sz w:val="32"/>
        </w:rPr>
        <w:t>三、支出决算情况说明</w:t>
      </w:r>
    </w:p>
    <w:p w14:paraId="76CE8C6F">
      <w:pPr>
        <w:spacing w:line="580" w:lineRule="exact"/>
        <w:ind w:firstLine="640"/>
        <w:jc w:val="both"/>
      </w:pPr>
      <w:r>
        <w:rPr>
          <w:rFonts w:ascii="仿宋_GB2312" w:hAnsi="仿宋_GB2312" w:eastAsia="仿宋_GB2312"/>
          <w:b/>
          <w:sz w:val="32"/>
        </w:rPr>
        <w:t>本年支出572.32万元，</w:t>
      </w:r>
      <w:r>
        <w:rPr>
          <w:rFonts w:ascii="仿宋_GB2312" w:hAnsi="仿宋_GB2312" w:eastAsia="仿宋_GB2312"/>
          <w:b w:val="0"/>
          <w:sz w:val="32"/>
        </w:rPr>
        <w:t>其中：基本支出508.08万元，占88.78%；项目支出64.24万元，占11.22%；上缴上级支出0.00万元，占0.00%；经营支出0.00万元，占0.00%；对附属单位补助支出0.00万元，占0.00%。</w:t>
      </w:r>
    </w:p>
    <w:p w14:paraId="5E5391B1">
      <w:pPr>
        <w:spacing w:line="640" w:lineRule="exact"/>
        <w:ind w:firstLine="640"/>
        <w:jc w:val="both"/>
        <w:outlineLvl w:val="2"/>
      </w:pPr>
      <w:r>
        <w:rPr>
          <w:rFonts w:ascii="黑体" w:hAnsi="黑体" w:eastAsia="黑体"/>
          <w:sz w:val="32"/>
        </w:rPr>
        <w:t>四、财政拨款收入支出决算总体情况说明</w:t>
      </w:r>
    </w:p>
    <w:p w14:paraId="7AC90596">
      <w:pPr>
        <w:spacing w:line="580" w:lineRule="exact"/>
        <w:ind w:firstLine="640"/>
        <w:jc w:val="both"/>
      </w:pPr>
      <w:r>
        <w:rPr>
          <w:rFonts w:ascii="仿宋_GB2312" w:hAnsi="仿宋_GB2312" w:eastAsia="仿宋_GB2312"/>
          <w:b/>
          <w:sz w:val="32"/>
        </w:rPr>
        <w:t>2024年度财政拨款收入总计572.32万元，</w:t>
      </w:r>
      <w:r>
        <w:rPr>
          <w:rFonts w:ascii="仿宋_GB2312" w:hAnsi="仿宋_GB2312" w:eastAsia="仿宋_GB2312"/>
          <w:b w:val="0"/>
          <w:sz w:val="32"/>
        </w:rPr>
        <w:t>其中：年初财政拨款结转和结余0.00万元，本年财政拨款收入572.32万元。</w:t>
      </w:r>
      <w:r>
        <w:rPr>
          <w:rFonts w:ascii="仿宋_GB2312" w:hAnsi="仿宋_GB2312" w:eastAsia="仿宋_GB2312"/>
          <w:b/>
          <w:sz w:val="32"/>
        </w:rPr>
        <w:t>财政拨款支出总计572.32万元，</w:t>
      </w:r>
      <w:r>
        <w:rPr>
          <w:rFonts w:ascii="仿宋_GB2312" w:hAnsi="仿宋_GB2312" w:eastAsia="仿宋_GB2312"/>
          <w:b w:val="0"/>
          <w:sz w:val="32"/>
        </w:rPr>
        <w:t>其中：年末财政拨款结转和结余0.00万元，本年财政拨款支出572.32万元。</w:t>
      </w:r>
    </w:p>
    <w:p w14:paraId="7E727EC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减少12.23万元，下降2.09%，主要原因是：2023年度有抚恤金发放，本年无此情况，导致人员经费减少；本年喀什人民群众来访接待中心运行保障项目资金较上年减少。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年初预算数519.09万元，决算数572.32万元，预决算差异率10.25%，主要原因是：本年在职人员增加2名，年中追加人员经费及人员工资、社保、公积金调增部分资金，导致预决算存在差异。</w:t>
      </w:r>
    </w:p>
    <w:p w14:paraId="3EDE1007">
      <w:pPr>
        <w:spacing w:line="640" w:lineRule="exact"/>
        <w:ind w:firstLine="640"/>
        <w:jc w:val="both"/>
        <w:outlineLvl w:val="2"/>
      </w:pPr>
      <w:r>
        <w:rPr>
          <w:rFonts w:ascii="黑体" w:hAnsi="黑体" w:eastAsia="黑体"/>
          <w:sz w:val="32"/>
        </w:rPr>
        <w:t>五、一般公共预算财政拨款支出决算情况说明</w:t>
      </w:r>
    </w:p>
    <w:p w14:paraId="47C37B82">
      <w:pPr>
        <w:spacing w:line="640" w:lineRule="exact"/>
        <w:ind w:firstLine="640"/>
        <w:jc w:val="both"/>
        <w:outlineLvl w:val="3"/>
      </w:pPr>
      <w:r>
        <w:rPr>
          <w:rFonts w:ascii="楷体_GB2312" w:hAnsi="楷体_GB2312" w:eastAsia="楷体_GB2312"/>
          <w:b/>
          <w:sz w:val="32"/>
        </w:rPr>
        <w:t>（一）一般公共预算财政拨款支出决算总体情况</w:t>
      </w:r>
    </w:p>
    <w:p w14:paraId="257F4F34">
      <w:pPr>
        <w:spacing w:line="580" w:lineRule="exact"/>
        <w:ind w:firstLine="640"/>
        <w:jc w:val="both"/>
      </w:pPr>
      <w:r>
        <w:rPr>
          <w:rFonts w:ascii="仿宋_GB2312" w:hAnsi="仿宋_GB2312" w:eastAsia="仿宋_GB2312"/>
          <w:b/>
          <w:sz w:val="32"/>
        </w:rPr>
        <w:t>2024年度一般公共预算财政拨款支出572.32万元，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减少12.23万元，下降2.09%，主要原因是：2023年度有抚恤金发放，本年无此情况，导致人员经费减少；本年喀什人民群众来访接待中心运行保障项目资金较上年减少。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年初预算数519.09万元，决算数572.32万元，预决算差异率10.25%，主要原因是：本年在职人员增加2名，年中追加人员经费及人员工资、社保、公积金调增部分资金，导致预决算存在差异。</w:t>
      </w:r>
    </w:p>
    <w:p w14:paraId="3417A7E5">
      <w:pPr>
        <w:spacing w:line="640" w:lineRule="exact"/>
        <w:ind w:firstLine="640"/>
        <w:jc w:val="both"/>
        <w:outlineLvl w:val="3"/>
      </w:pPr>
      <w:r>
        <w:rPr>
          <w:rFonts w:ascii="楷体_GB2312" w:hAnsi="楷体_GB2312" w:eastAsia="楷体_GB2312"/>
          <w:b/>
          <w:sz w:val="32"/>
        </w:rPr>
        <w:t>（二）一般公共预算财政拨款支出决算结构情况</w:t>
      </w:r>
    </w:p>
    <w:p w14:paraId="07343C83">
      <w:pPr>
        <w:spacing w:line="580" w:lineRule="exact"/>
        <w:ind w:firstLine="640"/>
        <w:jc w:val="both"/>
      </w:pPr>
      <w:r>
        <w:rPr>
          <w:rFonts w:ascii="仿宋_GB2312" w:hAnsi="仿宋_GB2312" w:eastAsia="仿宋_GB2312"/>
          <w:b w:val="0"/>
          <w:sz w:val="32"/>
        </w:rPr>
        <w:t>1.一般公共服务支出(类)449.25万元,占78.50%。</w:t>
      </w:r>
    </w:p>
    <w:p w14:paraId="00547972">
      <w:pPr>
        <w:spacing w:line="580" w:lineRule="exact"/>
        <w:ind w:firstLine="640"/>
        <w:jc w:val="both"/>
      </w:pPr>
      <w:r>
        <w:rPr>
          <w:rFonts w:ascii="仿宋_GB2312" w:hAnsi="仿宋_GB2312" w:eastAsia="仿宋_GB2312"/>
          <w:b w:val="0"/>
          <w:sz w:val="32"/>
        </w:rPr>
        <w:t>2.社会保障和就业支出(类)67.21万元,占11.74%。</w:t>
      </w:r>
    </w:p>
    <w:p w14:paraId="0181D193">
      <w:pPr>
        <w:spacing w:line="580" w:lineRule="exact"/>
        <w:ind w:firstLine="640"/>
        <w:jc w:val="both"/>
      </w:pPr>
      <w:r>
        <w:rPr>
          <w:rFonts w:ascii="仿宋_GB2312" w:hAnsi="仿宋_GB2312" w:eastAsia="仿宋_GB2312"/>
          <w:b w:val="0"/>
          <w:sz w:val="32"/>
        </w:rPr>
        <w:t>3.卫生健康支出(类)21.49万元,占3.75%。</w:t>
      </w:r>
    </w:p>
    <w:p w14:paraId="307CCD74">
      <w:pPr>
        <w:spacing w:line="580" w:lineRule="exact"/>
        <w:ind w:firstLine="640"/>
        <w:jc w:val="both"/>
      </w:pPr>
      <w:r>
        <w:rPr>
          <w:rFonts w:ascii="仿宋_GB2312" w:hAnsi="仿宋_GB2312" w:eastAsia="仿宋_GB2312"/>
          <w:b w:val="0"/>
          <w:sz w:val="32"/>
        </w:rPr>
        <w:t>4.住房保障支出(类)34.37万元,占6.01%。</w:t>
      </w:r>
    </w:p>
    <w:p w14:paraId="1C531FC5">
      <w:pPr>
        <w:spacing w:line="640" w:lineRule="exact"/>
        <w:ind w:firstLine="640"/>
        <w:jc w:val="both"/>
        <w:outlineLvl w:val="3"/>
      </w:pPr>
      <w:r>
        <w:rPr>
          <w:rFonts w:ascii="楷体_GB2312" w:hAnsi="楷体_GB2312" w:eastAsia="楷体_GB2312"/>
          <w:b/>
          <w:sz w:val="32"/>
        </w:rPr>
        <w:t>（三）一般公共预算财政拨款支出决算具体情况</w:t>
      </w:r>
    </w:p>
    <w:p w14:paraId="1F048A74">
      <w:pPr>
        <w:spacing w:line="580" w:lineRule="exact"/>
        <w:ind w:firstLine="640"/>
        <w:jc w:val="both"/>
      </w:pPr>
      <w:r>
        <w:rPr>
          <w:rFonts w:ascii="仿宋_GB2312" w:hAnsi="仿宋_GB2312" w:eastAsia="仿宋_GB2312"/>
          <w:b w:val="0"/>
          <w:sz w:val="32"/>
        </w:rPr>
        <w:t>1.一般公共服务支出(类)政府办公厅（室）及相关机构事务(款)信访事务(项):支出决算数为0.00万元，比上年决算减少429.91万元，下降100.00%,主要原因是：本年功能科目调整，由信访事务科目调整</w:t>
      </w:r>
      <w:r>
        <w:rPr>
          <w:rFonts w:hint="eastAsia" w:ascii="仿宋_GB2312" w:hAnsi="仿宋_GB2312" w:eastAsia="仿宋_GB2312"/>
          <w:b w:val="0"/>
          <w:sz w:val="32"/>
          <w:lang w:eastAsia="zh-CN"/>
        </w:rPr>
        <w:t>至信访</w:t>
      </w:r>
      <w:r>
        <w:rPr>
          <w:rFonts w:ascii="仿宋_GB2312" w:hAnsi="仿宋_GB2312" w:eastAsia="仿宋_GB2312"/>
          <w:b w:val="0"/>
          <w:sz w:val="32"/>
        </w:rPr>
        <w:t>业务，导致经费减少。</w:t>
      </w:r>
    </w:p>
    <w:p w14:paraId="2D961D3D">
      <w:pPr>
        <w:spacing w:line="580" w:lineRule="exact"/>
        <w:ind w:firstLine="640"/>
        <w:jc w:val="both"/>
      </w:pPr>
      <w:r>
        <w:rPr>
          <w:rFonts w:ascii="仿宋_GB2312" w:hAnsi="仿宋_GB2312" w:eastAsia="仿宋_GB2312"/>
          <w:b w:val="0"/>
          <w:sz w:val="32"/>
        </w:rPr>
        <w:t>2.一般公共服务支出(类)信访事务(款)信访业务(项):支出决算数为448.62万元，比上年决算增加448.62万元，增长100.00%,主要原因是：本年功能科目调整，由信访事务科目调整至此科目，导致经费增加。</w:t>
      </w:r>
    </w:p>
    <w:p w14:paraId="00BAC9D1">
      <w:pPr>
        <w:spacing w:line="580" w:lineRule="exact"/>
        <w:ind w:firstLine="640"/>
        <w:jc w:val="both"/>
      </w:pPr>
      <w:r>
        <w:rPr>
          <w:rFonts w:ascii="仿宋_GB2312" w:hAnsi="仿宋_GB2312" w:eastAsia="仿宋_GB2312"/>
          <w:b w:val="0"/>
          <w:sz w:val="32"/>
        </w:rPr>
        <w:t>3.一般公共服务支出(类)信访事务(款)其他信访事务支出(项):支出决算数为0.63万元，比上年决算增加0.63万元，增长100.00%,主要原因是：单位本年度独立核算，本科目新增专项项目经费。</w:t>
      </w:r>
    </w:p>
    <w:p w14:paraId="6E2F718E">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4.社会保障和就业支出(类)行政事业单位养老支出(款)行政单位离退休(项):支出决算数为10.92万元，比上年决算增加2.45万元，增长28.93%,主要原因是：本年退休人员增加，退休费支出增加。</w:t>
      </w:r>
    </w:p>
    <w:p w14:paraId="4B117E6D">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41.48万元，比上年决算增加3.53万元，增长9.30%,主要原因是：本年在职人员增加，养老保险缴费较上年增加。</w:t>
      </w:r>
    </w:p>
    <w:p w14:paraId="7CA6CD91">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14.81万元，比上年决算减少14.45万元，下降49.38%,主要原因是：本年年底退休人员的职业年金还未做实，相关职业年金费用未计入当年，这部分在2025年做实，所以导致2024年职业年金缴费较上年减少。</w:t>
      </w:r>
    </w:p>
    <w:p w14:paraId="66615FAF">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7.社会保障和就业支出(类)抚恤(款)死亡抚恤(项):支出决算数为0.00万元，比上年决算减少26.87万元，下降100.00%,主要原因是：本年无新增死亡人员，死亡抚恤支出较上年减少。</w:t>
      </w:r>
    </w:p>
    <w:p w14:paraId="2C318F0C">
      <w:pPr>
        <w:spacing w:line="580" w:lineRule="exact"/>
        <w:ind w:firstLine="640"/>
        <w:jc w:val="both"/>
      </w:pPr>
      <w:r>
        <w:rPr>
          <w:rFonts w:ascii="仿宋_GB2312" w:hAnsi="仿宋_GB2312" w:eastAsia="仿宋_GB2312"/>
          <w:b w:val="0"/>
          <w:sz w:val="32"/>
        </w:rPr>
        <w:t>8.卫生健康支出(类)行政事业单位医疗(款)行政单位医疗(项):支出决算数为17.63万元，比上年决算增加0.25万元，增长1.44%,主要原因是：本年在职人员增加，行政单位医疗支出较上年增加。</w:t>
      </w:r>
    </w:p>
    <w:p w14:paraId="313C9F4B">
      <w:pPr>
        <w:spacing w:line="580" w:lineRule="exact"/>
        <w:ind w:firstLine="640"/>
        <w:jc w:val="both"/>
      </w:pPr>
      <w:r>
        <w:rPr>
          <w:rFonts w:ascii="仿宋_GB2312" w:hAnsi="仿宋_GB2312" w:eastAsia="仿宋_GB2312"/>
          <w:b w:val="0"/>
          <w:sz w:val="32"/>
        </w:rPr>
        <w:t>9.卫生健康支出(类)行政事业单位医疗(款)公务员医疗补助(项):支出决算数为3.86万元，比上年决算减少0.18万元，下降4.46%,主要原因是：本年有公务员在职转退休，公务员医疗补助较上年减少。</w:t>
      </w:r>
    </w:p>
    <w:p w14:paraId="7446EEFF">
      <w:pPr>
        <w:spacing w:line="580" w:lineRule="exact"/>
        <w:ind w:firstLine="640"/>
        <w:jc w:val="both"/>
      </w:pPr>
      <w:r>
        <w:rPr>
          <w:rFonts w:ascii="仿宋_GB2312" w:hAnsi="仿宋_GB2312" w:eastAsia="仿宋_GB2312"/>
          <w:b w:val="0"/>
          <w:sz w:val="32"/>
        </w:rPr>
        <w:t>10.住房保障支出(类)住房改革支出(款)住房公积金(项):支出决算数为34.37万元，比上年决算增加4.39万元，增长14.64%,主要原因是：本年在职人员增加，住房公积金支出较上年增加。</w:t>
      </w:r>
    </w:p>
    <w:p w14:paraId="53577C2A">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11.其他支出(类)其他支出(款)其他支出(项):支出决算数为0.00万元，比上年决算减少0.70万元，下降100.00%,主要原因是：</w:t>
      </w:r>
      <w:r>
        <w:rPr>
          <w:rFonts w:hint="eastAsia" w:ascii="仿宋_GB2312" w:hAnsi="仿宋_GB2312" w:eastAsia="仿宋_GB2312"/>
          <w:b w:val="0"/>
          <w:sz w:val="32"/>
        </w:rPr>
        <w:t>本年科目调整，专项项目经费上年在其他支出科目列支，本年调整至</w:t>
      </w:r>
      <w:r>
        <w:rPr>
          <w:rFonts w:hint="eastAsia" w:ascii="仿宋_GB2312" w:hAnsi="仿宋_GB2312" w:eastAsia="仿宋_GB2312"/>
          <w:b w:val="0"/>
          <w:sz w:val="32"/>
          <w:lang w:val="en-US" w:eastAsia="zh-CN"/>
        </w:rPr>
        <w:t>主</w:t>
      </w:r>
      <w:r>
        <w:rPr>
          <w:rFonts w:hint="eastAsia" w:ascii="仿宋_GB2312" w:hAnsi="仿宋_GB2312" w:eastAsia="仿宋_GB2312"/>
          <w:b w:val="0"/>
          <w:sz w:val="32"/>
        </w:rPr>
        <w:t>科目列支，导致相关经费减少</w:t>
      </w:r>
    </w:p>
    <w:p w14:paraId="6A1C55CB">
      <w:pPr>
        <w:spacing w:line="640" w:lineRule="exact"/>
        <w:ind w:firstLine="640"/>
        <w:jc w:val="both"/>
        <w:outlineLvl w:val="2"/>
      </w:pPr>
      <w:r>
        <w:rPr>
          <w:rFonts w:ascii="黑体" w:hAnsi="黑体" w:eastAsia="黑体"/>
          <w:sz w:val="32"/>
        </w:rPr>
        <w:t>六、一般公共预算财政拨款基本支出决算情况说明</w:t>
      </w:r>
    </w:p>
    <w:p w14:paraId="448ED77E">
      <w:pPr>
        <w:spacing w:line="580" w:lineRule="exact"/>
        <w:ind w:firstLine="640"/>
        <w:jc w:val="both"/>
      </w:pPr>
      <w:r>
        <w:rPr>
          <w:rFonts w:ascii="仿宋_GB2312" w:hAnsi="仿宋_GB2312" w:eastAsia="仿宋_GB2312"/>
          <w:b w:val="0"/>
          <w:sz w:val="32"/>
        </w:rPr>
        <w:t>2024年度一般公共预算财政拨款基本支出508.08万元，其中：</w:t>
      </w:r>
      <w:r>
        <w:rPr>
          <w:rFonts w:ascii="仿宋_GB2312" w:hAnsi="仿宋_GB2312" w:eastAsia="仿宋_GB2312"/>
          <w:b/>
          <w:sz w:val="32"/>
        </w:rPr>
        <w:t>人员经费481.87万元，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14:paraId="407938B9">
      <w:pPr>
        <w:spacing w:line="580" w:lineRule="exact"/>
        <w:ind w:firstLine="640"/>
        <w:jc w:val="both"/>
      </w:pPr>
      <w:r>
        <w:rPr>
          <w:rFonts w:ascii="仿宋_GB2312" w:hAnsi="仿宋_GB2312" w:eastAsia="仿宋_GB2312"/>
          <w:b/>
          <w:sz w:val="32"/>
        </w:rPr>
        <w:t>公用经费26.21万元，</w:t>
      </w:r>
      <w:r>
        <w:rPr>
          <w:rFonts w:ascii="仿宋_GB2312" w:hAnsi="仿宋_GB2312" w:eastAsia="仿宋_GB2312"/>
          <w:b w:val="0"/>
          <w:sz w:val="32"/>
        </w:rPr>
        <w:t>包括：办公费、手续费、水费、电费、邮电费、取暖费、专用材料费、工会经费、公务用车运行维护费、其他交通费用、其他商品和服务支出。</w:t>
      </w:r>
    </w:p>
    <w:p w14:paraId="4BE9C9A3">
      <w:pPr>
        <w:spacing w:line="640" w:lineRule="exact"/>
        <w:ind w:firstLine="640"/>
        <w:jc w:val="both"/>
        <w:outlineLvl w:val="2"/>
      </w:pPr>
      <w:r>
        <w:rPr>
          <w:rFonts w:ascii="黑体" w:hAnsi="黑体" w:eastAsia="黑体"/>
          <w:sz w:val="32"/>
        </w:rPr>
        <w:t>七、政府性基金预算财政拨款收入支出决算情况说明</w:t>
      </w:r>
    </w:p>
    <w:p w14:paraId="37A41E01">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0853B533">
      <w:pPr>
        <w:spacing w:line="640" w:lineRule="exact"/>
        <w:ind w:firstLine="640"/>
        <w:jc w:val="both"/>
        <w:outlineLvl w:val="2"/>
      </w:pPr>
      <w:r>
        <w:rPr>
          <w:rFonts w:ascii="黑体" w:hAnsi="黑体" w:eastAsia="黑体"/>
          <w:sz w:val="32"/>
        </w:rPr>
        <w:t>八、国有资本经营预算财政拨款收入支出决算情况说明</w:t>
      </w:r>
    </w:p>
    <w:p w14:paraId="2D4FF5D5">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29DA15CA">
      <w:pPr>
        <w:spacing w:line="640" w:lineRule="exact"/>
        <w:ind w:firstLine="640"/>
        <w:jc w:val="both"/>
        <w:outlineLvl w:val="2"/>
      </w:pPr>
      <w:r>
        <w:rPr>
          <w:rFonts w:ascii="黑体" w:hAnsi="黑体" w:eastAsia="黑体"/>
          <w:sz w:val="32"/>
        </w:rPr>
        <w:t>九、财政拨款“三公”经费支出决算情况说明</w:t>
      </w:r>
    </w:p>
    <w:p w14:paraId="3A1C6D45">
      <w:pPr>
        <w:spacing w:line="580" w:lineRule="exact"/>
        <w:ind w:firstLine="640"/>
        <w:jc w:val="both"/>
      </w:pPr>
      <w:r>
        <w:rPr>
          <w:rFonts w:ascii="仿宋_GB2312" w:hAnsi="仿宋_GB2312" w:eastAsia="仿宋_GB2312"/>
          <w:b/>
          <w:sz w:val="32"/>
        </w:rPr>
        <w:t>2024年度财政拨款“三公”经费支出4.20万元，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4.20万元，占100.00%，比上年增加0.00万元，增长0.00%，主要原因是：公务用车运行维护费与上年一致无变化。公务接待费支出0.00万元，占0.00%，比上年增加0.00万元，增长0.00%，主要原因是：2023年与2024年均未安排公务接待费支出。</w:t>
      </w:r>
    </w:p>
    <w:p w14:paraId="5676ADF7">
      <w:pPr>
        <w:spacing w:line="580" w:lineRule="exact"/>
        <w:ind w:firstLine="640"/>
        <w:jc w:val="both"/>
      </w:pPr>
      <w:r>
        <w:rPr>
          <w:rFonts w:ascii="仿宋_GB2312" w:hAnsi="仿宋_GB2312" w:eastAsia="仿宋_GB2312"/>
          <w:b/>
          <w:sz w:val="32"/>
        </w:rPr>
        <w:t>具体情况如下：</w:t>
      </w:r>
    </w:p>
    <w:p w14:paraId="47F3BC87">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48CC3C7">
      <w:pPr>
        <w:spacing w:line="580" w:lineRule="exact"/>
        <w:ind w:firstLine="640"/>
        <w:jc w:val="both"/>
      </w:pPr>
      <w:r>
        <w:rPr>
          <w:rFonts w:ascii="仿宋_GB2312" w:hAnsi="仿宋_GB2312" w:eastAsia="仿宋_GB2312"/>
          <w:b w:val="0"/>
          <w:sz w:val="32"/>
        </w:rPr>
        <w:t>公务用车购置及运行维护费4.20万元，其中：公务用车购置费0.00万元，公务用车运行维护费4.20万元。公务用车运行维护费开支内容包括车辆加油费、维修费、保险费、审车费、过路费等。公务用车购置数0辆，公务用车保有量2辆。国有资产占用情况中固定资产车辆2辆，与公务用车保有量差异原因是：本部门固定资产车辆与公务用车保有量一致无差异。</w:t>
      </w:r>
    </w:p>
    <w:p w14:paraId="67910564">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117FA13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4.20万元，决算数4.20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4.20万元，决算数4.20万元，预决算差异率0.00%，主要原因是：严格按照预算执行，预决算无差异。公务接待费全年预算数0.00万元，决算数0.00万元，预决算差异率0.00%，主要原因是：本部门无公务接待费。</w:t>
      </w:r>
    </w:p>
    <w:p w14:paraId="35B8FB88">
      <w:pPr>
        <w:spacing w:line="640" w:lineRule="exact"/>
        <w:ind w:firstLine="640"/>
        <w:jc w:val="both"/>
        <w:outlineLvl w:val="2"/>
      </w:pPr>
      <w:r>
        <w:rPr>
          <w:rFonts w:ascii="黑体" w:hAnsi="黑体" w:eastAsia="黑体"/>
          <w:sz w:val="32"/>
        </w:rPr>
        <w:t>十、其他重要事项的情况说明</w:t>
      </w:r>
    </w:p>
    <w:p w14:paraId="1EB49BFF">
      <w:pPr>
        <w:spacing w:line="640" w:lineRule="exact"/>
        <w:ind w:firstLine="640"/>
        <w:jc w:val="both"/>
        <w:outlineLvl w:val="3"/>
      </w:pPr>
      <w:r>
        <w:rPr>
          <w:rFonts w:ascii="楷体_GB2312" w:hAnsi="楷体_GB2312" w:eastAsia="楷体_GB2312"/>
          <w:b/>
          <w:sz w:val="32"/>
        </w:rPr>
        <w:t>（一）机关运行经费及公用经费支出情况</w:t>
      </w:r>
    </w:p>
    <w:p w14:paraId="415EF1F4">
      <w:pPr>
        <w:spacing w:line="580" w:lineRule="exact"/>
        <w:ind w:firstLine="640"/>
        <w:jc w:val="both"/>
      </w:pPr>
      <w:r>
        <w:rPr>
          <w:rFonts w:ascii="仿宋_GB2312" w:hAnsi="仿宋_GB2312" w:eastAsia="仿宋_GB2312"/>
          <w:b w:val="0"/>
          <w:sz w:val="32"/>
        </w:rPr>
        <w:t>2024年度新疆维吾尔自治区喀什地区信访局（行政单位和参照公务员法管理事业单位）机关运行经费支出26.21万元，比上年增加2.78万元，增长11.87%，主要原因是：本年手续费、水费、电费、暖气费增加，导致机关运行经费增加。</w:t>
      </w:r>
    </w:p>
    <w:p w14:paraId="79249B54">
      <w:pPr>
        <w:spacing w:line="640" w:lineRule="exact"/>
        <w:ind w:firstLine="640"/>
        <w:jc w:val="both"/>
        <w:outlineLvl w:val="3"/>
      </w:pPr>
      <w:r>
        <w:rPr>
          <w:rFonts w:ascii="楷体_GB2312" w:hAnsi="楷体_GB2312" w:eastAsia="楷体_GB2312"/>
          <w:b/>
          <w:sz w:val="32"/>
        </w:rPr>
        <w:t>（二）政府采购情况</w:t>
      </w:r>
    </w:p>
    <w:p w14:paraId="4C8F7604">
      <w:pPr>
        <w:spacing w:line="580" w:lineRule="exact"/>
        <w:ind w:firstLine="640"/>
        <w:jc w:val="both"/>
      </w:pPr>
      <w:r>
        <w:rPr>
          <w:rFonts w:ascii="仿宋_GB2312" w:hAnsi="仿宋_GB2312" w:eastAsia="仿宋_GB2312"/>
          <w:b w:val="0"/>
          <w:sz w:val="32"/>
        </w:rPr>
        <w:t>2024年度政府采购支出总额38.00万元，其中：政府采购货物支出16.54万元、政府采购工程支出0.00万元、政府采购服务支出21.47万元。</w:t>
      </w:r>
    </w:p>
    <w:p w14:paraId="621FE25D">
      <w:pPr>
        <w:spacing w:line="580" w:lineRule="exact"/>
        <w:ind w:firstLine="640"/>
        <w:jc w:val="both"/>
      </w:pPr>
      <w:r>
        <w:rPr>
          <w:rFonts w:ascii="仿宋_GB2312" w:hAnsi="仿宋_GB2312" w:eastAsia="仿宋_GB2312"/>
          <w:b w:val="0"/>
          <w:sz w:val="32"/>
        </w:rPr>
        <w:t>授予中小企业合同金额38.00万元，占政府采购支出总额的100.00%，其中：授予小微企业合同金额38.00万元，占政府采购支出总额的100.00%。</w:t>
      </w:r>
    </w:p>
    <w:p w14:paraId="0E22F656">
      <w:pPr>
        <w:spacing w:line="640" w:lineRule="exact"/>
        <w:ind w:firstLine="640"/>
        <w:jc w:val="both"/>
        <w:outlineLvl w:val="3"/>
      </w:pPr>
      <w:r>
        <w:rPr>
          <w:rFonts w:ascii="楷体_GB2312" w:hAnsi="楷体_GB2312" w:eastAsia="楷体_GB2312"/>
          <w:b/>
          <w:sz w:val="32"/>
        </w:rPr>
        <w:t>（三）国有资产占用情况说明</w:t>
      </w:r>
    </w:p>
    <w:p w14:paraId="6F06FEAC">
      <w:pPr>
        <w:spacing w:line="580" w:lineRule="exact"/>
        <w:ind w:firstLine="640"/>
        <w:jc w:val="both"/>
      </w:pPr>
      <w:r>
        <w:rPr>
          <w:rFonts w:ascii="仿宋_GB2312" w:hAnsi="仿宋_GB2312" w:eastAsia="仿宋_GB2312"/>
          <w:b w:val="0"/>
          <w:sz w:val="32"/>
        </w:rPr>
        <w:t>截至2024年12月31日，房屋0.00平方米，价值0.00万元。车辆2辆，价值39.70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7FE5120C">
      <w:pPr>
        <w:spacing w:line="640" w:lineRule="exact"/>
        <w:ind w:firstLine="640"/>
        <w:jc w:val="both"/>
        <w:outlineLvl w:val="2"/>
      </w:pPr>
      <w:r>
        <w:rPr>
          <w:rFonts w:ascii="黑体" w:hAnsi="黑体" w:eastAsia="黑体"/>
          <w:sz w:val="32"/>
        </w:rPr>
        <w:t>十一、预算绩效的情况说明</w:t>
      </w:r>
    </w:p>
    <w:p w14:paraId="5C5F487F">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根据预算绩效管理要求，本部门2024年度预算绩效管理形成整体支出绩效自评表1个，全年预算总额578.61万元，实际执行总额572.32万元；预算绩效评价项目</w:t>
      </w:r>
      <w:r>
        <w:rPr>
          <w:rFonts w:hint="eastAsia" w:ascii="仿宋_GB2312" w:hAnsi="仿宋_GB2312" w:eastAsia="仿宋_GB2312"/>
          <w:b w:val="0"/>
          <w:sz w:val="32"/>
          <w:lang w:val="en-US" w:eastAsia="zh-CN"/>
        </w:rPr>
        <w:t>8</w:t>
      </w:r>
      <w:r>
        <w:rPr>
          <w:rFonts w:ascii="仿宋_GB2312" w:hAnsi="仿宋_GB2312" w:eastAsia="仿宋_GB2312"/>
          <w:b w:val="0"/>
          <w:sz w:val="32"/>
        </w:rPr>
        <w:t>个，全年预算数</w:t>
      </w:r>
      <w:r>
        <w:rPr>
          <w:rFonts w:hint="eastAsia" w:ascii="仿宋_GB2312" w:hAnsi="仿宋_GB2312" w:eastAsia="仿宋_GB2312"/>
          <w:b w:val="0"/>
          <w:sz w:val="32"/>
        </w:rPr>
        <w:t>67.5</w:t>
      </w:r>
      <w:r>
        <w:rPr>
          <w:rFonts w:ascii="仿宋_GB2312" w:hAnsi="仿宋_GB2312" w:eastAsia="仿宋_GB2312"/>
          <w:b w:val="0"/>
          <w:sz w:val="32"/>
        </w:rPr>
        <w:t>万元，全年执行数</w:t>
      </w:r>
      <w:r>
        <w:rPr>
          <w:rFonts w:hint="eastAsia" w:ascii="仿宋_GB2312" w:hAnsi="仿宋_GB2312" w:eastAsia="仿宋_GB2312"/>
          <w:b w:val="0"/>
          <w:sz w:val="32"/>
        </w:rPr>
        <w:t>64.24</w:t>
      </w:r>
      <w:r>
        <w:rPr>
          <w:rFonts w:ascii="仿宋_GB2312" w:hAnsi="仿宋_GB2312" w:eastAsia="仿宋_GB2312"/>
          <w:b w:val="0"/>
          <w:sz w:val="32"/>
        </w:rPr>
        <w:t>万元。预算绩效管理取得的成效：通过加强预算绩效动态管理，及时跟踪项目进度，可对项目实施中存在的具体问题及时采取纠偏措施，从而进一步提高了项目预算绩效的评价质量，保障了项目实施成效，确保项目发挥最大的效益。发现的问题及原因：虽然能够严格执行《</w:t>
      </w:r>
      <w:r>
        <w:rPr>
          <w:rFonts w:hint="eastAsia" w:ascii="仿宋_GB2312" w:hAnsi="仿宋_GB2312" w:eastAsia="仿宋_GB2312"/>
          <w:b w:val="0"/>
          <w:sz w:val="32"/>
          <w:lang w:eastAsia="zh-CN"/>
        </w:rPr>
        <w:t>中华人民共和国政府采购法</w:t>
      </w:r>
      <w:r>
        <w:rPr>
          <w:rFonts w:ascii="仿宋_GB2312" w:hAnsi="仿宋_GB2312" w:eastAsia="仿宋_GB2312"/>
          <w:b w:val="0"/>
          <w:sz w:val="32"/>
        </w:rPr>
        <w:t>》相关管理规定，对购买的设备进行政府采购，按照政府采购流程采购设备，但因对采购政策了解不够全面，造成对采购的资产限额，造成资金申请预算不够严格，在今后的工作中，严格按照资产限额，购买相关设备，准确做好预算，并严格实施。下一步改进措施：通过绩效管理，发现实施中存在购买资产限额问题，以后进一步加强对政府采购的管理，及时掌握与之相关的信息，减少成本，使资金效益最大化。具体附部门整体支出绩效自评表，项目支出绩效自评表。</w:t>
      </w:r>
    </w:p>
    <w:p w14:paraId="4768C41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AC497C3">
        <w:tblPrEx>
          <w:tblCellMar>
            <w:top w:w="0" w:type="dxa"/>
            <w:left w:w="108" w:type="dxa"/>
            <w:bottom w:w="0" w:type="dxa"/>
            <w:right w:w="108" w:type="dxa"/>
          </w:tblCellMar>
        </w:tblPrEx>
        <w:tc>
          <w:tcPr>
            <w:tcW w:w="8847" w:type="dxa"/>
            <w:gridSpan w:val="9"/>
            <w:vAlign w:val="center"/>
          </w:tcPr>
          <w:p w14:paraId="013E1752">
            <w:pPr>
              <w:jc w:val="center"/>
            </w:pPr>
            <w:r>
              <w:rPr>
                <w:rFonts w:ascii="宋体" w:hAnsi="宋体" w:eastAsia="宋体"/>
                <w:sz w:val="24"/>
              </w:rPr>
              <w:t>部门整体支出绩效自评表</w:t>
            </w:r>
          </w:p>
        </w:tc>
      </w:tr>
      <w:tr w14:paraId="7E33FD25">
        <w:tblPrEx>
          <w:tblCellMar>
            <w:top w:w="0" w:type="dxa"/>
            <w:left w:w="108" w:type="dxa"/>
            <w:bottom w:w="0" w:type="dxa"/>
            <w:right w:w="108" w:type="dxa"/>
          </w:tblCellMar>
        </w:tblPrEx>
        <w:tc>
          <w:tcPr>
            <w:tcW w:w="8847" w:type="dxa"/>
            <w:gridSpan w:val="9"/>
            <w:vAlign w:val="center"/>
          </w:tcPr>
          <w:p w14:paraId="21209760">
            <w:pPr>
              <w:jc w:val="center"/>
            </w:pPr>
            <w:r>
              <w:rPr>
                <w:rFonts w:ascii="宋体" w:hAnsi="宋体" w:eastAsia="宋体"/>
                <w:sz w:val="24"/>
              </w:rPr>
              <w:t>（2024年度）</w:t>
            </w:r>
          </w:p>
        </w:tc>
      </w:tr>
      <w:tr w14:paraId="0250F57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98A0C">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9111117">
            <w:pPr>
              <w:jc w:val="center"/>
            </w:pPr>
            <w:r>
              <w:rPr>
                <w:rFonts w:ascii="宋体" w:hAnsi="宋体" w:eastAsia="宋体"/>
                <w:sz w:val="16"/>
              </w:rPr>
              <w:t>新疆维吾尔自治区喀什地区信访局</w:t>
            </w:r>
          </w:p>
        </w:tc>
      </w:tr>
      <w:tr w14:paraId="5C26941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34F3A">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6B8D7">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63FE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FF6E1">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A81B6">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DD9A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0862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96379">
            <w:pPr>
              <w:jc w:val="center"/>
            </w:pPr>
            <w:r>
              <w:rPr>
                <w:rFonts w:ascii="宋体" w:hAnsi="宋体" w:eastAsia="宋体"/>
                <w:sz w:val="16"/>
              </w:rPr>
              <w:t>得分</w:t>
            </w:r>
          </w:p>
        </w:tc>
      </w:tr>
      <w:tr w14:paraId="3992D6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283C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D480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561F0">
            <w:pPr>
              <w:jc w:val="center"/>
            </w:pPr>
            <w:r>
              <w:rPr>
                <w:rFonts w:ascii="宋体" w:hAnsi="宋体" w:eastAsia="宋体"/>
                <w:sz w:val="16"/>
              </w:rPr>
              <w:t>519.09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2480F">
            <w:pPr>
              <w:jc w:val="center"/>
            </w:pPr>
            <w:r>
              <w:rPr>
                <w:rFonts w:ascii="宋体" w:hAnsi="宋体" w:eastAsia="宋体"/>
                <w:sz w:val="16"/>
              </w:rPr>
              <w:t>578.61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F5580">
            <w:pPr>
              <w:jc w:val="center"/>
            </w:pPr>
            <w:r>
              <w:rPr>
                <w:rFonts w:ascii="宋体" w:hAnsi="宋体" w:eastAsia="宋体"/>
                <w:sz w:val="16"/>
              </w:rPr>
              <w:t>572.32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C56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225F6">
            <w:pPr>
              <w:jc w:val="center"/>
            </w:pPr>
            <w:r>
              <w:rPr>
                <w:rFonts w:ascii="宋体" w:hAnsi="宋体" w:eastAsia="宋体"/>
                <w:sz w:val="16"/>
              </w:rPr>
              <w:t>98.91%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D59F0">
            <w:pPr>
              <w:jc w:val="center"/>
            </w:pPr>
            <w:r>
              <w:rPr>
                <w:rFonts w:ascii="宋体" w:hAnsi="宋体" w:eastAsia="宋体"/>
                <w:sz w:val="16"/>
              </w:rPr>
              <w:t>9.89</w:t>
            </w:r>
          </w:p>
        </w:tc>
      </w:tr>
      <w:tr w14:paraId="21754A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4F36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5E20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0ABA9">
            <w:pPr>
              <w:jc w:val="center"/>
            </w:pPr>
            <w:r>
              <w:rPr>
                <w:rFonts w:ascii="宋体" w:hAnsi="宋体" w:eastAsia="宋体"/>
                <w:sz w:val="16"/>
              </w:rPr>
              <w:t>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08070">
            <w:pPr>
              <w:jc w:val="center"/>
            </w:pPr>
            <w:r>
              <w:rPr>
                <w:rFonts w:ascii="宋体" w:hAnsi="宋体" w:eastAsia="宋体"/>
                <w:sz w:val="16"/>
              </w:rPr>
              <w:t>39.35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C67B1">
            <w:pPr>
              <w:jc w:val="center"/>
            </w:pPr>
            <w:r>
              <w:rPr>
                <w:rFonts w:ascii="宋体" w:hAnsi="宋体" w:eastAsia="宋体"/>
                <w:sz w:val="16"/>
              </w:rPr>
              <w:t>36.32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C00C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F61A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239A1">
            <w:pPr>
              <w:jc w:val="center"/>
            </w:pPr>
            <w:r>
              <w:rPr>
                <w:rFonts w:ascii="宋体" w:hAnsi="宋体" w:eastAsia="宋体"/>
                <w:sz w:val="16"/>
              </w:rPr>
              <w:t>—</w:t>
            </w:r>
          </w:p>
        </w:tc>
      </w:tr>
      <w:tr w14:paraId="7C1129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9FAA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B4748">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247BF">
            <w:pPr>
              <w:jc w:val="center"/>
            </w:pPr>
            <w:r>
              <w:rPr>
                <w:rFonts w:ascii="宋体" w:hAnsi="宋体" w:eastAsia="宋体"/>
                <w:sz w:val="16"/>
              </w:rPr>
              <w:t>517.86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1FD40">
            <w:pPr>
              <w:jc w:val="center"/>
            </w:pPr>
            <w:r>
              <w:rPr>
                <w:rFonts w:ascii="宋体" w:hAnsi="宋体" w:eastAsia="宋体"/>
                <w:sz w:val="16"/>
              </w:rPr>
              <w:t>539.26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0C404">
            <w:pPr>
              <w:jc w:val="center"/>
            </w:pPr>
            <w:r>
              <w:rPr>
                <w:rFonts w:ascii="宋体" w:hAnsi="宋体" w:eastAsia="宋体"/>
                <w:sz w:val="16"/>
              </w:rPr>
              <w:t>536.00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A5B5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69AB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A1C5D">
            <w:pPr>
              <w:jc w:val="center"/>
            </w:pPr>
            <w:r>
              <w:rPr>
                <w:rFonts w:ascii="宋体" w:hAnsi="宋体" w:eastAsia="宋体"/>
                <w:sz w:val="16"/>
              </w:rPr>
              <w:t>—</w:t>
            </w:r>
          </w:p>
        </w:tc>
      </w:tr>
      <w:tr w14:paraId="5F0425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A8B2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B7EAB">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80BE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3C81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C342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CAF3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F04B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1027D">
            <w:pPr>
              <w:jc w:val="center"/>
            </w:pPr>
            <w:r>
              <w:rPr>
                <w:rFonts w:ascii="宋体" w:hAnsi="宋体" w:eastAsia="宋体"/>
                <w:sz w:val="16"/>
              </w:rPr>
              <w:t>—</w:t>
            </w:r>
          </w:p>
        </w:tc>
      </w:tr>
      <w:tr w14:paraId="1BE2AE8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CE40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E79FD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47A4FC">
            <w:pPr>
              <w:jc w:val="center"/>
            </w:pPr>
            <w:r>
              <w:rPr>
                <w:rFonts w:ascii="宋体" w:hAnsi="宋体" w:eastAsia="宋体"/>
                <w:sz w:val="16"/>
              </w:rPr>
              <w:t>实际完成情况</w:t>
            </w:r>
          </w:p>
        </w:tc>
      </w:tr>
      <w:tr w14:paraId="1A673C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8F6E9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E9ACDC">
            <w:pPr>
              <w:jc w:val="both"/>
            </w:pPr>
            <w:r>
              <w:rPr>
                <w:rFonts w:ascii="宋体" w:hAnsi="宋体" w:eastAsia="宋体"/>
                <w:sz w:val="16"/>
              </w:rPr>
              <w:t>2024年信访工作要坚持以习近平新时代中国特色社会主义思想为指导，全面学习贯彻党的二十大精神，深入贯彻落实习近平总书记关于加强和改进人民信访工作的重要思想和第九次全国信访工作会议精神，牢记为民解难、为党分忧的政治责任，加强信访问题源头治理，及时就地解决群众初次信访事项，切实把问题解决在初始阶段，不断提高一次性化解率和群众满意率；全面开展《信访工作条例》落实年活动，推进条例普法宣传制度化、常态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3CBA7F">
            <w:pPr>
              <w:jc w:val="both"/>
            </w:pPr>
            <w:r>
              <w:rPr>
                <w:rFonts w:ascii="宋体" w:hAnsi="宋体" w:eastAsia="宋体"/>
                <w:sz w:val="16"/>
              </w:rPr>
              <w:t>2024年以来，喀什地区坚持聚焦信访工作“135”施工路线图，锚定全面推进信访工作法治化目标，持续深化信访问题源头治理三年攻坚行动，坚持巩固治理重复信访、化解信访积案专项工作成果，高位推动信访工作重点任务落地落实，全面推进信访工作法治化走深走实，有效促进信访工作基础业务提质增效，取得了信访总量、进京走访、重复信访下降，信访事项及时受理率、按期办结率和一次性化解率提升的良好成绩，全地区信访形势总体平稳、信访秩序持续改善。</w:t>
            </w:r>
          </w:p>
        </w:tc>
      </w:tr>
      <w:tr w14:paraId="41F85F4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6410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B666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3EAE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6A06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2ECF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D364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85ED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AFF9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BDDF8">
            <w:pPr>
              <w:jc w:val="center"/>
            </w:pPr>
            <w:r>
              <w:rPr>
                <w:rFonts w:ascii="宋体" w:hAnsi="宋体" w:eastAsia="宋体"/>
                <w:sz w:val="16"/>
              </w:rPr>
              <w:t>得分</w:t>
            </w:r>
          </w:p>
        </w:tc>
      </w:tr>
      <w:tr w14:paraId="6542855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051FF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9FB1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C6187">
            <w:pPr>
              <w:jc w:val="center"/>
            </w:pPr>
            <w:r>
              <w:rPr>
                <w:rFonts w:ascii="宋体" w:hAnsi="宋体" w:eastAsia="宋体"/>
                <w:sz w:val="16"/>
              </w:rPr>
              <w:t>信访事项及时受理率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A7F65">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5DEBB">
            <w:pPr>
              <w:jc w:val="center"/>
            </w:pPr>
            <w:r>
              <w:rPr>
                <w:rFonts w:ascii="宋体" w:hAnsi="宋体" w:eastAsia="宋体"/>
                <w:sz w:val="16"/>
              </w:rPr>
              <w:t>《2023年全地区信访工作总结》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B621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89B72">
            <w:pPr>
              <w:jc w:val="center"/>
            </w:pPr>
            <w:r>
              <w:rPr>
                <w:rFonts w:ascii="宋体" w:hAnsi="宋体" w:eastAsia="宋体"/>
                <w:sz w:val="16"/>
              </w:rPr>
              <w:tab/>
            </w: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26D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2EA41">
            <w:pPr>
              <w:jc w:val="center"/>
            </w:pPr>
            <w:r>
              <w:rPr>
                <w:rFonts w:ascii="宋体" w:hAnsi="宋体" w:eastAsia="宋体"/>
                <w:sz w:val="16"/>
              </w:rPr>
              <w:t>20</w:t>
            </w:r>
          </w:p>
        </w:tc>
      </w:tr>
      <w:tr w14:paraId="0DBDFD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EB64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59CD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8B315">
            <w:pPr>
              <w:jc w:val="center"/>
            </w:pPr>
            <w:r>
              <w:rPr>
                <w:rFonts w:ascii="宋体" w:hAnsi="宋体" w:eastAsia="宋体"/>
                <w:sz w:val="16"/>
              </w:rPr>
              <w:t>信访事项按期答复率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5FF1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5E140">
            <w:pPr>
              <w:jc w:val="center"/>
            </w:pPr>
            <w:r>
              <w:rPr>
                <w:rFonts w:ascii="宋体" w:hAnsi="宋体" w:eastAsia="宋体"/>
                <w:sz w:val="16"/>
              </w:rPr>
              <w:t>《2024年全地区信访工作计划》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C64D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92006">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EB1A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F0513">
            <w:pPr>
              <w:jc w:val="center"/>
            </w:pPr>
            <w:r>
              <w:rPr>
                <w:rFonts w:ascii="宋体" w:hAnsi="宋体" w:eastAsia="宋体"/>
                <w:sz w:val="16"/>
              </w:rPr>
              <w:t>20</w:t>
            </w:r>
          </w:p>
        </w:tc>
      </w:tr>
      <w:tr w14:paraId="2D4F76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778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EB3D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168EB">
            <w:pPr>
              <w:jc w:val="center"/>
            </w:pPr>
            <w:r>
              <w:rPr>
                <w:rFonts w:ascii="宋体" w:hAnsi="宋体" w:eastAsia="宋体"/>
                <w:sz w:val="16"/>
              </w:rPr>
              <w:t>深入基层开展实地“大督查大接访大调研”</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652B0">
            <w:pPr>
              <w:jc w:val="center"/>
            </w:pPr>
            <w:r>
              <w:rPr>
                <w:rFonts w:ascii="宋体" w:hAnsi="宋体" w:eastAsia="宋体"/>
                <w:sz w:val="16"/>
              </w:rPr>
              <w:t>&gt;=5次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63E45">
            <w:pPr>
              <w:jc w:val="center"/>
            </w:pPr>
            <w:r>
              <w:rPr>
                <w:rFonts w:ascii="宋体" w:hAnsi="宋体" w:eastAsia="宋体"/>
                <w:sz w:val="16"/>
              </w:rPr>
              <w:t>《2023年全地区信访工作总结》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A2C7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5691C">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B31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6279C">
            <w:pPr>
              <w:jc w:val="center"/>
            </w:pPr>
            <w:r>
              <w:rPr>
                <w:rFonts w:ascii="宋体" w:hAnsi="宋体" w:eastAsia="宋体"/>
                <w:sz w:val="16"/>
              </w:rPr>
              <w:t>20</w:t>
            </w:r>
          </w:p>
        </w:tc>
      </w:tr>
      <w:tr w14:paraId="1FDEC75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4D7E9">
            <w:pPr>
              <w:jc w:val="center"/>
            </w:pPr>
            <w:r>
              <w:rPr>
                <w:rFonts w:ascii="宋体" w:hAnsi="宋体" w:eastAsia="宋体"/>
                <w:sz w:val="16"/>
              </w:rPr>
              <w:t>社会效应</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EF1D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61E6D">
            <w:pPr>
              <w:jc w:val="center"/>
            </w:pPr>
            <w:r>
              <w:rPr>
                <w:rFonts w:ascii="宋体" w:hAnsi="宋体" w:eastAsia="宋体"/>
                <w:sz w:val="16"/>
              </w:rPr>
              <w:t>联合接访大厅提供律师参与涉法信访工作咨询服务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0BFBB">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2CE07">
            <w:pPr>
              <w:jc w:val="center"/>
            </w:pPr>
            <w:r>
              <w:rPr>
                <w:rFonts w:ascii="宋体" w:hAnsi="宋体" w:eastAsia="宋体"/>
                <w:sz w:val="16"/>
              </w:rPr>
              <w:t>《司法部国家信访局关于进一步加强律师参与涉法信访工作的意见》（司法通〔2004〕151号）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2C69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BF7CC">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960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3470B">
            <w:pPr>
              <w:jc w:val="center"/>
            </w:pPr>
            <w:r>
              <w:rPr>
                <w:rFonts w:ascii="宋体" w:hAnsi="宋体" w:eastAsia="宋体"/>
                <w:sz w:val="16"/>
              </w:rPr>
              <w:t>15</w:t>
            </w:r>
          </w:p>
        </w:tc>
      </w:tr>
      <w:tr w14:paraId="5B489BD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1AC76">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0440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A98C3">
            <w:pPr>
              <w:jc w:val="center"/>
            </w:pPr>
            <w:r>
              <w:rPr>
                <w:rFonts w:ascii="宋体" w:hAnsi="宋体" w:eastAsia="宋体"/>
                <w:sz w:val="16"/>
              </w:rPr>
              <w:t>信访群众满意度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BF93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326F2">
            <w:pPr>
              <w:jc w:val="center"/>
            </w:pPr>
            <w:r>
              <w:rPr>
                <w:rFonts w:ascii="宋体" w:hAnsi="宋体" w:eastAsia="宋体"/>
                <w:sz w:val="16"/>
              </w:rPr>
              <w:t>关于开展2023年事前绩效评估和绩效目标编制工作的通知（喀地财绩〔2023〕3号）--满意度依据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7D62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34D6D">
            <w:pPr>
              <w:jc w:val="center"/>
            </w:pPr>
            <w:r>
              <w:rPr>
                <w:rFonts w:ascii="宋体" w:hAnsi="宋体" w:eastAsia="宋体"/>
                <w:sz w:val="16"/>
              </w:rPr>
              <w:tab/>
            </w: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9677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593B5">
            <w:pPr>
              <w:jc w:val="center"/>
            </w:pPr>
            <w:r>
              <w:rPr>
                <w:rFonts w:ascii="宋体" w:hAnsi="宋体" w:eastAsia="宋体"/>
                <w:sz w:val="16"/>
              </w:rPr>
              <w:t>15</w:t>
            </w:r>
          </w:p>
        </w:tc>
      </w:tr>
    </w:tbl>
    <w:p w14:paraId="327E8D4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B6BB4F7">
        <w:tblPrEx>
          <w:tblCellMar>
            <w:top w:w="0" w:type="dxa"/>
            <w:left w:w="108" w:type="dxa"/>
            <w:bottom w:w="0" w:type="dxa"/>
            <w:right w:w="108" w:type="dxa"/>
          </w:tblCellMar>
        </w:tblPrEx>
        <w:tc>
          <w:tcPr>
            <w:tcW w:w="8848" w:type="dxa"/>
            <w:gridSpan w:val="14"/>
            <w:vAlign w:val="center"/>
          </w:tcPr>
          <w:p w14:paraId="25A7DC36">
            <w:pPr>
              <w:jc w:val="center"/>
            </w:pPr>
            <w:r>
              <w:rPr>
                <w:rFonts w:ascii="宋体" w:hAnsi="宋体" w:eastAsia="宋体"/>
                <w:sz w:val="24"/>
              </w:rPr>
              <w:t>项目支出绩效自评表</w:t>
            </w:r>
          </w:p>
        </w:tc>
      </w:tr>
      <w:tr w14:paraId="521D465B">
        <w:tblPrEx>
          <w:tblCellMar>
            <w:top w:w="0" w:type="dxa"/>
            <w:left w:w="108" w:type="dxa"/>
            <w:bottom w:w="0" w:type="dxa"/>
            <w:right w:w="108" w:type="dxa"/>
          </w:tblCellMar>
        </w:tblPrEx>
        <w:tc>
          <w:tcPr>
            <w:tcW w:w="8848" w:type="dxa"/>
            <w:gridSpan w:val="14"/>
            <w:vAlign w:val="center"/>
          </w:tcPr>
          <w:p w14:paraId="458BCC8A">
            <w:pPr>
              <w:jc w:val="center"/>
            </w:pPr>
            <w:r>
              <w:rPr>
                <w:rFonts w:ascii="宋体" w:hAnsi="宋体" w:eastAsia="宋体"/>
                <w:sz w:val="24"/>
              </w:rPr>
              <w:t>(2024年度)</w:t>
            </w:r>
          </w:p>
        </w:tc>
      </w:tr>
      <w:tr w14:paraId="6786DD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7DE3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D3533D">
            <w:pPr>
              <w:jc w:val="center"/>
            </w:pPr>
            <w:r>
              <w:rPr>
                <w:rFonts w:ascii="宋体" w:hAnsi="宋体" w:eastAsia="宋体"/>
                <w:sz w:val="16"/>
              </w:rPr>
              <w:t>周转房保障项目</w:t>
            </w:r>
          </w:p>
        </w:tc>
      </w:tr>
      <w:tr w14:paraId="6670C9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484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9EE87F">
            <w:pPr>
              <w:jc w:val="center"/>
            </w:pPr>
            <w:r>
              <w:rPr>
                <w:rFonts w:ascii="宋体" w:hAnsi="宋体" w:eastAsia="宋体"/>
                <w:sz w:val="16"/>
              </w:rPr>
              <w:t>新疆维吾尔自治区喀什地区行政公署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D411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B4CC32">
            <w:pPr>
              <w:jc w:val="center"/>
            </w:pPr>
            <w:r>
              <w:rPr>
                <w:rFonts w:ascii="宋体" w:hAnsi="宋体" w:eastAsia="宋体"/>
                <w:sz w:val="16"/>
              </w:rPr>
              <w:t>新疆维吾尔自治区喀什地区信访局</w:t>
            </w:r>
          </w:p>
        </w:tc>
      </w:tr>
      <w:tr w14:paraId="355138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7E2F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3687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7B8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CB40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9A5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494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3E40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7BFF6">
            <w:pPr>
              <w:jc w:val="center"/>
            </w:pPr>
            <w:r>
              <w:rPr>
                <w:rFonts w:ascii="宋体" w:hAnsi="宋体" w:eastAsia="宋体"/>
                <w:sz w:val="16"/>
              </w:rPr>
              <w:t>得分</w:t>
            </w:r>
          </w:p>
        </w:tc>
      </w:tr>
      <w:tr w14:paraId="0F04E9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B50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FFA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DFE51">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48448">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83FAB">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356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F4E6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6E5B7">
            <w:pPr>
              <w:jc w:val="center"/>
            </w:pPr>
            <w:r>
              <w:rPr>
                <w:rFonts w:ascii="宋体" w:hAnsi="宋体" w:eastAsia="宋体"/>
                <w:sz w:val="16"/>
              </w:rPr>
              <w:t>10.00分</w:t>
            </w:r>
          </w:p>
        </w:tc>
      </w:tr>
      <w:tr w14:paraId="0DEA8E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741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3AD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7D6FE">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B19E5">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68B1D">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F03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0069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7C57D">
            <w:pPr>
              <w:jc w:val="center"/>
            </w:pPr>
            <w:r>
              <w:rPr>
                <w:rFonts w:ascii="宋体" w:hAnsi="宋体" w:eastAsia="宋体"/>
                <w:sz w:val="16"/>
              </w:rPr>
              <w:t>—</w:t>
            </w:r>
          </w:p>
        </w:tc>
      </w:tr>
      <w:tr w14:paraId="567558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F35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827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F41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9B7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C47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6AB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BCE5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38F68">
            <w:pPr>
              <w:jc w:val="center"/>
            </w:pPr>
            <w:r>
              <w:rPr>
                <w:rFonts w:ascii="宋体" w:hAnsi="宋体" w:eastAsia="宋体"/>
                <w:sz w:val="16"/>
              </w:rPr>
              <w:t>—</w:t>
            </w:r>
          </w:p>
        </w:tc>
      </w:tr>
      <w:tr w14:paraId="66C4CE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D473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E81C6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732D70">
            <w:pPr>
              <w:jc w:val="center"/>
            </w:pPr>
            <w:r>
              <w:rPr>
                <w:rFonts w:ascii="宋体" w:hAnsi="宋体" w:eastAsia="宋体"/>
                <w:sz w:val="16"/>
              </w:rPr>
              <w:t>实际完成情况</w:t>
            </w:r>
          </w:p>
        </w:tc>
      </w:tr>
      <w:tr w14:paraId="75B001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04E9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E28315">
            <w:pPr>
              <w:jc w:val="both"/>
            </w:pPr>
            <w:r>
              <w:rPr>
                <w:rFonts w:ascii="宋体" w:hAnsi="宋体" w:eastAsia="宋体"/>
                <w:sz w:val="16"/>
              </w:rPr>
              <w:t>该项目年初预算资金5760元，依据县处级领导干部租赁阳光小区干部周转房租赁费及取暖费收费标准测算，租赁周转房一套，入住周转房1人，租赁费5760元，通过项目的实施，提高入住干部生活水平。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B509CC">
            <w:pPr>
              <w:jc w:val="both"/>
            </w:pPr>
            <w:r>
              <w:rPr>
                <w:rFonts w:ascii="宋体" w:hAnsi="宋体" w:eastAsia="宋体"/>
                <w:sz w:val="16"/>
              </w:rPr>
              <w:t>该项目年初预算5760元，资金到位5760元，资金已执行5760元，执行率100%。入住周转房人数1人，周转房数量1套，已支付周转房租赁费5760元，剩下周转房暖气费2520元下半年才能支付。通过项目实施，部分保障周转房正常使用。</w:t>
            </w:r>
          </w:p>
        </w:tc>
      </w:tr>
      <w:tr w14:paraId="448927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46C8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9134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C22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8ED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1A1E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17E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E819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545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017F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DB1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2D2D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5150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A5900">
            <w:pPr>
              <w:jc w:val="center"/>
            </w:pPr>
            <w:r>
              <w:rPr>
                <w:rFonts w:ascii="宋体" w:hAnsi="宋体" w:eastAsia="宋体"/>
                <w:sz w:val="16"/>
              </w:rPr>
              <w:t>偏差原因分析及改进措施</w:t>
            </w:r>
          </w:p>
        </w:tc>
      </w:tr>
      <w:tr w14:paraId="6F7AF2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F3B7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F886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EAF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EDAA1">
            <w:pPr>
              <w:jc w:val="center"/>
            </w:pPr>
            <w:r>
              <w:rPr>
                <w:rFonts w:ascii="宋体" w:hAnsi="宋体" w:eastAsia="宋体"/>
                <w:sz w:val="16"/>
              </w:rPr>
              <w:t>周转房数量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9FD9D">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51FE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D28F4">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43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8F98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DE1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F1BF9">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4C1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D6448">
            <w:pPr>
              <w:jc w:val="center"/>
            </w:pPr>
          </w:p>
        </w:tc>
      </w:tr>
      <w:tr w14:paraId="5C7DDC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CDC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A26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880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E0AE3">
            <w:pPr>
              <w:jc w:val="center"/>
            </w:pPr>
            <w:r>
              <w:rPr>
                <w:rFonts w:ascii="宋体" w:hAnsi="宋体" w:eastAsia="宋体"/>
                <w:sz w:val="16"/>
              </w:rPr>
              <w:t>入住周转房人数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1B6CB">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AAD6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CE2D1">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CBA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6EB7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3F2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55BBB">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52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50C6D">
            <w:pPr>
              <w:jc w:val="center"/>
            </w:pPr>
          </w:p>
        </w:tc>
      </w:tr>
      <w:tr w14:paraId="32FF39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041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82E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006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09AA">
            <w:pPr>
              <w:jc w:val="center"/>
            </w:pPr>
            <w:r>
              <w:rPr>
                <w:rFonts w:ascii="宋体" w:hAnsi="宋体" w:eastAsia="宋体"/>
                <w:sz w:val="16"/>
              </w:rPr>
              <w:t>合同执行违规率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9392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452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206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3DB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69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2D1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AA20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CCD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89C41">
            <w:pPr>
              <w:jc w:val="center"/>
            </w:pPr>
          </w:p>
        </w:tc>
      </w:tr>
      <w:tr w14:paraId="6022F2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796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7DE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B11A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E738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476B5">
            <w:pPr>
              <w:jc w:val="center"/>
            </w:pPr>
            <w:r>
              <w:rPr>
                <w:rFonts w:ascii="宋体" w:hAnsi="宋体" w:eastAsia="宋体"/>
                <w:sz w:val="16"/>
              </w:rPr>
              <w:t>=2024年5月25日前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4C9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534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A9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85D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625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9D3A9">
            <w:pPr>
              <w:jc w:val="center"/>
            </w:pPr>
            <w:r>
              <w:rPr>
                <w:rFonts w:ascii="宋体" w:hAnsi="宋体" w:eastAsia="宋体"/>
                <w:sz w:val="16"/>
              </w:rPr>
              <w:t>=2024年5月25日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301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B350F">
            <w:pPr>
              <w:jc w:val="center"/>
            </w:pPr>
          </w:p>
        </w:tc>
      </w:tr>
      <w:tr w14:paraId="019158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754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723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B9B5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1AE4">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E1B34">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AB6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7B2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12E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094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347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2A43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636F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464CE">
            <w:pPr>
              <w:jc w:val="center"/>
            </w:pPr>
          </w:p>
        </w:tc>
      </w:tr>
      <w:tr w14:paraId="4E0492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517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907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D586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0A892">
            <w:pPr>
              <w:jc w:val="center"/>
            </w:pPr>
            <w:r>
              <w:rPr>
                <w:rFonts w:ascii="宋体" w:hAnsi="宋体" w:eastAsia="宋体"/>
                <w:sz w:val="16"/>
              </w:rPr>
              <w:t>提高入住干部生活水平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8A1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7146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DA3D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47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621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E49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143A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C6A5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3762D">
            <w:pPr>
              <w:jc w:val="center"/>
            </w:pPr>
          </w:p>
        </w:tc>
      </w:tr>
      <w:tr w14:paraId="18DB07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E50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B9A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6ED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F517A">
            <w:pPr>
              <w:jc w:val="center"/>
            </w:pPr>
            <w:r>
              <w:rPr>
                <w:rFonts w:ascii="宋体" w:hAnsi="宋体" w:eastAsia="宋体"/>
                <w:sz w:val="16"/>
              </w:rPr>
              <w:t>受益干部满意度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51B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A1A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43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385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233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04F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CB7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7C4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C8BCD">
            <w:pPr>
              <w:jc w:val="center"/>
            </w:pPr>
          </w:p>
        </w:tc>
      </w:tr>
      <w:tr w14:paraId="3985E97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0E9C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CE95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F950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F0B6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89DF06"/>
        </w:tc>
      </w:tr>
    </w:tbl>
    <w:p w14:paraId="2CF43BF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DD26B56">
        <w:tblPrEx>
          <w:tblCellMar>
            <w:top w:w="0" w:type="dxa"/>
            <w:left w:w="108" w:type="dxa"/>
            <w:bottom w:w="0" w:type="dxa"/>
            <w:right w:w="108" w:type="dxa"/>
          </w:tblCellMar>
        </w:tblPrEx>
        <w:tc>
          <w:tcPr>
            <w:tcW w:w="8848" w:type="dxa"/>
            <w:gridSpan w:val="14"/>
            <w:vAlign w:val="center"/>
          </w:tcPr>
          <w:p w14:paraId="37C4D413">
            <w:pPr>
              <w:jc w:val="center"/>
            </w:pPr>
            <w:r>
              <w:rPr>
                <w:rFonts w:ascii="宋体" w:hAnsi="宋体" w:eastAsia="宋体"/>
                <w:sz w:val="24"/>
              </w:rPr>
              <w:t>项目支出绩效自评表</w:t>
            </w:r>
          </w:p>
        </w:tc>
      </w:tr>
      <w:tr w14:paraId="41753825">
        <w:tblPrEx>
          <w:tblCellMar>
            <w:top w:w="0" w:type="dxa"/>
            <w:left w:w="108" w:type="dxa"/>
            <w:bottom w:w="0" w:type="dxa"/>
            <w:right w:w="108" w:type="dxa"/>
          </w:tblCellMar>
        </w:tblPrEx>
        <w:tc>
          <w:tcPr>
            <w:tcW w:w="8848" w:type="dxa"/>
            <w:gridSpan w:val="14"/>
            <w:vAlign w:val="center"/>
          </w:tcPr>
          <w:p w14:paraId="7F735110">
            <w:pPr>
              <w:jc w:val="center"/>
            </w:pPr>
            <w:r>
              <w:rPr>
                <w:rFonts w:ascii="宋体" w:hAnsi="宋体" w:eastAsia="宋体"/>
                <w:sz w:val="24"/>
              </w:rPr>
              <w:t>(2024年度)</w:t>
            </w:r>
          </w:p>
        </w:tc>
      </w:tr>
      <w:tr w14:paraId="124BC6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7401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BE332A">
            <w:pPr>
              <w:jc w:val="center"/>
            </w:pPr>
            <w:r>
              <w:rPr>
                <w:rFonts w:ascii="宋体" w:hAnsi="宋体" w:eastAsia="宋体"/>
                <w:sz w:val="16"/>
              </w:rPr>
              <w:t>喀什人民群众来访接待中心运行保障项目</w:t>
            </w:r>
          </w:p>
        </w:tc>
      </w:tr>
      <w:tr w14:paraId="3D0D60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DC7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FD39CC">
            <w:pPr>
              <w:jc w:val="center"/>
            </w:pPr>
            <w:r>
              <w:rPr>
                <w:rFonts w:ascii="宋体" w:hAnsi="宋体" w:eastAsia="宋体"/>
                <w:sz w:val="16"/>
              </w:rPr>
              <w:t>新疆维吾尔自治区喀什地区信访局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918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603D77">
            <w:pPr>
              <w:jc w:val="center"/>
            </w:pPr>
            <w:r>
              <w:rPr>
                <w:rFonts w:ascii="宋体" w:hAnsi="宋体" w:eastAsia="宋体"/>
                <w:sz w:val="16"/>
              </w:rPr>
              <w:t>新疆维吾尔自治区喀什地区信访局</w:t>
            </w:r>
          </w:p>
        </w:tc>
      </w:tr>
      <w:tr w14:paraId="6F4F37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18DA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77C9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100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AA5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5D86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05AD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D778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04797">
            <w:pPr>
              <w:jc w:val="center"/>
            </w:pPr>
            <w:r>
              <w:rPr>
                <w:rFonts w:ascii="宋体" w:hAnsi="宋体" w:eastAsia="宋体"/>
                <w:sz w:val="16"/>
              </w:rPr>
              <w:t>得分</w:t>
            </w:r>
          </w:p>
        </w:tc>
      </w:tr>
      <w:tr w14:paraId="660D62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1D1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2E68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4B214">
            <w:pPr>
              <w:jc w:val="center"/>
            </w:pPr>
            <w:r>
              <w:rPr>
                <w:rFonts w:ascii="宋体" w:hAnsi="宋体" w:eastAsia="宋体"/>
                <w:sz w:val="16"/>
              </w:rPr>
              <w:t>24.33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D12B8">
            <w:pPr>
              <w:jc w:val="center"/>
            </w:pPr>
            <w:r>
              <w:rPr>
                <w:rFonts w:ascii="宋体" w:hAnsi="宋体" w:eastAsia="宋体"/>
                <w:sz w:val="16"/>
              </w:rPr>
              <w:t>24.33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C435E">
            <w:pPr>
              <w:jc w:val="center"/>
            </w:pPr>
            <w:r>
              <w:rPr>
                <w:rFonts w:ascii="宋体" w:hAnsi="宋体" w:eastAsia="宋体"/>
                <w:sz w:val="16"/>
              </w:rPr>
              <w:t>22.72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C87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DC643">
            <w:pPr>
              <w:jc w:val="center"/>
            </w:pPr>
            <w:r>
              <w:rPr>
                <w:rFonts w:ascii="宋体" w:hAnsi="宋体" w:eastAsia="宋体"/>
                <w:sz w:val="16"/>
              </w:rPr>
              <w:t>93.4%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02E16">
            <w:pPr>
              <w:jc w:val="center"/>
            </w:pPr>
            <w:r>
              <w:rPr>
                <w:rFonts w:ascii="宋体" w:hAnsi="宋体" w:eastAsia="宋体"/>
                <w:sz w:val="16"/>
              </w:rPr>
              <w:t>8.34分</w:t>
            </w:r>
          </w:p>
        </w:tc>
      </w:tr>
      <w:tr w14:paraId="55A651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5F7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29C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73C8B">
            <w:pPr>
              <w:jc w:val="center"/>
            </w:pPr>
            <w:r>
              <w:rPr>
                <w:rFonts w:ascii="宋体" w:hAnsi="宋体" w:eastAsia="宋体"/>
                <w:sz w:val="16"/>
              </w:rPr>
              <w:t>24.33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397EE">
            <w:pPr>
              <w:jc w:val="center"/>
            </w:pPr>
            <w:r>
              <w:rPr>
                <w:rFonts w:ascii="宋体" w:hAnsi="宋体" w:eastAsia="宋体"/>
                <w:sz w:val="16"/>
              </w:rPr>
              <w:t>24.33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57FAF">
            <w:pPr>
              <w:jc w:val="center"/>
            </w:pPr>
            <w:r>
              <w:rPr>
                <w:rFonts w:ascii="宋体" w:hAnsi="宋体" w:eastAsia="宋体"/>
                <w:sz w:val="16"/>
              </w:rPr>
              <w:t>22.72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E2C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2A1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A7EC7">
            <w:pPr>
              <w:jc w:val="center"/>
            </w:pPr>
            <w:r>
              <w:rPr>
                <w:rFonts w:ascii="宋体" w:hAnsi="宋体" w:eastAsia="宋体"/>
                <w:sz w:val="16"/>
              </w:rPr>
              <w:t>—</w:t>
            </w:r>
          </w:p>
        </w:tc>
      </w:tr>
      <w:tr w14:paraId="43BE7C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08E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D19D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EFB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33D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5D1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832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EBD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D2B97">
            <w:pPr>
              <w:jc w:val="center"/>
            </w:pPr>
            <w:r>
              <w:rPr>
                <w:rFonts w:ascii="宋体" w:hAnsi="宋体" w:eastAsia="宋体"/>
                <w:sz w:val="16"/>
              </w:rPr>
              <w:t>—</w:t>
            </w:r>
          </w:p>
        </w:tc>
      </w:tr>
      <w:tr w14:paraId="06A3CA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C104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4909D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B983AC">
            <w:pPr>
              <w:jc w:val="center"/>
            </w:pPr>
            <w:r>
              <w:rPr>
                <w:rFonts w:ascii="宋体" w:hAnsi="宋体" w:eastAsia="宋体"/>
                <w:sz w:val="16"/>
              </w:rPr>
              <w:t>实际完成情况</w:t>
            </w:r>
          </w:p>
        </w:tc>
      </w:tr>
      <w:tr w14:paraId="01ACD7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30B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DB6A18">
            <w:pPr>
              <w:jc w:val="both"/>
            </w:pPr>
            <w:r>
              <w:rPr>
                <w:rFonts w:ascii="宋体" w:hAnsi="宋体" w:eastAsia="宋体"/>
                <w:sz w:val="16"/>
              </w:rPr>
              <w:t>自治区党委办公厅 自治区人民政府办公厅《关于创新工作方法，解决信访突出问题实施意见》的通知（新党办发</w:t>
            </w:r>
            <w:r>
              <w:rPr>
                <w:rFonts w:hint="eastAsia" w:ascii="宋体" w:hAnsi="宋体"/>
                <w:sz w:val="16"/>
                <w:lang w:eastAsia="zh-CN"/>
              </w:rPr>
              <w:t>〔2014〕25号</w:t>
            </w:r>
            <w:r>
              <w:rPr>
                <w:rFonts w:ascii="宋体" w:hAnsi="宋体" w:eastAsia="宋体"/>
                <w:sz w:val="16"/>
              </w:rPr>
              <w:t>）中“按照一站式接待、一条龙办理、一揽子解决、一站式服务”的要求，高度重视联合接待场所建设，已建立的加紧完善职能，未建立的尽快建立运转。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B5CC10">
            <w:pPr>
              <w:jc w:val="both"/>
            </w:pPr>
            <w:r>
              <w:rPr>
                <w:rFonts w:ascii="宋体" w:hAnsi="宋体" w:eastAsia="宋体"/>
                <w:sz w:val="16"/>
              </w:rPr>
              <w:t>1.中心购买A3复印机1台8000元；2.办公费52969.28元；3.印刷费5000元；4.维修维护费75000元；5.水费2002元；6.电费20000元；7.邮电费42000元；8.其他交通费用10900元；9.取暖费1137.12元；10.物业管理费2153.52元；11.租赁费8038.08元。有效提升业务保障能力，有效提升公共服务水平。</w:t>
            </w:r>
          </w:p>
        </w:tc>
      </w:tr>
      <w:tr w14:paraId="3FE877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A6C5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C7F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6FA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3F2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59A6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620B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1C3E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385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EEC2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2F0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BD06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A333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8AAA9">
            <w:pPr>
              <w:jc w:val="center"/>
            </w:pPr>
            <w:r>
              <w:rPr>
                <w:rFonts w:ascii="宋体" w:hAnsi="宋体" w:eastAsia="宋体"/>
                <w:sz w:val="16"/>
              </w:rPr>
              <w:t>偏差原因分析及改进措施</w:t>
            </w:r>
          </w:p>
        </w:tc>
      </w:tr>
      <w:tr w14:paraId="3AD243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2E50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4728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6657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FA97">
            <w:pPr>
              <w:jc w:val="center"/>
            </w:pPr>
            <w:r>
              <w:rPr>
                <w:rFonts w:ascii="宋体" w:hAnsi="宋体" w:eastAsia="宋体"/>
                <w:sz w:val="16"/>
              </w:rPr>
              <w:t>购买一体机数量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6CE53">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3AA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F8E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F40B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12D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F8F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EED35">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7924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75CE7">
            <w:pPr>
              <w:jc w:val="center"/>
            </w:pPr>
          </w:p>
        </w:tc>
      </w:tr>
      <w:tr w14:paraId="7E5361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69A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A5B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72BD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19C23">
            <w:pPr>
              <w:jc w:val="center"/>
            </w:pPr>
            <w:r>
              <w:rPr>
                <w:rFonts w:ascii="宋体" w:hAnsi="宋体" w:eastAsia="宋体"/>
                <w:sz w:val="16"/>
              </w:rPr>
              <w:t>购买设备验收合格率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8DF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017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C8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8368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DACA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F8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FC2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FAD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3831A">
            <w:pPr>
              <w:jc w:val="center"/>
            </w:pPr>
          </w:p>
        </w:tc>
      </w:tr>
      <w:tr w14:paraId="7C97BA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3C7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46F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2C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A623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B37B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AC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E2D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49E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70F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78B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597B2">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A7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F9A93">
            <w:pPr>
              <w:jc w:val="center"/>
            </w:pPr>
          </w:p>
        </w:tc>
      </w:tr>
      <w:tr w14:paraId="6881C4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C4C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5507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054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EBAD9">
            <w:pPr>
              <w:jc w:val="center"/>
            </w:pPr>
            <w:r>
              <w:rPr>
                <w:rFonts w:ascii="宋体" w:hAnsi="宋体" w:eastAsia="宋体"/>
                <w:sz w:val="16"/>
              </w:rPr>
              <w:t>办公经费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3C8C">
            <w:pPr>
              <w:jc w:val="center"/>
            </w:pPr>
            <w:r>
              <w:rPr>
                <w:rFonts w:ascii="宋体" w:hAnsi="宋体" w:eastAsia="宋体"/>
                <w:sz w:val="16"/>
              </w:rPr>
              <w:t>&lt;=14.83万元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97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21D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CDA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CA1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AE6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9B1C4">
            <w:pPr>
              <w:jc w:val="center"/>
            </w:pPr>
            <w:r>
              <w:rPr>
                <w:rFonts w:ascii="宋体" w:hAnsi="宋体" w:eastAsia="宋体"/>
                <w:sz w:val="16"/>
              </w:rPr>
              <w:t>=14.13万元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AAE2C">
            <w:pPr>
              <w:jc w:val="center"/>
            </w:pPr>
            <w:r>
              <w:rPr>
                <w:rFonts w:ascii="宋体" w:hAnsi="宋体" w:eastAsia="宋体"/>
                <w:sz w:val="16"/>
              </w:rPr>
              <w:t>8.82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49167">
            <w:pPr>
              <w:jc w:val="center"/>
            </w:pPr>
            <w:r>
              <w:rPr>
                <w:rFonts w:ascii="宋体" w:hAnsi="宋体" w:eastAsia="宋体"/>
                <w:sz w:val="16"/>
              </w:rPr>
              <w:t>偏差原因：在办公设备购置时，选择了性价比更高的设备，降低了成本。改进措施：在满足业务需要的前提下，优先选择性价比更高的产品，避免过度配置造成浪费。</w:t>
            </w:r>
          </w:p>
        </w:tc>
      </w:tr>
      <w:tr w14:paraId="6EA59D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3A3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9CA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1AF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A2B3E">
            <w:pPr>
              <w:jc w:val="center"/>
            </w:pPr>
            <w:r>
              <w:rPr>
                <w:rFonts w:ascii="宋体" w:hAnsi="宋体" w:eastAsia="宋体"/>
                <w:sz w:val="16"/>
              </w:rPr>
              <w:t>维修(护)费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85786">
            <w:pPr>
              <w:jc w:val="center"/>
            </w:pPr>
            <w:r>
              <w:rPr>
                <w:rFonts w:ascii="宋体" w:hAnsi="宋体" w:eastAsia="宋体"/>
                <w:sz w:val="16"/>
              </w:rPr>
              <w:t>&lt;=7.50万元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B6F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BC1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C1E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F14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31B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5C4A0">
            <w:pPr>
              <w:jc w:val="center"/>
            </w:pPr>
            <w:r>
              <w:rPr>
                <w:rFonts w:ascii="宋体" w:hAnsi="宋体" w:eastAsia="宋体"/>
                <w:sz w:val="16"/>
              </w:rPr>
              <w: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8D14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20153">
            <w:pPr>
              <w:jc w:val="center"/>
            </w:pPr>
          </w:p>
        </w:tc>
      </w:tr>
      <w:tr w14:paraId="1D04B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0E1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589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A69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50E30">
            <w:pPr>
              <w:jc w:val="center"/>
            </w:pPr>
            <w:r>
              <w:rPr>
                <w:rFonts w:ascii="宋体" w:hAnsi="宋体" w:eastAsia="宋体"/>
                <w:sz w:val="16"/>
              </w:rPr>
              <w:t>其他交通费用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F185B">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E12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1C2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5A2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E68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B9E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E964">
            <w:pPr>
              <w:jc w:val="center"/>
            </w:pPr>
            <w:r>
              <w:rPr>
                <w:rFonts w:ascii="宋体" w:hAnsi="宋体" w:eastAsia="宋体"/>
                <w:sz w:val="16"/>
              </w:rPr>
              <w:t>=1.09万元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3D9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79B34">
            <w:pPr>
              <w:jc w:val="center"/>
            </w:pPr>
            <w:r>
              <w:rPr>
                <w:rFonts w:ascii="宋体" w:hAnsi="宋体" w:eastAsia="宋体"/>
                <w:sz w:val="16"/>
              </w:rPr>
              <w:t>偏差原因：因业务调整，出行需求减少，租车次数随之减少。改进措施：做好租车评估需求，按需制作预算。</w:t>
            </w:r>
          </w:p>
        </w:tc>
      </w:tr>
      <w:tr w14:paraId="5ABB0E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738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DC07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5E3B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EE90">
            <w:pPr>
              <w:jc w:val="center"/>
            </w:pPr>
            <w:r>
              <w:rPr>
                <w:rFonts w:ascii="宋体" w:hAnsi="宋体" w:eastAsia="宋体"/>
                <w:sz w:val="16"/>
              </w:rPr>
              <w:t>提升业务能力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EB67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B83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9CF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F8E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E08F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DB0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A613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9F61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E394B">
            <w:pPr>
              <w:jc w:val="center"/>
            </w:pPr>
          </w:p>
        </w:tc>
      </w:tr>
      <w:tr w14:paraId="717AF0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A72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A58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85B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E35A4">
            <w:pPr>
              <w:jc w:val="center"/>
            </w:pPr>
            <w:r>
              <w:rPr>
                <w:rFonts w:ascii="宋体" w:hAnsi="宋体" w:eastAsia="宋体"/>
                <w:sz w:val="16"/>
              </w:rPr>
              <w:t>单位使用人员满意度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070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AE6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E2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A24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502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474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F6F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5D0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EF99F">
            <w:pPr>
              <w:jc w:val="center"/>
            </w:pPr>
          </w:p>
        </w:tc>
      </w:tr>
      <w:tr w14:paraId="327BC17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AEC43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1DF7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B026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A8A01">
            <w:pPr>
              <w:jc w:val="center"/>
            </w:pPr>
            <w:r>
              <w:rPr>
                <w:rFonts w:ascii="宋体" w:hAnsi="宋体" w:eastAsia="宋体"/>
                <w:sz w:val="16"/>
              </w:rPr>
              <w:t>92.16分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BD9A190"/>
        </w:tc>
      </w:tr>
    </w:tbl>
    <w:p w14:paraId="69B5BA9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70B0EAE">
        <w:tblPrEx>
          <w:tblCellMar>
            <w:top w:w="0" w:type="dxa"/>
            <w:left w:w="108" w:type="dxa"/>
            <w:bottom w:w="0" w:type="dxa"/>
            <w:right w:w="108" w:type="dxa"/>
          </w:tblCellMar>
        </w:tblPrEx>
        <w:tc>
          <w:tcPr>
            <w:tcW w:w="8848" w:type="dxa"/>
            <w:gridSpan w:val="14"/>
            <w:vAlign w:val="center"/>
          </w:tcPr>
          <w:p w14:paraId="72BD10D4">
            <w:pPr>
              <w:jc w:val="center"/>
            </w:pPr>
            <w:r>
              <w:rPr>
                <w:rFonts w:ascii="宋体" w:hAnsi="宋体" w:eastAsia="宋体"/>
                <w:sz w:val="24"/>
              </w:rPr>
              <w:t>项目支出绩效自评表</w:t>
            </w:r>
          </w:p>
        </w:tc>
      </w:tr>
      <w:tr w14:paraId="48C2CD7D">
        <w:tblPrEx>
          <w:tblCellMar>
            <w:top w:w="0" w:type="dxa"/>
            <w:left w:w="108" w:type="dxa"/>
            <w:bottom w:w="0" w:type="dxa"/>
            <w:right w:w="108" w:type="dxa"/>
          </w:tblCellMar>
        </w:tblPrEx>
        <w:tc>
          <w:tcPr>
            <w:tcW w:w="8848" w:type="dxa"/>
            <w:gridSpan w:val="14"/>
            <w:vAlign w:val="center"/>
          </w:tcPr>
          <w:p w14:paraId="5A18A964">
            <w:pPr>
              <w:jc w:val="center"/>
            </w:pPr>
            <w:r>
              <w:rPr>
                <w:rFonts w:ascii="宋体" w:hAnsi="宋体" w:eastAsia="宋体"/>
                <w:sz w:val="24"/>
              </w:rPr>
              <w:t>(2024年度)</w:t>
            </w:r>
          </w:p>
        </w:tc>
      </w:tr>
      <w:tr w14:paraId="58ADEC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3C1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1D8AFE">
            <w:pPr>
              <w:jc w:val="center"/>
            </w:pPr>
            <w:r>
              <w:rPr>
                <w:rFonts w:ascii="宋体" w:hAnsi="宋体" w:eastAsia="宋体"/>
                <w:sz w:val="16"/>
              </w:rPr>
              <w:t>财务独立核算项目</w:t>
            </w:r>
          </w:p>
        </w:tc>
      </w:tr>
      <w:tr w14:paraId="67C5BC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CF6A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2B17B9">
            <w:pPr>
              <w:jc w:val="center"/>
            </w:pPr>
            <w:r>
              <w:rPr>
                <w:rFonts w:ascii="宋体" w:hAnsi="宋体" w:eastAsia="宋体"/>
                <w:sz w:val="16"/>
              </w:rPr>
              <w:t>新疆维吾尔自治区喀什地区行政公署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0E4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4606D6">
            <w:pPr>
              <w:jc w:val="center"/>
            </w:pPr>
            <w:r>
              <w:rPr>
                <w:rFonts w:ascii="宋体" w:hAnsi="宋体" w:eastAsia="宋体"/>
                <w:sz w:val="16"/>
              </w:rPr>
              <w:t>新疆维吾尔自治区喀什地区信访局</w:t>
            </w:r>
          </w:p>
        </w:tc>
      </w:tr>
      <w:tr w14:paraId="1DA5D8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AF04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AC9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D08B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D99B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3FCC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7C22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854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9ECD1">
            <w:pPr>
              <w:jc w:val="center"/>
            </w:pPr>
            <w:r>
              <w:rPr>
                <w:rFonts w:ascii="宋体" w:hAnsi="宋体" w:eastAsia="宋体"/>
                <w:sz w:val="16"/>
              </w:rPr>
              <w:t>得分</w:t>
            </w:r>
          </w:p>
        </w:tc>
      </w:tr>
      <w:tr w14:paraId="55B9B3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7C3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95C2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E3286">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4B954">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B03EB">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A73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D046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8FB71">
            <w:pPr>
              <w:jc w:val="center"/>
            </w:pPr>
            <w:r>
              <w:rPr>
                <w:rFonts w:ascii="宋体" w:hAnsi="宋体" w:eastAsia="宋体"/>
                <w:sz w:val="16"/>
              </w:rPr>
              <w:t>10.00分</w:t>
            </w:r>
          </w:p>
        </w:tc>
      </w:tr>
      <w:tr w14:paraId="275893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2E5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E4A7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6C691">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DC9CA">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24166">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B35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4CC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78265">
            <w:pPr>
              <w:jc w:val="center"/>
            </w:pPr>
            <w:r>
              <w:rPr>
                <w:rFonts w:ascii="宋体" w:hAnsi="宋体" w:eastAsia="宋体"/>
                <w:sz w:val="16"/>
              </w:rPr>
              <w:t>—</w:t>
            </w:r>
          </w:p>
        </w:tc>
      </w:tr>
      <w:tr w14:paraId="0BDF0D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463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914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6C4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52A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9ED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BCE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C45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A3455">
            <w:pPr>
              <w:jc w:val="center"/>
            </w:pPr>
            <w:r>
              <w:rPr>
                <w:rFonts w:ascii="宋体" w:hAnsi="宋体" w:eastAsia="宋体"/>
                <w:sz w:val="16"/>
              </w:rPr>
              <w:t>—</w:t>
            </w:r>
          </w:p>
        </w:tc>
      </w:tr>
      <w:tr w14:paraId="129EA2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1CB1E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C2F8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E0826A">
            <w:pPr>
              <w:jc w:val="center"/>
            </w:pPr>
            <w:r>
              <w:rPr>
                <w:rFonts w:ascii="宋体" w:hAnsi="宋体" w:eastAsia="宋体"/>
                <w:sz w:val="16"/>
              </w:rPr>
              <w:t>实际完成情况</w:t>
            </w:r>
          </w:p>
        </w:tc>
      </w:tr>
      <w:tr w14:paraId="704268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E92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01B9C2">
            <w:pPr>
              <w:jc w:val="both"/>
            </w:pPr>
            <w:r>
              <w:rPr>
                <w:rFonts w:ascii="宋体" w:hAnsi="宋体" w:eastAsia="宋体"/>
                <w:sz w:val="16"/>
              </w:rPr>
              <w:t>《关于进一步解决进京非正常上访突出问题的若干意见》（中综办</w:t>
            </w:r>
            <w:r>
              <w:rPr>
                <w:rFonts w:hint="eastAsia" w:ascii="宋体" w:hAnsi="宋体"/>
                <w:sz w:val="16"/>
                <w:lang w:eastAsia="zh-CN"/>
              </w:rPr>
              <w:t>〔2014〕5号</w:t>
            </w:r>
            <w:r>
              <w:rPr>
                <w:rFonts w:ascii="宋体" w:hAnsi="宋体" w:eastAsia="宋体"/>
                <w:sz w:val="16"/>
              </w:rPr>
              <w:t>）要求，此项工作多年来运行正常，在国家和自治区重大活动和敏感时期保证了信访秩序。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862AD4">
            <w:pPr>
              <w:jc w:val="both"/>
            </w:pPr>
            <w:r>
              <w:rPr>
                <w:rFonts w:ascii="宋体" w:hAnsi="宋体" w:eastAsia="宋体"/>
                <w:sz w:val="16"/>
              </w:rPr>
              <w:t>该项目预算金额为1.5万元，目前已执行1.5万元，执行完毕。资金用于购买一体机，设备已验收合格，此项目保障本单位财务核算能够正常运行。</w:t>
            </w:r>
          </w:p>
        </w:tc>
      </w:tr>
      <w:tr w14:paraId="621600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AD16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634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D3F1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AD7D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E906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D68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57CD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66B3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617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74F5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AAF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9D4E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8D1C7">
            <w:pPr>
              <w:jc w:val="center"/>
            </w:pPr>
            <w:r>
              <w:rPr>
                <w:rFonts w:ascii="宋体" w:hAnsi="宋体" w:eastAsia="宋体"/>
                <w:sz w:val="16"/>
              </w:rPr>
              <w:t>偏差原因分析及改进措施</w:t>
            </w:r>
          </w:p>
        </w:tc>
      </w:tr>
      <w:tr w14:paraId="736F4B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28CA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5C1D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ABD4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0BE14">
            <w:pPr>
              <w:jc w:val="center"/>
            </w:pPr>
            <w:r>
              <w:rPr>
                <w:rFonts w:ascii="宋体" w:hAnsi="宋体" w:eastAsia="宋体"/>
                <w:sz w:val="16"/>
              </w:rPr>
              <w:t>购买一体机数量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28E7">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C58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8C4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279B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DBAB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961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E59A1">
            <w:pPr>
              <w:jc w:val="center"/>
            </w:pPr>
            <w:r>
              <w:rPr>
                <w:rFonts w:ascii="宋体" w:hAnsi="宋体" w:eastAsia="宋体"/>
                <w:sz w:val="16"/>
              </w:rPr>
              <w: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2FDA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55DD0">
            <w:pPr>
              <w:jc w:val="center"/>
            </w:pPr>
            <w:r>
              <w:rPr>
                <w:rFonts w:ascii="宋体" w:hAnsi="宋体" w:eastAsia="宋体"/>
                <w:sz w:val="16"/>
              </w:rPr>
              <w:t>偏差原因：制定采购需求时，对需求考虑不充分，导致目标值设置过低。</w:t>
            </w:r>
          </w:p>
        </w:tc>
      </w:tr>
      <w:tr w14:paraId="30149F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522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7C4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5881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33D4D">
            <w:pPr>
              <w:jc w:val="center"/>
            </w:pPr>
            <w:r>
              <w:rPr>
                <w:rFonts w:ascii="宋体" w:hAnsi="宋体" w:eastAsia="宋体"/>
                <w:sz w:val="16"/>
              </w:rPr>
              <w:t>购买设备验收合格率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48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29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225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EC6E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198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37C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1A6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48EB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EEB01">
            <w:pPr>
              <w:jc w:val="center"/>
            </w:pPr>
          </w:p>
        </w:tc>
      </w:tr>
      <w:tr w14:paraId="1755E3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3B8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61E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85BD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B39E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8235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868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53F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4F8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422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5F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5AB32">
            <w:pPr>
              <w:jc w:val="center"/>
            </w:pPr>
            <w:r>
              <w:rPr>
                <w:rFonts w:ascii="宋体" w:hAnsi="宋体" w:eastAsia="宋体"/>
                <w:sz w:val="16"/>
              </w:rPr>
              <w:t>=2024年7月3日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65A6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732B0">
            <w:pPr>
              <w:jc w:val="center"/>
            </w:pPr>
          </w:p>
        </w:tc>
      </w:tr>
      <w:tr w14:paraId="5B1A2D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8E4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B82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2AB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C83B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92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B4C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125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AD7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B80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A6F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B60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409E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25893">
            <w:pPr>
              <w:jc w:val="center"/>
            </w:pPr>
          </w:p>
        </w:tc>
      </w:tr>
      <w:tr w14:paraId="115BFA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52A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6D92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066C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2E0CE">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47B70">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7E3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980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119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26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99E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7878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EF57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44B2D">
            <w:pPr>
              <w:jc w:val="center"/>
            </w:pPr>
          </w:p>
        </w:tc>
      </w:tr>
      <w:tr w14:paraId="0F998E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D15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B5E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4B11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DFE95">
            <w:pPr>
              <w:jc w:val="center"/>
            </w:pPr>
            <w:r>
              <w:rPr>
                <w:rFonts w:ascii="宋体" w:hAnsi="宋体" w:eastAsia="宋体"/>
                <w:sz w:val="16"/>
              </w:rPr>
              <w:t>业务保障能力提升情况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D254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189C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261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E5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F97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B3A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EE02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5997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8D286">
            <w:pPr>
              <w:jc w:val="center"/>
            </w:pPr>
          </w:p>
        </w:tc>
      </w:tr>
      <w:tr w14:paraId="69615C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6C9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DD4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F62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3087E">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5EA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0D9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5C3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7BB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3AB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22F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172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2F9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3AA2F">
            <w:pPr>
              <w:jc w:val="center"/>
            </w:pPr>
          </w:p>
        </w:tc>
      </w:tr>
      <w:tr w14:paraId="37BE99E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535F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96A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93E8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12376">
            <w:pPr>
              <w:jc w:val="center"/>
            </w:pPr>
            <w:r>
              <w:rPr>
                <w:rFonts w:ascii="宋体" w:hAnsi="宋体" w:eastAsia="宋体"/>
                <w:sz w:val="16"/>
              </w:rPr>
              <w:t>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4D7D8D9"/>
        </w:tc>
      </w:tr>
    </w:tbl>
    <w:p w14:paraId="32051EBD">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14:paraId="34AF696F">
        <w:tblPrEx>
          <w:tblCellMar>
            <w:top w:w="0" w:type="dxa"/>
            <w:left w:w="108" w:type="dxa"/>
            <w:bottom w:w="0" w:type="dxa"/>
            <w:right w:w="108" w:type="dxa"/>
          </w:tblCellMar>
        </w:tblPrEx>
        <w:tc>
          <w:tcPr>
            <w:tcW w:w="8848" w:type="dxa"/>
            <w:gridSpan w:val="14"/>
            <w:vAlign w:val="center"/>
          </w:tcPr>
          <w:p w14:paraId="4208DB6A">
            <w:pPr>
              <w:jc w:val="center"/>
            </w:pPr>
            <w:r>
              <w:rPr>
                <w:rFonts w:ascii="宋体" w:hAnsi="宋体" w:eastAsia="宋体"/>
                <w:sz w:val="24"/>
              </w:rPr>
              <w:t>项目支出绩效自评表</w:t>
            </w:r>
          </w:p>
        </w:tc>
      </w:tr>
      <w:tr w14:paraId="20E30574">
        <w:tblPrEx>
          <w:tblCellMar>
            <w:top w:w="0" w:type="dxa"/>
            <w:left w:w="108" w:type="dxa"/>
            <w:bottom w:w="0" w:type="dxa"/>
            <w:right w:w="108" w:type="dxa"/>
          </w:tblCellMar>
        </w:tblPrEx>
        <w:tc>
          <w:tcPr>
            <w:tcW w:w="8848" w:type="dxa"/>
            <w:gridSpan w:val="14"/>
            <w:vAlign w:val="center"/>
          </w:tcPr>
          <w:p w14:paraId="223F85BE">
            <w:pPr>
              <w:jc w:val="center"/>
            </w:pPr>
            <w:r>
              <w:rPr>
                <w:rFonts w:ascii="宋体" w:hAnsi="宋体" w:eastAsia="宋体"/>
                <w:sz w:val="24"/>
              </w:rPr>
              <w:t>(2024年度)</w:t>
            </w:r>
          </w:p>
        </w:tc>
      </w:tr>
      <w:tr w14:paraId="7F017D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F336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1B120F">
            <w:pPr>
              <w:jc w:val="center"/>
            </w:pPr>
            <w:r>
              <w:rPr>
                <w:rFonts w:ascii="宋体" w:hAnsi="宋体" w:eastAsia="宋体"/>
                <w:sz w:val="16"/>
              </w:rPr>
              <w:t>赴阿克苏地区温宿县考察学习经费</w:t>
            </w:r>
            <w:r>
              <w:rPr>
                <w:rFonts w:hint="eastAsia" w:ascii="宋体" w:hAnsi="宋体"/>
                <w:sz w:val="16"/>
                <w:lang w:eastAsia="zh-CN"/>
              </w:rPr>
              <w:t>项目</w:t>
            </w:r>
          </w:p>
        </w:tc>
      </w:tr>
      <w:tr w14:paraId="16ACDD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E0E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1A1C9C">
            <w:pPr>
              <w:jc w:val="center"/>
            </w:pPr>
            <w:r>
              <w:rPr>
                <w:rFonts w:ascii="宋体" w:hAnsi="宋体" w:eastAsia="宋体"/>
                <w:sz w:val="16"/>
              </w:rPr>
              <w:t>新疆维吾尔自治区喀什地区行政公署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F3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415700">
            <w:pPr>
              <w:jc w:val="center"/>
            </w:pPr>
            <w:r>
              <w:rPr>
                <w:rFonts w:ascii="宋体" w:hAnsi="宋体" w:eastAsia="宋体"/>
                <w:sz w:val="16"/>
              </w:rPr>
              <w:t>新疆维吾尔自治区喀什地区信访局</w:t>
            </w:r>
          </w:p>
        </w:tc>
      </w:tr>
      <w:tr w14:paraId="0E78B7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7CC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C7AD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E3F5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35A0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128F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48A6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8DDA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D369E">
            <w:pPr>
              <w:jc w:val="center"/>
            </w:pPr>
            <w:r>
              <w:rPr>
                <w:rFonts w:ascii="宋体" w:hAnsi="宋体" w:eastAsia="宋体"/>
                <w:sz w:val="16"/>
              </w:rPr>
              <w:t>得分</w:t>
            </w:r>
          </w:p>
        </w:tc>
      </w:tr>
      <w:tr w14:paraId="1A13CE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336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F841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557F2">
            <w:pPr>
              <w:jc w:val="center"/>
            </w:pPr>
            <w:r>
              <w:rPr>
                <w:rFonts w:ascii="宋体" w:hAnsi="宋体" w:eastAsia="宋体"/>
                <w:sz w:val="16"/>
              </w:rPr>
              <w:t>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28B8D">
            <w:pPr>
              <w:jc w:val="center"/>
            </w:pPr>
            <w:r>
              <w:rPr>
                <w:rFonts w:ascii="宋体" w:hAnsi="宋体" w:eastAsia="宋体"/>
                <w:sz w:val="16"/>
              </w:rPr>
              <w:t>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3B3AF">
            <w:pPr>
              <w:jc w:val="center"/>
            </w:pPr>
            <w:r>
              <w:rPr>
                <w:rFonts w:ascii="宋体" w:hAnsi="宋体" w:eastAsia="宋体"/>
                <w:sz w:val="16"/>
              </w:rPr>
              <w:t>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455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2805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04C2">
            <w:pPr>
              <w:jc w:val="center"/>
            </w:pPr>
            <w:r>
              <w:rPr>
                <w:rFonts w:ascii="宋体" w:hAnsi="宋体" w:eastAsia="宋体"/>
                <w:sz w:val="16"/>
              </w:rPr>
              <w:t>10.00分</w:t>
            </w:r>
          </w:p>
        </w:tc>
      </w:tr>
      <w:tr w14:paraId="62E990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8CE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C3CC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BE243">
            <w:pPr>
              <w:jc w:val="center"/>
            </w:pPr>
            <w:r>
              <w:rPr>
                <w:rFonts w:ascii="宋体" w:hAnsi="宋体" w:eastAsia="宋体"/>
                <w:sz w:val="16"/>
              </w:rPr>
              <w:t>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6B40F">
            <w:pPr>
              <w:jc w:val="center"/>
            </w:pPr>
            <w:r>
              <w:rPr>
                <w:rFonts w:ascii="宋体" w:hAnsi="宋体" w:eastAsia="宋体"/>
                <w:sz w:val="16"/>
              </w:rPr>
              <w:t>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709B2">
            <w:pPr>
              <w:jc w:val="center"/>
            </w:pPr>
            <w:r>
              <w:rPr>
                <w:rFonts w:ascii="宋体" w:hAnsi="宋体" w:eastAsia="宋体"/>
                <w:sz w:val="16"/>
              </w:rPr>
              <w:t>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15C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3F1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68D7B">
            <w:pPr>
              <w:jc w:val="center"/>
            </w:pPr>
            <w:r>
              <w:rPr>
                <w:rFonts w:ascii="宋体" w:hAnsi="宋体" w:eastAsia="宋体"/>
                <w:sz w:val="16"/>
              </w:rPr>
              <w:t>—</w:t>
            </w:r>
          </w:p>
        </w:tc>
      </w:tr>
      <w:tr w14:paraId="5CBE9E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A0A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B825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3BD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8E5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53F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30F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54B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701D">
            <w:pPr>
              <w:jc w:val="center"/>
            </w:pPr>
            <w:r>
              <w:rPr>
                <w:rFonts w:ascii="宋体" w:hAnsi="宋体" w:eastAsia="宋体"/>
                <w:sz w:val="16"/>
              </w:rPr>
              <w:t>—</w:t>
            </w:r>
          </w:p>
        </w:tc>
      </w:tr>
      <w:tr w14:paraId="7BFE7F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0F06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8507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B6236A">
            <w:pPr>
              <w:jc w:val="center"/>
            </w:pPr>
            <w:r>
              <w:rPr>
                <w:rFonts w:ascii="宋体" w:hAnsi="宋体" w:eastAsia="宋体"/>
                <w:sz w:val="16"/>
              </w:rPr>
              <w:t>实际完成情况</w:t>
            </w:r>
          </w:p>
        </w:tc>
      </w:tr>
      <w:tr w14:paraId="3766D1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BEF2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ABA8B2">
            <w:pPr>
              <w:jc w:val="both"/>
            </w:pPr>
            <w:r>
              <w:rPr>
                <w:rFonts w:ascii="宋体" w:hAnsi="宋体" w:eastAsia="宋体"/>
                <w:sz w:val="16"/>
              </w:rPr>
              <w:t>为贯彻落实中央、自治区信访工作联席会议办公室全面推进信访工作法制化部署要求，积极学习</w:t>
            </w:r>
            <w:r>
              <w:rPr>
                <w:rFonts w:hint="eastAsia" w:ascii="宋体" w:hAnsi="宋体"/>
                <w:sz w:val="16"/>
                <w:lang w:eastAsia="zh-CN"/>
              </w:rPr>
              <w:t>借鉴</w:t>
            </w:r>
            <w:r>
              <w:rPr>
                <w:rFonts w:ascii="宋体" w:hAnsi="宋体" w:eastAsia="宋体"/>
                <w:sz w:val="16"/>
              </w:rPr>
              <w:t>其他地区信访工作法治化试点县工作经验做法，此项目保障活动正常运行。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A0A5CC">
            <w:pPr>
              <w:jc w:val="both"/>
            </w:pPr>
            <w:r>
              <w:rPr>
                <w:rFonts w:ascii="宋体" w:hAnsi="宋体" w:eastAsia="宋体"/>
                <w:sz w:val="16"/>
              </w:rPr>
              <w:t>组织各县市信访部门负责同志赴阿克苏地区温宿县开展为期3天的考察学习活动。为保障活动正常开展，所需经费合计为9800元。</w:t>
            </w:r>
          </w:p>
        </w:tc>
      </w:tr>
      <w:tr w14:paraId="76F30E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941A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C87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624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90E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FE5A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B04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EDE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B29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C353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277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F23F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B04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F6C0C">
            <w:pPr>
              <w:jc w:val="center"/>
            </w:pPr>
            <w:r>
              <w:rPr>
                <w:rFonts w:ascii="宋体" w:hAnsi="宋体" w:eastAsia="宋体"/>
                <w:sz w:val="16"/>
              </w:rPr>
              <w:t>偏差原因分析及改进措施</w:t>
            </w:r>
          </w:p>
        </w:tc>
      </w:tr>
      <w:tr w14:paraId="1B6FDB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6A91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AA7B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F544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AD831">
            <w:pPr>
              <w:jc w:val="center"/>
            </w:pPr>
            <w:r>
              <w:rPr>
                <w:rFonts w:ascii="宋体" w:hAnsi="宋体" w:eastAsia="宋体"/>
                <w:sz w:val="16"/>
              </w:rPr>
              <w:t>赴阿克苏考察人员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80F89">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A95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0BC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E9A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032A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06A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5DD96">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012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A4D8C">
            <w:pPr>
              <w:jc w:val="center"/>
            </w:pPr>
          </w:p>
        </w:tc>
      </w:tr>
      <w:tr w14:paraId="67C264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19F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6D2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9D8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4F782">
            <w:pPr>
              <w:jc w:val="center"/>
            </w:pPr>
            <w:r>
              <w:rPr>
                <w:rFonts w:ascii="宋体" w:hAnsi="宋体" w:eastAsia="宋体"/>
                <w:sz w:val="16"/>
              </w:rPr>
              <w:t>考察学习天数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82FC">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2C8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4C0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E87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118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2B7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6CFE5">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390D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71E8C">
            <w:pPr>
              <w:jc w:val="center"/>
            </w:pPr>
          </w:p>
        </w:tc>
      </w:tr>
      <w:tr w14:paraId="5FEA24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687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17C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6659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3804">
            <w:pPr>
              <w:jc w:val="center"/>
            </w:pPr>
            <w:r>
              <w:rPr>
                <w:rFonts w:ascii="宋体" w:hAnsi="宋体" w:eastAsia="宋体"/>
                <w:sz w:val="16"/>
              </w:rPr>
              <w:t>考察学习工作完成率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6F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AD3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2FE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B4D3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EFC9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71C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FDD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49F0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174DD">
            <w:pPr>
              <w:jc w:val="center"/>
            </w:pPr>
          </w:p>
        </w:tc>
      </w:tr>
      <w:tr w14:paraId="7F4C7D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BD7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7C3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90A7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A947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17F17">
            <w:pPr>
              <w:jc w:val="center"/>
            </w:pPr>
            <w:r>
              <w:rPr>
                <w:rFonts w:ascii="宋体" w:hAnsi="宋体" w:eastAsia="宋体"/>
                <w:sz w:val="16"/>
              </w:rPr>
              <w:t>=2024年5月25日前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7F2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125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EF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DDC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49A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FE0F7">
            <w:pPr>
              <w:jc w:val="center"/>
            </w:pPr>
            <w:r>
              <w:rPr>
                <w:rFonts w:ascii="宋体" w:hAnsi="宋体" w:eastAsia="宋体"/>
                <w:sz w:val="16"/>
              </w:rPr>
              <w:t>=2024年5月25日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51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E4C17">
            <w:pPr>
              <w:jc w:val="center"/>
            </w:pPr>
          </w:p>
        </w:tc>
      </w:tr>
      <w:tr w14:paraId="1A1A5E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A95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547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9F2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18EA0">
            <w:pPr>
              <w:jc w:val="center"/>
            </w:pPr>
            <w:r>
              <w:rPr>
                <w:rFonts w:ascii="宋体" w:hAnsi="宋体" w:eastAsia="宋体"/>
                <w:sz w:val="16"/>
              </w:rPr>
              <w:t>考察人员平均成本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6223">
            <w:pPr>
              <w:jc w:val="center"/>
            </w:pPr>
            <w:r>
              <w:rPr>
                <w:rFonts w:ascii="宋体" w:hAnsi="宋体" w:eastAsia="宋体"/>
                <w:sz w:val="16"/>
              </w:rPr>
              <w:t>&lt;=0.0576万元/人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1F9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595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5B4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4ED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04E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F2175">
            <w:pPr>
              <w:jc w:val="center"/>
            </w:pPr>
            <w:r>
              <w:rPr>
                <w:rFonts w:ascii="宋体" w:hAnsi="宋体" w:eastAsia="宋体"/>
                <w:sz w:val="16"/>
              </w:rPr>
              <w:t>=0.0576万元/人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D1A0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96556">
            <w:pPr>
              <w:jc w:val="center"/>
            </w:pPr>
          </w:p>
        </w:tc>
      </w:tr>
      <w:tr w14:paraId="310D84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F30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980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587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64802">
            <w:pPr>
              <w:jc w:val="center"/>
            </w:pPr>
            <w:r>
              <w:rPr>
                <w:rFonts w:ascii="宋体" w:hAnsi="宋体" w:eastAsia="宋体"/>
                <w:sz w:val="16"/>
              </w:rPr>
              <w:t>保障信访秩序稳固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06B8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A9B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0C5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3C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6A99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739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B603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2833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8F630">
            <w:pPr>
              <w:jc w:val="center"/>
            </w:pPr>
          </w:p>
        </w:tc>
      </w:tr>
      <w:tr w14:paraId="51220F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610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83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0E4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42D28">
            <w:pPr>
              <w:jc w:val="center"/>
            </w:pPr>
            <w:r>
              <w:rPr>
                <w:rFonts w:ascii="宋体" w:hAnsi="宋体" w:eastAsia="宋体"/>
                <w:sz w:val="16"/>
              </w:rPr>
              <w:t>考察学习人员满意度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78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95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5B6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BC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27BD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F76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29A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05D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8BC26">
            <w:pPr>
              <w:jc w:val="center"/>
            </w:pPr>
          </w:p>
        </w:tc>
      </w:tr>
      <w:tr w14:paraId="33E4089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A7363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BA0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72E8F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EBA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BB7C3B8"/>
        </w:tc>
      </w:tr>
    </w:tbl>
    <w:p w14:paraId="3C99CE76">
      <w:r>
        <w:br w:type="page"/>
      </w:r>
    </w:p>
    <w:p w14:paraId="514A16B4">
      <w:pPr>
        <w:spacing w:line="640" w:lineRule="exact"/>
        <w:ind w:firstLine="640"/>
        <w:jc w:val="both"/>
        <w:outlineLvl w:val="2"/>
      </w:pPr>
      <w:r>
        <w:rPr>
          <w:rFonts w:ascii="黑体" w:hAnsi="黑体" w:eastAsia="黑体"/>
          <w:sz w:val="32"/>
        </w:rPr>
        <w:t>十二、其他需说明的事项</w:t>
      </w:r>
    </w:p>
    <w:p w14:paraId="4C202A4E">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项目4个，全年预算数40.11万元，全年执行数38.46万元。</w:t>
      </w:r>
      <w:bookmarkStart w:id="0" w:name="_GoBack"/>
      <w:bookmarkEnd w:id="0"/>
    </w:p>
    <w:p w14:paraId="24B2EA1F">
      <w:r>
        <w:br w:type="page"/>
      </w:r>
    </w:p>
    <w:p w14:paraId="4CF2C132">
      <w:pPr>
        <w:spacing w:line="240" w:lineRule="auto"/>
        <w:jc w:val="center"/>
        <w:outlineLvl w:val="1"/>
      </w:pPr>
      <w:r>
        <w:rPr>
          <w:rFonts w:ascii="黑体" w:hAnsi="黑体" w:eastAsia="黑体"/>
          <w:sz w:val="32"/>
        </w:rPr>
        <w:t>第三部分 专业名词解释</w:t>
      </w:r>
    </w:p>
    <w:p w14:paraId="3FF2D93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C1D18C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244ADD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200ED2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21AD2A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02B0D2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1CFA2A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6D166A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8200F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B3E5B4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5F4682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44AC0B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4CAB6B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C7224C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C35E1C0">
      <w:r>
        <w:br w:type="page"/>
      </w:r>
    </w:p>
    <w:p w14:paraId="10165671">
      <w:pPr>
        <w:spacing w:line="240" w:lineRule="auto"/>
        <w:jc w:val="center"/>
        <w:outlineLvl w:val="1"/>
      </w:pPr>
      <w:r>
        <w:rPr>
          <w:rFonts w:ascii="黑体" w:hAnsi="黑体" w:eastAsia="黑体"/>
          <w:sz w:val="32"/>
        </w:rPr>
        <w:t>第四部分 部门决算报表（见附表）</w:t>
      </w:r>
    </w:p>
    <w:p w14:paraId="4E724BE7">
      <w:pPr>
        <w:spacing w:line="240" w:lineRule="auto"/>
        <w:ind w:firstLine="640"/>
        <w:jc w:val="both"/>
      </w:pPr>
      <w:r>
        <w:rPr>
          <w:rFonts w:ascii="仿宋_GB2312" w:hAnsi="仿宋_GB2312" w:eastAsia="仿宋_GB2312"/>
          <w:b w:val="0"/>
          <w:sz w:val="32"/>
        </w:rPr>
        <w:t>一、《收入支出决算总表》</w:t>
      </w:r>
    </w:p>
    <w:p w14:paraId="5F94982A">
      <w:pPr>
        <w:spacing w:line="240" w:lineRule="auto"/>
        <w:ind w:firstLine="640"/>
        <w:jc w:val="both"/>
      </w:pPr>
      <w:r>
        <w:rPr>
          <w:rFonts w:ascii="仿宋_GB2312" w:hAnsi="仿宋_GB2312" w:eastAsia="仿宋_GB2312"/>
          <w:b w:val="0"/>
          <w:sz w:val="32"/>
        </w:rPr>
        <w:t>二、《收入决算表》</w:t>
      </w:r>
    </w:p>
    <w:p w14:paraId="15D06EAE">
      <w:pPr>
        <w:spacing w:line="240" w:lineRule="auto"/>
        <w:ind w:firstLine="640"/>
        <w:jc w:val="both"/>
      </w:pPr>
      <w:r>
        <w:rPr>
          <w:rFonts w:ascii="仿宋_GB2312" w:hAnsi="仿宋_GB2312" w:eastAsia="仿宋_GB2312"/>
          <w:b w:val="0"/>
          <w:sz w:val="32"/>
        </w:rPr>
        <w:t>三、《支出决算表》</w:t>
      </w:r>
    </w:p>
    <w:p w14:paraId="65559F13">
      <w:pPr>
        <w:spacing w:line="240" w:lineRule="auto"/>
        <w:ind w:firstLine="640"/>
        <w:jc w:val="both"/>
      </w:pPr>
      <w:r>
        <w:rPr>
          <w:rFonts w:ascii="仿宋_GB2312" w:hAnsi="仿宋_GB2312" w:eastAsia="仿宋_GB2312"/>
          <w:b w:val="0"/>
          <w:sz w:val="32"/>
        </w:rPr>
        <w:t>四、《财政拨款收入支出决算总表》</w:t>
      </w:r>
    </w:p>
    <w:p w14:paraId="2CF18A98">
      <w:pPr>
        <w:spacing w:line="240" w:lineRule="auto"/>
        <w:ind w:firstLine="640"/>
        <w:jc w:val="both"/>
      </w:pPr>
      <w:r>
        <w:rPr>
          <w:rFonts w:ascii="仿宋_GB2312" w:hAnsi="仿宋_GB2312" w:eastAsia="仿宋_GB2312"/>
          <w:b w:val="0"/>
          <w:sz w:val="32"/>
        </w:rPr>
        <w:t>五、《一般公共预算财政拨款支出决算表》</w:t>
      </w:r>
    </w:p>
    <w:p w14:paraId="15345D77">
      <w:pPr>
        <w:spacing w:line="240" w:lineRule="auto"/>
        <w:ind w:firstLine="640"/>
        <w:jc w:val="both"/>
      </w:pPr>
      <w:r>
        <w:rPr>
          <w:rFonts w:ascii="仿宋_GB2312" w:hAnsi="仿宋_GB2312" w:eastAsia="仿宋_GB2312"/>
          <w:b w:val="0"/>
          <w:sz w:val="32"/>
        </w:rPr>
        <w:t>六、《一般公共预算财政拨款基本支出决算表》</w:t>
      </w:r>
    </w:p>
    <w:p w14:paraId="51EAB6D2">
      <w:pPr>
        <w:spacing w:line="240" w:lineRule="auto"/>
        <w:ind w:firstLine="640"/>
        <w:jc w:val="both"/>
      </w:pPr>
      <w:r>
        <w:rPr>
          <w:rFonts w:ascii="仿宋_GB2312" w:hAnsi="仿宋_GB2312" w:eastAsia="仿宋_GB2312"/>
          <w:b w:val="0"/>
          <w:sz w:val="32"/>
        </w:rPr>
        <w:t>七、《政府性基金预算财政拨款收入支出决算表》</w:t>
      </w:r>
    </w:p>
    <w:p w14:paraId="2BC94440">
      <w:pPr>
        <w:spacing w:line="240" w:lineRule="auto"/>
        <w:ind w:firstLine="640"/>
        <w:jc w:val="both"/>
      </w:pPr>
      <w:r>
        <w:rPr>
          <w:rFonts w:ascii="仿宋_GB2312" w:hAnsi="仿宋_GB2312" w:eastAsia="仿宋_GB2312"/>
          <w:b w:val="0"/>
          <w:sz w:val="32"/>
        </w:rPr>
        <w:t>八、《国有资本经营预算财政拨款收入支出决算表》</w:t>
      </w:r>
    </w:p>
    <w:p w14:paraId="4D66DE44">
      <w:pPr>
        <w:spacing w:line="240" w:lineRule="auto"/>
        <w:ind w:firstLine="640"/>
        <w:jc w:val="both"/>
      </w:pPr>
      <w:r>
        <w:rPr>
          <w:rFonts w:ascii="仿宋_GB2312" w:hAnsi="仿宋_GB2312" w:eastAsia="仿宋_GB2312"/>
          <w:b w:val="0"/>
          <w:sz w:val="32"/>
        </w:rPr>
        <w:t>九、《财政拨款“三公”经费支出决算表》</w:t>
      </w:r>
    </w:p>
    <w:p w14:paraId="34010B69">
      <w:pPr>
        <w:spacing w:line="240" w:lineRule="auto"/>
        <w:ind w:firstLine="640"/>
        <w:jc w:val="both"/>
      </w:pPr>
    </w:p>
    <w:p w14:paraId="6B2AFE80">
      <w:pPr>
        <w:spacing w:line="240" w:lineRule="auto"/>
        <w:ind w:firstLine="640"/>
        <w:jc w:val="both"/>
      </w:pPr>
    </w:p>
    <w:p w14:paraId="1C4E75EF">
      <w:pPr>
        <w:spacing w:line="240" w:lineRule="auto"/>
        <w:ind w:firstLine="640"/>
        <w:jc w:val="both"/>
      </w:pPr>
    </w:p>
    <w:p w14:paraId="008CB726">
      <w:pPr>
        <w:spacing w:line="240" w:lineRule="auto"/>
        <w:ind w:firstLine="640"/>
        <w:jc w:val="both"/>
      </w:pPr>
    </w:p>
    <w:p w14:paraId="04F5616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79162D-EC83-4928-A3C9-3AF6E5BF6C0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74D0F2C-B810-42BA-A3F4-D92B6C17D1FA}"/>
  </w:font>
  <w:font w:name="方正小标宋_GBK">
    <w:panose1 w:val="02000000000000000000"/>
    <w:charset w:val="86"/>
    <w:family w:val="script"/>
    <w:pitch w:val="default"/>
    <w:sig w:usb0="A00002BF" w:usb1="38CF7CFA" w:usb2="00082016" w:usb3="00000000" w:csb0="00040001" w:csb1="00000000"/>
    <w:embedRegular r:id="rId3" w:fontKey="{6B765EE9-52D7-45D4-80CC-9053104241E0}"/>
  </w:font>
  <w:font w:name="楷体_GB2312">
    <w:altName w:val="楷体"/>
    <w:panose1 w:val="00000000000000000000"/>
    <w:charset w:val="00"/>
    <w:family w:val="auto"/>
    <w:pitch w:val="default"/>
    <w:sig w:usb0="00000000" w:usb1="00000000" w:usb2="00000000" w:usb3="00000000" w:csb0="00000000" w:csb1="00000000"/>
    <w:embedRegular r:id="rId4" w:fontKey="{A3263C2C-E317-41F1-82EA-74699DC67E95}"/>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740E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4FF724CA"/>
    <w:rsid w:val="50DB5F45"/>
    <w:rsid w:val="52F92565"/>
    <w:rsid w:val="543D17CB"/>
    <w:rsid w:val="55DA564E"/>
    <w:rsid w:val="56E07045"/>
    <w:rsid w:val="583059FA"/>
    <w:rsid w:val="587E6212"/>
    <w:rsid w:val="5A497A05"/>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6064</Words>
  <Characters>6912</Characters>
  <Lines>0</Lines>
  <Paragraphs>0</Paragraphs>
  <TotalTime>17</TotalTime>
  <ScaleCrop>false</ScaleCrop>
  <LinksUpToDate>false</LinksUpToDate>
  <CharactersWithSpaces>6922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