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3C64C7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新疆维吾尔自治区喀什地区公安局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EA3C5B">
      <w:r>
        <w:br w:type="page"/>
      </w:r>
    </w:p>
    <w:p w14:paraId="5F4F4777">
      <w:pPr>
        <w:spacing w:line="640" w:lineRule="exact"/>
        <w:jc w:val="center"/>
        <w:outlineLvl w:val="1"/>
      </w:pPr>
      <w:r>
        <w:rPr>
          <w:rFonts w:ascii="黑体" w:hAnsi="黑体" w:eastAsia="黑体"/>
          <w:sz w:val="32"/>
        </w:rPr>
        <w:t>第一部分 单位概况</w:t>
      </w:r>
    </w:p>
    <w:p w14:paraId="1BE7BF74">
      <w:pPr>
        <w:spacing w:line="640" w:lineRule="exact"/>
        <w:ind w:firstLine="640"/>
        <w:jc w:val="both"/>
        <w:outlineLvl w:val="2"/>
      </w:pPr>
      <w:r>
        <w:rPr>
          <w:rFonts w:ascii="黑体" w:hAnsi="黑体" w:eastAsia="黑体"/>
          <w:sz w:val="32"/>
        </w:rPr>
        <w:t>一、主要职能</w:t>
      </w:r>
    </w:p>
    <w:p w14:paraId="774E0F37">
      <w:pPr>
        <w:spacing w:line="580" w:lineRule="exact"/>
        <w:ind w:firstLine="640"/>
        <w:jc w:val="both"/>
      </w:pPr>
      <w:r>
        <w:rPr>
          <w:rFonts w:ascii="仿宋_GB2312" w:hAnsi="仿宋_GB2312" w:eastAsia="仿宋_GB2312"/>
          <w:sz w:val="32"/>
        </w:rPr>
        <w:t>(一)贯彻落实自治区党委、自治区人民政府及上级公安有关公安工作的路线、方针、政策、法规、规章；研究拟定本地区公安工作的制度和有关措施；指导、部署、检查督促落实全区公安工作。</w:t>
      </w:r>
    </w:p>
    <w:p w14:paraId="3FCCC3DC">
      <w:pPr>
        <w:spacing w:line="580" w:lineRule="exact"/>
        <w:ind w:firstLine="640"/>
        <w:jc w:val="both"/>
      </w:pPr>
      <w:r>
        <w:rPr>
          <w:rFonts w:ascii="仿宋_GB2312" w:hAnsi="仿宋_GB2312" w:eastAsia="仿宋_GB2312"/>
          <w:sz w:val="32"/>
        </w:rPr>
        <w:t>(二)掌握影响、危害国内安全和社会治安的情况，分析形势，并研究制定对策。</w:t>
      </w:r>
    </w:p>
    <w:p w14:paraId="382010F5">
      <w:pPr>
        <w:spacing w:line="580" w:lineRule="exact"/>
        <w:ind w:firstLine="640"/>
        <w:jc w:val="both"/>
      </w:pPr>
      <w:r>
        <w:rPr>
          <w:rFonts w:ascii="仿宋_GB2312" w:hAnsi="仿宋_GB2312" w:eastAsia="仿宋_GB2312"/>
          <w:sz w:val="32"/>
        </w:rPr>
        <w:t>(三)组织指导参与危害国家安全案件的侦查工作，以及境内外</w:t>
      </w:r>
      <w:r>
        <w:rPr>
          <w:rFonts w:hint="eastAsia" w:ascii="仿宋_GB2312" w:hAnsi="仿宋_GB2312" w:eastAsia="仿宋_GB2312"/>
          <w:sz w:val="32"/>
          <w:lang w:eastAsia="zh-CN"/>
        </w:rPr>
        <w:t>势力</w:t>
      </w:r>
      <w:r>
        <w:rPr>
          <w:rFonts w:ascii="仿宋_GB2312" w:hAnsi="仿宋_GB2312" w:eastAsia="仿宋_GB2312"/>
          <w:sz w:val="32"/>
        </w:rPr>
        <w:t>、恐怖组织、社团的侦控和基础调研工作；指导并直接参与重大刑事案件、经济案件的侦破和缉毒工作；组织协调重大行动和专项斗争；协调处置重大案件、重大骚乱事件、重大治安事故及其他重大突发事件。</w:t>
      </w:r>
    </w:p>
    <w:p w14:paraId="2DA44719">
      <w:pPr>
        <w:spacing w:line="580" w:lineRule="exact"/>
        <w:ind w:firstLine="640"/>
        <w:jc w:val="both"/>
      </w:pPr>
      <w:r>
        <w:rPr>
          <w:rFonts w:ascii="仿宋_GB2312" w:hAnsi="仿宋_GB2312" w:eastAsia="仿宋_GB2312"/>
          <w:sz w:val="32"/>
        </w:rPr>
        <w:t>(四)指导、监督并抓好全地区公安机关依法查处危害社会治安秩序行为，依法管理户口、居民身份证、枪支弹药、危险化学物品和特种行业等工作。</w:t>
      </w:r>
    </w:p>
    <w:p w14:paraId="39FDC7C5">
      <w:pPr>
        <w:spacing w:line="580" w:lineRule="exact"/>
        <w:ind w:firstLine="640"/>
        <w:jc w:val="both"/>
      </w:pPr>
      <w:r>
        <w:rPr>
          <w:rFonts w:ascii="仿宋_GB2312" w:hAnsi="仿宋_GB2312" w:eastAsia="仿宋_GB2312"/>
          <w:sz w:val="32"/>
        </w:rPr>
        <w:t>(五)指导监督全地区公安机关对国家机关、社会团体、企事业单位和重点建设工程的治安工作及群众性治安组织的工作；组织、指导、协调、实施大型会议、活动安全保卫工作；指导队设工作。</w:t>
      </w:r>
    </w:p>
    <w:p w14:paraId="43CAF73D">
      <w:pPr>
        <w:spacing w:line="580" w:lineRule="exact"/>
        <w:ind w:firstLine="640"/>
        <w:jc w:val="both"/>
      </w:pPr>
      <w:r>
        <w:rPr>
          <w:rFonts w:ascii="仿宋_GB2312" w:hAnsi="仿宋_GB2312" w:eastAsia="仿宋_GB2312"/>
          <w:sz w:val="32"/>
        </w:rPr>
        <w:t>(六)组织指导出境、入境和外国人在喀什地区居留、旅行的有关管理工作；组织指导边安工作。</w:t>
      </w:r>
    </w:p>
    <w:p w14:paraId="2DD2B281">
      <w:pPr>
        <w:spacing w:line="580" w:lineRule="exact"/>
        <w:ind w:firstLine="640"/>
        <w:jc w:val="both"/>
      </w:pPr>
      <w:r>
        <w:rPr>
          <w:rFonts w:ascii="仿宋_GB2312" w:hAnsi="仿宋_GB2312" w:eastAsia="仿宋_GB2312"/>
          <w:sz w:val="32"/>
        </w:rPr>
        <w:t>(七)组织实施党和国家领导人及重要外宾来访的安全警卫工作，指导并组织实施自治区党政主要领导同志以及重要会议、大型活动的安全警卫工作。</w:t>
      </w:r>
    </w:p>
    <w:p w14:paraId="269218FB">
      <w:pPr>
        <w:spacing w:line="580" w:lineRule="exact"/>
        <w:ind w:firstLine="640"/>
        <w:jc w:val="both"/>
      </w:pPr>
      <w:r>
        <w:rPr>
          <w:rFonts w:ascii="仿宋_GB2312" w:hAnsi="仿宋_GB2312" w:eastAsia="仿宋_GB2312"/>
          <w:sz w:val="32"/>
        </w:rPr>
        <w:t>(八)指导全地区看守所、拘留所、强制隔离戒毒所、收容教育所的管理工作，管理地区公安局看守所</w:t>
      </w:r>
      <w:bookmarkStart w:id="0" w:name="_GoBack"/>
      <w:r>
        <w:rPr>
          <w:rFonts w:ascii="仿宋_GB2312" w:hAnsi="仿宋_GB2312" w:eastAsia="仿宋_GB2312"/>
          <w:sz w:val="32"/>
        </w:rPr>
        <w:t>(</w:t>
      </w:r>
      <w:bookmarkEnd w:id="0"/>
      <w:r>
        <w:rPr>
          <w:rFonts w:ascii="仿宋_GB2312" w:hAnsi="仿宋_GB2312" w:eastAsia="仿宋_GB2312"/>
          <w:sz w:val="32"/>
        </w:rPr>
        <w:t>对外称喀什地区看守所)。</w:t>
      </w:r>
    </w:p>
    <w:p w14:paraId="14A8D63C">
      <w:pPr>
        <w:spacing w:line="580" w:lineRule="exact"/>
        <w:ind w:firstLine="640"/>
        <w:jc w:val="both"/>
      </w:pPr>
      <w:r>
        <w:rPr>
          <w:rFonts w:ascii="仿宋_GB2312" w:hAnsi="仿宋_GB2312" w:eastAsia="仿宋_GB2312"/>
          <w:sz w:val="32"/>
        </w:rPr>
        <w:t>(九)规划、指导、组织实施全地区公安科学技术和信息化建设工作；规划、实施公安信息技术、刑事技术和行动技术建设工程。指导监督全地区网络安全保卫工作。</w:t>
      </w:r>
    </w:p>
    <w:p w14:paraId="6204DBF8">
      <w:pPr>
        <w:spacing w:line="580" w:lineRule="exact"/>
        <w:ind w:firstLine="640"/>
        <w:jc w:val="both"/>
      </w:pPr>
      <w:r>
        <w:rPr>
          <w:rFonts w:ascii="仿宋_GB2312" w:hAnsi="仿宋_GB2312" w:eastAsia="仿宋_GB2312"/>
          <w:sz w:val="32"/>
        </w:rPr>
        <w:t>(十)指导全地区公安机关依法管理道路交通安全，维护交通秩序，以及机动车、驾驶员管理工作。</w:t>
      </w:r>
    </w:p>
    <w:p w14:paraId="334DCAE1">
      <w:pPr>
        <w:spacing w:line="580" w:lineRule="exact"/>
        <w:ind w:firstLine="640"/>
        <w:jc w:val="both"/>
      </w:pPr>
      <w:r>
        <w:rPr>
          <w:rFonts w:ascii="仿宋_GB2312" w:hAnsi="仿宋_GB2312" w:eastAsia="仿宋_GB2312"/>
          <w:sz w:val="32"/>
        </w:rPr>
        <w:t>(十一)指导和监督全区公安机关刑事行政执法活动，按照管辖依法办理公安机关的行政诉讼、行政复议案件，指导、开展执法制度建设和法治宣传工作；组织实施全地区劳批工作。</w:t>
      </w:r>
    </w:p>
    <w:p w14:paraId="0ED97D1C">
      <w:pPr>
        <w:spacing w:line="580" w:lineRule="exact"/>
        <w:ind w:firstLine="640"/>
        <w:jc w:val="both"/>
      </w:pPr>
      <w:r>
        <w:rPr>
          <w:rFonts w:ascii="仿宋_GB2312" w:hAnsi="仿宋_GB2312" w:eastAsia="仿宋_GB2312"/>
          <w:sz w:val="32"/>
        </w:rPr>
        <w:t>(十二)规划、指导全地区公安机关装备、被服和经费管理等警务保障工作。</w:t>
      </w:r>
    </w:p>
    <w:p w14:paraId="585D9391">
      <w:pPr>
        <w:spacing w:line="580" w:lineRule="exact"/>
        <w:ind w:firstLine="640"/>
        <w:jc w:val="both"/>
      </w:pPr>
      <w:r>
        <w:rPr>
          <w:rFonts w:ascii="仿宋_GB2312" w:hAnsi="仿宋_GB2312" w:eastAsia="仿宋_GB2312"/>
          <w:sz w:val="32"/>
        </w:rPr>
        <w:t>(十三)领导全地区公安边消防和警作。</w:t>
      </w:r>
    </w:p>
    <w:p w14:paraId="62C9CC66">
      <w:pPr>
        <w:spacing w:line="580" w:lineRule="exact"/>
        <w:ind w:firstLine="640"/>
        <w:jc w:val="both"/>
      </w:pPr>
      <w:r>
        <w:rPr>
          <w:rFonts w:ascii="仿宋_GB2312" w:hAnsi="仿宋_GB2312" w:eastAsia="仿宋_GB2312"/>
          <w:sz w:val="32"/>
        </w:rPr>
        <w:t>(十四)规划全地区公安队伍正规化建设工作，制定全地区公安机关民警培训、公安教育及公安宣传的方针和措施，检查监督落实情况，按规定权限管理干部。</w:t>
      </w:r>
    </w:p>
    <w:p w14:paraId="534B6D8F">
      <w:pPr>
        <w:spacing w:line="580" w:lineRule="exact"/>
        <w:ind w:firstLine="640"/>
        <w:jc w:val="both"/>
      </w:pPr>
      <w:r>
        <w:rPr>
          <w:rFonts w:ascii="仿宋_GB2312" w:hAnsi="仿宋_GB2312" w:eastAsia="仿宋_GB2312"/>
          <w:sz w:val="32"/>
        </w:rPr>
        <w:t>(十五)制定全地区公安队伍监督管理工作规章制度，组织、指导全地区公安机关督察工作</w:t>
      </w:r>
      <w:r>
        <w:rPr>
          <w:rFonts w:hint="eastAsia" w:ascii="仿宋_GB2312" w:hAnsi="仿宋_GB2312" w:eastAsia="仿宋_GB2312"/>
          <w:sz w:val="32"/>
          <w:lang w:eastAsia="zh-CN"/>
        </w:rPr>
        <w:t>；</w:t>
      </w:r>
      <w:r>
        <w:rPr>
          <w:rFonts w:ascii="仿宋_GB2312" w:hAnsi="仿宋_GB2312" w:eastAsia="仿宋_GB2312"/>
          <w:sz w:val="32"/>
        </w:rPr>
        <w:t>按规定权限实施对干部的监督；查处或督办公安队伍重大违纪案件。</w:t>
      </w:r>
    </w:p>
    <w:p w14:paraId="053C15C3">
      <w:pPr>
        <w:spacing w:line="580" w:lineRule="exact"/>
        <w:ind w:firstLine="640"/>
        <w:jc w:val="both"/>
      </w:pPr>
      <w:r>
        <w:rPr>
          <w:rFonts w:ascii="仿宋_GB2312" w:hAnsi="仿宋_GB2312" w:eastAsia="仿宋_GB2312"/>
          <w:sz w:val="32"/>
        </w:rPr>
        <w:t>(十六)指导地区内铁路、民航、林业、海关缉私公安机关业务工作。</w:t>
      </w:r>
    </w:p>
    <w:p w14:paraId="4800CDE8">
      <w:pPr>
        <w:spacing w:line="580" w:lineRule="exact"/>
        <w:ind w:firstLine="640"/>
        <w:jc w:val="both"/>
      </w:pPr>
      <w:r>
        <w:rPr>
          <w:rFonts w:ascii="仿宋_GB2312" w:hAnsi="仿宋_GB2312" w:eastAsia="仿宋_GB2312"/>
          <w:sz w:val="32"/>
        </w:rPr>
        <w:t>(十七)承办地委、行署和公安厅交办的其他事项。</w:t>
      </w:r>
    </w:p>
    <w:p w14:paraId="449BC555">
      <w:pPr>
        <w:spacing w:line="640" w:lineRule="exact"/>
        <w:ind w:firstLine="640"/>
        <w:jc w:val="both"/>
        <w:outlineLvl w:val="2"/>
      </w:pPr>
      <w:r>
        <w:rPr>
          <w:rFonts w:ascii="黑体" w:hAnsi="黑体" w:eastAsia="黑体"/>
          <w:sz w:val="32"/>
        </w:rPr>
        <w:t>二、机构设置及人员情况</w:t>
      </w:r>
    </w:p>
    <w:p w14:paraId="2A3048A9">
      <w:pPr>
        <w:spacing w:line="580" w:lineRule="exact"/>
        <w:ind w:firstLine="640"/>
        <w:jc w:val="both"/>
      </w:pPr>
      <w:r>
        <w:rPr>
          <w:rFonts w:hint="eastAsia" w:ascii="仿宋_GB2312" w:hAnsi="仿宋_GB2312" w:eastAsia="仿宋_GB2312"/>
          <w:sz w:val="32"/>
          <w:lang w:eastAsia="zh-CN"/>
        </w:rPr>
        <w:t>本部门</w:t>
      </w:r>
      <w:r>
        <w:rPr>
          <w:rFonts w:ascii="仿宋_GB2312" w:hAnsi="仿宋_GB2312" w:eastAsia="仿宋_GB2312"/>
          <w:sz w:val="32"/>
        </w:rPr>
        <w:t>机构设置及人员情况SM不予公开。</w:t>
      </w:r>
    </w:p>
    <w:p w14:paraId="36AB89A2">
      <w:r>
        <w:br w:type="page"/>
      </w:r>
    </w:p>
    <w:p w14:paraId="5DEF10B7">
      <w:pPr>
        <w:spacing w:line="240" w:lineRule="auto"/>
        <w:jc w:val="center"/>
        <w:outlineLvl w:val="1"/>
      </w:pPr>
      <w:r>
        <w:rPr>
          <w:rFonts w:ascii="黑体" w:hAnsi="黑体" w:eastAsia="黑体"/>
          <w:sz w:val="32"/>
        </w:rPr>
        <w:t>第二部分 部门决算情况说明</w:t>
      </w:r>
    </w:p>
    <w:p w14:paraId="08483CC0">
      <w:pPr>
        <w:spacing w:line="640" w:lineRule="exact"/>
        <w:ind w:firstLine="640"/>
        <w:jc w:val="both"/>
        <w:outlineLvl w:val="2"/>
      </w:pPr>
      <w:r>
        <w:rPr>
          <w:rFonts w:ascii="黑体" w:hAnsi="黑体" w:eastAsia="黑体"/>
          <w:sz w:val="32"/>
        </w:rPr>
        <w:t>一、收入支出决算总体情况说明</w:t>
      </w:r>
    </w:p>
    <w:p w14:paraId="1B2B0DB1">
      <w:pPr>
        <w:spacing w:line="580" w:lineRule="exact"/>
        <w:ind w:firstLine="640"/>
        <w:jc w:val="both"/>
      </w:pPr>
      <w:r>
        <w:rPr>
          <w:rFonts w:ascii="仿宋_GB2312" w:hAnsi="仿宋_GB2312" w:eastAsia="仿宋_GB2312"/>
          <w:b/>
          <w:sz w:val="32"/>
        </w:rPr>
        <w:t>2024年度收入总计37,068.21万元，</w:t>
      </w:r>
      <w:r>
        <w:rPr>
          <w:rFonts w:ascii="仿宋_GB2312" w:hAnsi="仿宋_GB2312" w:eastAsia="仿宋_GB2312"/>
          <w:b w:val="0"/>
          <w:sz w:val="32"/>
        </w:rPr>
        <w:t>其中：本年收入合计37,068.21万元，使用非财政拨款结余（含专用结余）0.00万元，年初结转和结余0.00万元。</w:t>
      </w:r>
    </w:p>
    <w:p w14:paraId="6D6C8AA6">
      <w:pPr>
        <w:spacing w:line="580" w:lineRule="exact"/>
        <w:ind w:firstLine="640"/>
        <w:jc w:val="both"/>
      </w:pPr>
      <w:r>
        <w:rPr>
          <w:rFonts w:ascii="仿宋_GB2312" w:hAnsi="仿宋_GB2312" w:eastAsia="仿宋_GB2312"/>
          <w:b/>
          <w:sz w:val="32"/>
        </w:rPr>
        <w:t>2024年度支出总计37,068.21万元，</w:t>
      </w:r>
      <w:r>
        <w:rPr>
          <w:rFonts w:ascii="仿宋_GB2312" w:hAnsi="仿宋_GB2312" w:eastAsia="仿宋_GB2312"/>
          <w:b w:val="0"/>
          <w:sz w:val="32"/>
        </w:rPr>
        <w:t>其中：本年支出合计37,068.21万元，结余分配0.00万元，年末结转和结余0.00万元。</w:t>
      </w:r>
    </w:p>
    <w:p w14:paraId="51121587">
      <w:pPr>
        <w:spacing w:line="580" w:lineRule="exact"/>
        <w:ind w:firstLine="640"/>
        <w:jc w:val="both"/>
      </w:pPr>
      <w:r>
        <w:rPr>
          <w:rFonts w:ascii="仿宋_GB2312" w:hAnsi="仿宋_GB2312" w:eastAsia="仿宋_GB2312"/>
          <w:b w:val="0"/>
          <w:sz w:val="32"/>
        </w:rPr>
        <w:t>收入支出总体与上年相比，增加4,397.84万元，增长13.46%，主要原因是：本年度车辆增加、人员增加，且支付2022年转移支付存量资金</w:t>
      </w:r>
      <w:r>
        <w:rPr>
          <w:rFonts w:hint="eastAsia" w:ascii="仿宋_GB2312" w:hAnsi="仿宋_GB2312" w:eastAsia="仿宋_GB2312"/>
          <w:b w:val="0"/>
          <w:sz w:val="32"/>
          <w:lang w:eastAsia="zh-CN"/>
        </w:rPr>
        <w:t>、</w:t>
      </w:r>
      <w:r>
        <w:rPr>
          <w:rFonts w:ascii="仿宋_GB2312" w:hAnsi="仿宋_GB2312" w:eastAsia="仿宋_GB2312"/>
          <w:b w:val="0"/>
          <w:sz w:val="32"/>
        </w:rPr>
        <w:t>援疆</w:t>
      </w:r>
      <w:r>
        <w:rPr>
          <w:rFonts w:hint="eastAsia" w:ascii="仿宋_GB2312" w:hAnsi="仿宋_GB2312" w:eastAsia="仿宋_GB2312"/>
          <w:b w:val="0"/>
          <w:sz w:val="32"/>
          <w:lang w:val="en-US" w:eastAsia="zh-CN"/>
        </w:rPr>
        <w:t>项目</w:t>
      </w:r>
      <w:r>
        <w:rPr>
          <w:rFonts w:ascii="仿宋_GB2312" w:hAnsi="仿宋_GB2312" w:eastAsia="仿宋_GB2312"/>
          <w:b w:val="0"/>
          <w:sz w:val="32"/>
        </w:rPr>
        <w:t>喀什公安大数据自主建模平台项目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7840CA3A">
      <w:pPr>
        <w:spacing w:line="640" w:lineRule="exact"/>
        <w:ind w:firstLine="640"/>
        <w:jc w:val="both"/>
        <w:outlineLvl w:val="2"/>
      </w:pPr>
      <w:r>
        <w:rPr>
          <w:rFonts w:ascii="黑体" w:hAnsi="黑体" w:eastAsia="黑体"/>
          <w:sz w:val="32"/>
        </w:rPr>
        <w:t>二、收入决算情况说明</w:t>
      </w:r>
    </w:p>
    <w:p w14:paraId="4F6A2F5F">
      <w:pPr>
        <w:spacing w:line="580" w:lineRule="exact"/>
        <w:ind w:firstLine="640"/>
        <w:jc w:val="both"/>
      </w:pPr>
      <w:r>
        <w:rPr>
          <w:rFonts w:ascii="仿宋_GB2312" w:hAnsi="仿宋_GB2312" w:eastAsia="仿宋_GB2312"/>
          <w:b/>
          <w:sz w:val="32"/>
        </w:rPr>
        <w:t>本年收入37,068.21万元，</w:t>
      </w:r>
      <w:r>
        <w:rPr>
          <w:rFonts w:ascii="仿宋_GB2312" w:hAnsi="仿宋_GB2312" w:eastAsia="仿宋_GB2312"/>
          <w:b w:val="0"/>
          <w:sz w:val="32"/>
        </w:rPr>
        <w:t>其中：财政拨款收入35,438.83万元，占95.60%；上级补助收入0.00万元，占0.00%；事业收入0.00万元，占0.00%；经营收入0.00万元，占0.00%；附属单位上缴收入0.00万元，占0.00%；其他收入1,629.38万元，占4.40%。</w:t>
      </w:r>
    </w:p>
    <w:p w14:paraId="14E52568">
      <w:pPr>
        <w:spacing w:line="640" w:lineRule="exact"/>
        <w:ind w:firstLine="640"/>
        <w:jc w:val="both"/>
        <w:outlineLvl w:val="2"/>
      </w:pPr>
      <w:r>
        <w:rPr>
          <w:rFonts w:ascii="黑体" w:hAnsi="黑体" w:eastAsia="黑体"/>
          <w:sz w:val="32"/>
        </w:rPr>
        <w:t>三、支出决算情况说明</w:t>
      </w:r>
    </w:p>
    <w:p w14:paraId="1847BDDC">
      <w:pPr>
        <w:spacing w:line="580" w:lineRule="exact"/>
        <w:ind w:firstLine="640"/>
        <w:jc w:val="both"/>
      </w:pPr>
      <w:r>
        <w:rPr>
          <w:rFonts w:ascii="仿宋_GB2312" w:hAnsi="仿宋_GB2312" w:eastAsia="仿宋_GB2312"/>
          <w:b/>
          <w:sz w:val="32"/>
        </w:rPr>
        <w:t>本年支出37,068.21万元，</w:t>
      </w:r>
      <w:r>
        <w:rPr>
          <w:rFonts w:ascii="仿宋_GB2312" w:hAnsi="仿宋_GB2312" w:eastAsia="仿宋_GB2312"/>
          <w:b w:val="0"/>
          <w:sz w:val="32"/>
        </w:rPr>
        <w:t>其中：基本支出23,718.79万元，占63.99%；项目支出13,349.41万元，占36.01%；上缴上级支出0.00万元，占0.00%；经营支出0.00万元，占0.00%；对附属单位补助支出0.00万元，占0.00%。</w:t>
      </w:r>
    </w:p>
    <w:p w14:paraId="01BF26B9">
      <w:pPr>
        <w:spacing w:line="640" w:lineRule="exact"/>
        <w:ind w:firstLine="640"/>
        <w:jc w:val="both"/>
        <w:outlineLvl w:val="2"/>
      </w:pPr>
      <w:r>
        <w:rPr>
          <w:rFonts w:ascii="黑体" w:hAnsi="黑体" w:eastAsia="黑体"/>
          <w:sz w:val="32"/>
        </w:rPr>
        <w:t>四、财政拨款收入支出决算总体情况说明</w:t>
      </w:r>
    </w:p>
    <w:p w14:paraId="735F3528">
      <w:pPr>
        <w:spacing w:line="580" w:lineRule="exact"/>
        <w:ind w:firstLine="640"/>
        <w:jc w:val="both"/>
      </w:pPr>
      <w:r>
        <w:rPr>
          <w:rFonts w:ascii="仿宋_GB2312" w:hAnsi="仿宋_GB2312" w:eastAsia="仿宋_GB2312"/>
          <w:b/>
          <w:sz w:val="32"/>
        </w:rPr>
        <w:t>2024年度财政拨款收入总计35,438.83万元，</w:t>
      </w:r>
      <w:r>
        <w:rPr>
          <w:rFonts w:ascii="仿宋_GB2312" w:hAnsi="仿宋_GB2312" w:eastAsia="仿宋_GB2312"/>
          <w:b w:val="0"/>
          <w:sz w:val="32"/>
        </w:rPr>
        <w:t>其中：年初财政拨款结转和结余0.00万元，本年财政拨款收入35,438.83万元。</w:t>
      </w:r>
      <w:r>
        <w:rPr>
          <w:rFonts w:ascii="仿宋_GB2312" w:hAnsi="仿宋_GB2312" w:eastAsia="仿宋_GB2312"/>
          <w:b/>
          <w:sz w:val="32"/>
        </w:rPr>
        <w:t>财政拨款支出总计35,438.83万元，</w:t>
      </w:r>
      <w:r>
        <w:rPr>
          <w:rFonts w:ascii="仿宋_GB2312" w:hAnsi="仿宋_GB2312" w:eastAsia="仿宋_GB2312"/>
          <w:b w:val="0"/>
          <w:sz w:val="32"/>
        </w:rPr>
        <w:t>其中：年末财政拨款结转和结余0.00万元，本年财政拨款支出35,438.83万元。</w:t>
      </w:r>
    </w:p>
    <w:p w14:paraId="0D0945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增加2,987.18万元，增长9.21%，主要原因是：2024年人员增加，基本支出增加，车辆增加，且支付2023年度结转的转移支付资金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年初预算数37,933.60万元，决算数35,438.83万元，预决算差异率-6.58%，主要原因是：本年度支付2023年度结转的转移支付资金，导致2024年度项目资金支付进度缓慢</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预决算存在差异</w:t>
      </w:r>
      <w:r>
        <w:rPr>
          <w:rFonts w:ascii="仿宋_GB2312" w:hAnsi="仿宋_GB2312" w:eastAsia="仿宋_GB2312"/>
          <w:b w:val="0"/>
          <w:sz w:val="32"/>
        </w:rPr>
        <w:t>。</w:t>
      </w:r>
    </w:p>
    <w:p w14:paraId="199B22CE">
      <w:pPr>
        <w:spacing w:line="640" w:lineRule="exact"/>
        <w:ind w:firstLine="640"/>
        <w:jc w:val="both"/>
        <w:outlineLvl w:val="2"/>
      </w:pPr>
      <w:r>
        <w:rPr>
          <w:rFonts w:ascii="黑体" w:hAnsi="黑体" w:eastAsia="黑体"/>
          <w:sz w:val="32"/>
        </w:rPr>
        <w:t>五、一般公共预算财政拨款支出决算情况说明</w:t>
      </w:r>
    </w:p>
    <w:p w14:paraId="3F0595A4">
      <w:pPr>
        <w:spacing w:line="640" w:lineRule="exact"/>
        <w:ind w:firstLine="640"/>
        <w:jc w:val="both"/>
        <w:outlineLvl w:val="3"/>
      </w:pPr>
      <w:r>
        <w:rPr>
          <w:rFonts w:ascii="楷体_GB2312" w:hAnsi="楷体_GB2312" w:eastAsia="楷体_GB2312"/>
          <w:b/>
          <w:sz w:val="32"/>
        </w:rPr>
        <w:t>（一）一般公共预算财政拨款支出决算总体情况</w:t>
      </w:r>
    </w:p>
    <w:p w14:paraId="25B41353">
      <w:pPr>
        <w:spacing w:line="580" w:lineRule="exact"/>
        <w:ind w:firstLine="640"/>
        <w:jc w:val="both"/>
      </w:pPr>
      <w:r>
        <w:rPr>
          <w:rFonts w:ascii="仿宋_GB2312" w:hAnsi="仿宋_GB2312" w:eastAsia="仿宋_GB2312"/>
          <w:b/>
          <w:sz w:val="32"/>
        </w:rPr>
        <w:t>2024年度一般公共预算财政拨款支出35,438.83万元，</w:t>
      </w:r>
      <w:r>
        <w:rPr>
          <w:rFonts w:ascii="仿宋_GB2312" w:hAnsi="仿宋_GB2312" w:eastAsia="仿宋_GB2312"/>
          <w:b w:val="0"/>
          <w:sz w:val="32"/>
        </w:rPr>
        <w:t>占本年支出合计的95.60%。</w:t>
      </w:r>
      <w:r>
        <w:rPr>
          <w:rFonts w:ascii="仿宋_GB2312" w:hAnsi="仿宋_GB2312" w:eastAsia="仿宋_GB2312"/>
          <w:b/>
          <w:sz w:val="32"/>
        </w:rPr>
        <w:t>与上年相比，</w:t>
      </w:r>
      <w:r>
        <w:rPr>
          <w:rFonts w:ascii="仿宋_GB2312" w:hAnsi="仿宋_GB2312" w:eastAsia="仿宋_GB2312"/>
          <w:b w:val="0"/>
          <w:sz w:val="32"/>
        </w:rPr>
        <w:t>增加2,987.18万元，增长9.21%，主要原因是：2024年人员增加，基本支出增加，车辆增加，且支付2023年度结转的转移支付资金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年初预算数37,933.60万元，决算数35,438.83万元，预决算差异率-6.58%，主要原因是：本年度支付2023年度结转的转移支付资金，导致2024年度项目资金支付进度缓慢</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预决算存在差异</w:t>
      </w:r>
      <w:r>
        <w:rPr>
          <w:rFonts w:ascii="仿宋_GB2312" w:hAnsi="仿宋_GB2312" w:eastAsia="仿宋_GB2312"/>
          <w:b w:val="0"/>
          <w:sz w:val="32"/>
        </w:rPr>
        <w:t>。</w:t>
      </w:r>
    </w:p>
    <w:p w14:paraId="5FD1A15C">
      <w:pPr>
        <w:spacing w:line="640" w:lineRule="exact"/>
        <w:ind w:firstLine="640"/>
        <w:jc w:val="both"/>
        <w:outlineLvl w:val="3"/>
      </w:pPr>
      <w:r>
        <w:rPr>
          <w:rFonts w:ascii="楷体_GB2312" w:hAnsi="楷体_GB2312" w:eastAsia="楷体_GB2312"/>
          <w:b/>
          <w:sz w:val="32"/>
        </w:rPr>
        <w:t>（二）一般公共预算财政拨款支出决算结构情况</w:t>
      </w:r>
    </w:p>
    <w:p w14:paraId="036D6076">
      <w:pPr>
        <w:spacing w:line="580" w:lineRule="exact"/>
        <w:ind w:firstLine="640"/>
        <w:jc w:val="both"/>
      </w:pPr>
      <w:r>
        <w:rPr>
          <w:rFonts w:ascii="仿宋_GB2312" w:hAnsi="仿宋_GB2312" w:eastAsia="仿宋_GB2312"/>
          <w:b w:val="0"/>
          <w:sz w:val="32"/>
        </w:rPr>
        <w:t>1.一般公共服务支出(类)32.94万元,占0.09%。</w:t>
      </w:r>
    </w:p>
    <w:p w14:paraId="66C5D2EC">
      <w:pPr>
        <w:spacing w:line="580" w:lineRule="exact"/>
        <w:ind w:firstLine="640"/>
        <w:jc w:val="both"/>
      </w:pPr>
      <w:r>
        <w:rPr>
          <w:rFonts w:ascii="仿宋_GB2312" w:hAnsi="仿宋_GB2312" w:eastAsia="仿宋_GB2312"/>
          <w:b w:val="0"/>
          <w:sz w:val="32"/>
        </w:rPr>
        <w:t>2.公共安全支出(类)29,702.06万元,占83.81%。</w:t>
      </w:r>
    </w:p>
    <w:p w14:paraId="0B0F1934">
      <w:pPr>
        <w:spacing w:line="580" w:lineRule="exact"/>
        <w:ind w:firstLine="640"/>
        <w:jc w:val="both"/>
      </w:pPr>
      <w:r>
        <w:rPr>
          <w:rFonts w:ascii="仿宋_GB2312" w:hAnsi="仿宋_GB2312" w:eastAsia="仿宋_GB2312"/>
          <w:b w:val="0"/>
          <w:sz w:val="32"/>
        </w:rPr>
        <w:t>3.社会保障和就业支出(类)2,517.88万元,占7.10%。</w:t>
      </w:r>
    </w:p>
    <w:p w14:paraId="3B50B3F3">
      <w:pPr>
        <w:spacing w:line="580" w:lineRule="exact"/>
        <w:ind w:firstLine="640"/>
        <w:jc w:val="both"/>
      </w:pPr>
      <w:r>
        <w:rPr>
          <w:rFonts w:ascii="仿宋_GB2312" w:hAnsi="仿宋_GB2312" w:eastAsia="仿宋_GB2312"/>
          <w:b w:val="0"/>
          <w:sz w:val="32"/>
        </w:rPr>
        <w:t>4.卫生健康支出(类)1,199.77万元,占3.39%。</w:t>
      </w:r>
    </w:p>
    <w:p w14:paraId="7D21031A">
      <w:pPr>
        <w:spacing w:line="580" w:lineRule="exact"/>
        <w:ind w:firstLine="640"/>
        <w:jc w:val="both"/>
      </w:pPr>
      <w:r>
        <w:rPr>
          <w:rFonts w:ascii="仿宋_GB2312" w:hAnsi="仿宋_GB2312" w:eastAsia="仿宋_GB2312"/>
          <w:b w:val="0"/>
          <w:sz w:val="32"/>
        </w:rPr>
        <w:t>5.住房保障支出(类)1,986.18万元,占5.60%。</w:t>
      </w:r>
    </w:p>
    <w:p w14:paraId="583EF3D8">
      <w:pPr>
        <w:spacing w:line="640" w:lineRule="exact"/>
        <w:ind w:firstLine="640"/>
        <w:jc w:val="both"/>
        <w:outlineLvl w:val="3"/>
      </w:pPr>
      <w:r>
        <w:rPr>
          <w:rFonts w:ascii="楷体_GB2312" w:hAnsi="楷体_GB2312" w:eastAsia="楷体_GB2312"/>
          <w:b/>
          <w:sz w:val="32"/>
        </w:rPr>
        <w:t>（三）一般公共预算财政拨款支出决算具体情况</w:t>
      </w:r>
    </w:p>
    <w:p w14:paraId="36B0F785">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1.一般公共服务支出(类)组织事务(款)其他组织事务支出(项):支出决算数为0.00万元，比上年决算减少4.99万元，下降100.00%,主要原因是：2024年减少援疆干部南疆工作补贴。</w:t>
      </w:r>
    </w:p>
    <w:p w14:paraId="0E1D5C74">
      <w:pPr>
        <w:spacing w:line="580" w:lineRule="exact"/>
        <w:ind w:firstLine="640"/>
        <w:jc w:val="both"/>
      </w:pPr>
      <w:r>
        <w:rPr>
          <w:rFonts w:ascii="仿宋_GB2312" w:hAnsi="仿宋_GB2312" w:eastAsia="仿宋_GB2312"/>
          <w:b w:val="0"/>
          <w:sz w:val="32"/>
        </w:rPr>
        <w:t>2.一般公共服务支出(类)统战事务(款)宗教事务(项):支出决算数为32.94万元，比上年决算增加25.56万元，增长346.34%,主要原因是：本年增加支付为民办实事个人补助。</w:t>
      </w:r>
    </w:p>
    <w:p w14:paraId="47D8998F">
      <w:pPr>
        <w:spacing w:line="580" w:lineRule="exact"/>
        <w:ind w:firstLine="640"/>
        <w:jc w:val="both"/>
      </w:pPr>
      <w:r>
        <w:rPr>
          <w:rFonts w:ascii="仿宋_GB2312" w:hAnsi="仿宋_GB2312" w:eastAsia="仿宋_GB2312"/>
          <w:b w:val="0"/>
          <w:sz w:val="32"/>
        </w:rPr>
        <w:t>3.公共安全支出(类)公安(款)行政运行(项):支出决算数为17,982.02万元，比上年决算增加207.16万元，增长1.17%,主要原因是：本年新增在职人员，人员经费增加，导致经费较上年有所增加。</w:t>
      </w:r>
    </w:p>
    <w:p w14:paraId="56B864B5">
      <w:pPr>
        <w:spacing w:line="580" w:lineRule="exact"/>
        <w:ind w:firstLine="640"/>
        <w:jc w:val="both"/>
      </w:pPr>
      <w:r>
        <w:rPr>
          <w:rFonts w:ascii="仿宋_GB2312" w:hAnsi="仿宋_GB2312" w:eastAsia="仿宋_GB2312"/>
          <w:b w:val="0"/>
          <w:sz w:val="32"/>
        </w:rPr>
        <w:t>4.公共安全支出(类)公安(款)一般行政管理事务(项):支出决算数为2,031.96万元，比上年决算增加217.80万元，增长12.01%,主要原因是：本年度支付2023年度结转的转移支付资金，导致经费较上年支出增加。</w:t>
      </w:r>
    </w:p>
    <w:p w14:paraId="3A80C0F1">
      <w:pPr>
        <w:spacing w:line="580" w:lineRule="exact"/>
        <w:ind w:firstLine="640"/>
        <w:jc w:val="both"/>
      </w:pPr>
      <w:r>
        <w:rPr>
          <w:rFonts w:ascii="仿宋_GB2312" w:hAnsi="仿宋_GB2312" w:eastAsia="仿宋_GB2312"/>
          <w:b w:val="0"/>
          <w:sz w:val="32"/>
        </w:rPr>
        <w:t>5.公共安全支出(类)公安(款)执法办案(项):支出决算数为233.51万元，比上年决算减少972.56万元，下降80.64%,主要原因是：本年度支付的交警支队驾考场委托服务费较上年减少。</w:t>
      </w:r>
    </w:p>
    <w:p w14:paraId="3A56D0C4">
      <w:pPr>
        <w:spacing w:line="580" w:lineRule="exact"/>
        <w:ind w:firstLine="640"/>
        <w:jc w:val="both"/>
      </w:pPr>
      <w:r>
        <w:rPr>
          <w:rFonts w:ascii="仿宋_GB2312" w:hAnsi="仿宋_GB2312" w:eastAsia="仿宋_GB2312"/>
          <w:b w:val="0"/>
          <w:sz w:val="32"/>
        </w:rPr>
        <w:t>6.公共安全支出(类)公安(款)其他公安支出(项):支出决算数为9,454.56万元，比上年决算增加3,256.51万元，增长52.54%,主要原因是：本年支付2023年度结转的转移支付资金，导致经费较上年支出增加。</w:t>
      </w:r>
    </w:p>
    <w:p w14:paraId="3E5987A9">
      <w:pPr>
        <w:spacing w:line="580" w:lineRule="exact"/>
        <w:ind w:firstLine="640"/>
        <w:jc w:val="both"/>
      </w:pPr>
      <w:r>
        <w:rPr>
          <w:rFonts w:ascii="仿宋_GB2312" w:hAnsi="仿宋_GB2312" w:eastAsia="仿宋_GB2312"/>
          <w:b w:val="0"/>
          <w:sz w:val="32"/>
        </w:rPr>
        <w:t>7.科学技术支出(类)其他科学技术支出(款)科技奖励(项):支出决算数为0.00万元，比上年决算减少8.00万元，下降100.00%,主要原因是：本年度减少2023年地区科技创新奖补专项资金。</w:t>
      </w:r>
    </w:p>
    <w:p w14:paraId="3A467C0A">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8.社会保障和就业支出(类)行政事业单位养老支出(款)行政单位离退休(项):支出决算数为258.97万元，比上年决算增加63.35万元，增长32.38%,主要原因是：本年退休人员增加，退休费支出增加。</w:t>
      </w:r>
    </w:p>
    <w:p w14:paraId="27662E10">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2,186.98万元，比上年决算增加161.43万元，增长7.97%,主要原因是：本年在职人员增加，养老保险缴费较上年增加。</w:t>
      </w:r>
    </w:p>
    <w:p w14:paraId="799B9AF3">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206.70万元，下降100.00%,主要原因是：本年度退休人员在2024年12月份，未及时申请退休人员补缴的职业年金。</w:t>
      </w:r>
    </w:p>
    <w:p w14:paraId="0DBA4E17">
      <w:pPr>
        <w:spacing w:line="580" w:lineRule="exact"/>
        <w:ind w:firstLine="640"/>
        <w:jc w:val="both"/>
      </w:pPr>
      <w:r>
        <w:rPr>
          <w:rFonts w:ascii="仿宋_GB2312" w:hAnsi="仿宋_GB2312" w:eastAsia="仿宋_GB2312"/>
          <w:b w:val="0"/>
          <w:sz w:val="32"/>
        </w:rPr>
        <w:t>11.社会保障和就业支出(类)抚恤(款)死亡抚恤(项):支出决算数为71.92万元，比上年决算减少127.14万元，下降63.87%,主要原因是：本年新增死亡人员较上年减少，死亡抚恤支出较上年减少。</w:t>
      </w:r>
    </w:p>
    <w:p w14:paraId="32420F1D">
      <w:pPr>
        <w:spacing w:line="580" w:lineRule="exact"/>
        <w:ind w:firstLine="640"/>
        <w:jc w:val="both"/>
      </w:pPr>
      <w:r>
        <w:rPr>
          <w:rFonts w:ascii="仿宋_GB2312" w:hAnsi="仿宋_GB2312" w:eastAsia="仿宋_GB2312"/>
          <w:b w:val="0"/>
          <w:sz w:val="32"/>
        </w:rPr>
        <w:t>12.卫生健康支出(类)行政事业单位医疗(款)行政单位医疗(项):支出决算数为929.47万元，比上年决算增加167.58万元，增长22.00%,主要原因是：本年在职人员增加，行政单位医疗支出较上年增加。</w:t>
      </w:r>
    </w:p>
    <w:p w14:paraId="5B617349">
      <w:pPr>
        <w:spacing w:line="580" w:lineRule="exact"/>
        <w:ind w:firstLine="640"/>
        <w:jc w:val="both"/>
      </w:pPr>
      <w:r>
        <w:rPr>
          <w:rFonts w:ascii="仿宋_GB2312" w:hAnsi="仿宋_GB2312" w:eastAsia="仿宋_GB2312"/>
          <w:b w:val="0"/>
          <w:sz w:val="32"/>
        </w:rPr>
        <w:t>13.卫生健康支出(类)行政事业单位医疗(款)公务员医疗补助(项):支出决算数为270.30万元，比上年决算增加25.06万元，增长10.22%,主要原因是：本年在职人员增加，公务员医疗补助较上年增加。</w:t>
      </w:r>
    </w:p>
    <w:p w14:paraId="3594564F">
      <w:pPr>
        <w:spacing w:line="580" w:lineRule="exact"/>
        <w:ind w:firstLine="640"/>
        <w:jc w:val="both"/>
      </w:pPr>
      <w:r>
        <w:rPr>
          <w:rFonts w:ascii="仿宋_GB2312" w:hAnsi="仿宋_GB2312" w:eastAsia="仿宋_GB2312"/>
          <w:b w:val="0"/>
          <w:sz w:val="32"/>
        </w:rPr>
        <w:t>14.住房保障支出(类)住房改革支出(款)住房公积金(项):支出决算数为1,986.18万元，比上年决算增加182.09万元，增长10.09%,主要原因是：本年在职人员增加，住房公积金支出较上年增加。</w:t>
      </w:r>
    </w:p>
    <w:p w14:paraId="17FD871E">
      <w:pPr>
        <w:spacing w:line="640" w:lineRule="exact"/>
        <w:ind w:firstLine="640"/>
        <w:jc w:val="both"/>
        <w:outlineLvl w:val="2"/>
      </w:pPr>
      <w:r>
        <w:rPr>
          <w:rFonts w:ascii="黑体" w:hAnsi="黑体" w:eastAsia="黑体"/>
          <w:sz w:val="32"/>
        </w:rPr>
        <w:t>六、一般公共预算财政拨款基本支出决算情况说明</w:t>
      </w:r>
    </w:p>
    <w:p w14:paraId="38661343">
      <w:pPr>
        <w:spacing w:line="580" w:lineRule="exact"/>
        <w:ind w:firstLine="640"/>
        <w:jc w:val="both"/>
      </w:pPr>
      <w:r>
        <w:rPr>
          <w:rFonts w:ascii="仿宋_GB2312" w:hAnsi="仿宋_GB2312" w:eastAsia="仿宋_GB2312"/>
          <w:b w:val="0"/>
          <w:sz w:val="32"/>
        </w:rPr>
        <w:t>2024年度一般公共预算财政拨款基本支出23,718.79万元，其中：</w:t>
      </w:r>
      <w:r>
        <w:rPr>
          <w:rFonts w:ascii="仿宋_GB2312" w:hAnsi="仿宋_GB2312" w:eastAsia="仿宋_GB2312"/>
          <w:b/>
          <w:sz w:val="32"/>
        </w:rPr>
        <w:t>人员经费22,386.68万元，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抚恤金、生活补助、其他对个人和家庭的补助。</w:t>
      </w:r>
    </w:p>
    <w:p w14:paraId="7D9408AF">
      <w:pPr>
        <w:spacing w:line="580" w:lineRule="exact"/>
        <w:ind w:firstLine="640"/>
        <w:jc w:val="both"/>
      </w:pPr>
      <w:r>
        <w:rPr>
          <w:rFonts w:ascii="仿宋_GB2312" w:hAnsi="仿宋_GB2312" w:eastAsia="仿宋_GB2312"/>
          <w:b/>
          <w:sz w:val="32"/>
        </w:rPr>
        <w:t>公用经费1,332.11万元，</w:t>
      </w:r>
      <w:r>
        <w:rPr>
          <w:rFonts w:ascii="仿宋_GB2312" w:hAnsi="仿宋_GB2312" w:eastAsia="仿宋_GB2312"/>
          <w:b w:val="0"/>
          <w:sz w:val="32"/>
        </w:rPr>
        <w:t>包括：办公费、水费、电费、取暖费、物业管理费、专用材料费、工会经费、公务用车运行维护费、其他交通费用、其他商品和服务支出。</w:t>
      </w:r>
    </w:p>
    <w:p w14:paraId="70AEAEE8">
      <w:pPr>
        <w:spacing w:line="640" w:lineRule="exact"/>
        <w:ind w:firstLine="640"/>
        <w:jc w:val="both"/>
        <w:outlineLvl w:val="2"/>
      </w:pPr>
      <w:r>
        <w:rPr>
          <w:rFonts w:ascii="黑体" w:hAnsi="黑体" w:eastAsia="黑体"/>
          <w:sz w:val="32"/>
        </w:rPr>
        <w:t>七、政府性基金预算财政拨款收入支出决算情况说明</w:t>
      </w:r>
    </w:p>
    <w:p w14:paraId="6127161F">
      <w:pPr>
        <w:spacing w:line="580" w:lineRule="exact"/>
        <w:ind w:firstLine="640"/>
        <w:jc w:val="both"/>
      </w:pPr>
      <w:r>
        <w:rPr>
          <w:rFonts w:hint="eastAsia" w:ascii="仿宋_GB2312" w:hAnsi="仿宋_GB2312" w:eastAsia="仿宋_GB2312"/>
          <w:b w:val="0"/>
          <w:sz w:val="32"/>
          <w:lang w:eastAsia="zh-CN"/>
        </w:rPr>
        <w:t>本部门</w:t>
      </w:r>
      <w:r>
        <w:rPr>
          <w:rFonts w:ascii="仿宋_GB2312" w:hAnsi="仿宋_GB2312" w:eastAsia="仿宋_GB2312"/>
          <w:b w:val="0"/>
          <w:sz w:val="32"/>
        </w:rPr>
        <w:t>本年度无政府性基金预算财政拨款收入、支出及结转和结余，政府性基金预算财政拨款收入支出决算表为空表。</w:t>
      </w:r>
    </w:p>
    <w:p w14:paraId="7CAAE1BA">
      <w:pPr>
        <w:spacing w:line="640" w:lineRule="exact"/>
        <w:ind w:firstLine="640"/>
        <w:jc w:val="both"/>
        <w:outlineLvl w:val="2"/>
      </w:pPr>
      <w:r>
        <w:rPr>
          <w:rFonts w:ascii="黑体" w:hAnsi="黑体" w:eastAsia="黑体"/>
          <w:sz w:val="32"/>
        </w:rPr>
        <w:t>八、国有资本经营预算财政拨款收入支出决算情况说明</w:t>
      </w:r>
    </w:p>
    <w:p w14:paraId="75A22315">
      <w:pPr>
        <w:spacing w:line="580" w:lineRule="exact"/>
        <w:ind w:firstLine="640"/>
        <w:jc w:val="both"/>
      </w:pPr>
      <w:r>
        <w:rPr>
          <w:rFonts w:hint="eastAsia" w:ascii="仿宋_GB2312" w:hAnsi="仿宋_GB2312" w:eastAsia="仿宋_GB2312"/>
          <w:b w:val="0"/>
          <w:sz w:val="32"/>
          <w:lang w:eastAsia="zh-CN"/>
        </w:rPr>
        <w:t>本部门</w:t>
      </w:r>
      <w:r>
        <w:rPr>
          <w:rFonts w:ascii="仿宋_GB2312" w:hAnsi="仿宋_GB2312" w:eastAsia="仿宋_GB2312"/>
          <w:b w:val="0"/>
          <w:sz w:val="32"/>
        </w:rPr>
        <w:t>本年度无国有资本经营预算财政拨款收入、支出及结转和结余，国有资本经营预算财政拨款收入支出决算表为空表。</w:t>
      </w:r>
    </w:p>
    <w:p w14:paraId="45B0519F">
      <w:pPr>
        <w:spacing w:line="640" w:lineRule="exact"/>
        <w:ind w:firstLine="640"/>
        <w:jc w:val="both"/>
        <w:outlineLvl w:val="2"/>
      </w:pPr>
      <w:r>
        <w:rPr>
          <w:rFonts w:ascii="黑体" w:hAnsi="黑体" w:eastAsia="黑体"/>
          <w:sz w:val="32"/>
        </w:rPr>
        <w:t>九、财政拨款“三公”经费支出决算情况说明</w:t>
      </w:r>
    </w:p>
    <w:p w14:paraId="65BD508B">
      <w:pPr>
        <w:spacing w:line="580" w:lineRule="exact"/>
        <w:ind w:firstLine="640"/>
        <w:jc w:val="both"/>
      </w:pPr>
      <w:r>
        <w:rPr>
          <w:rFonts w:ascii="仿宋_GB2312" w:hAnsi="仿宋_GB2312" w:eastAsia="仿宋_GB2312"/>
          <w:b/>
          <w:sz w:val="32"/>
        </w:rPr>
        <w:t>2024年度财政拨款“三公”经费支出113.39万元，</w:t>
      </w:r>
      <w:r>
        <w:rPr>
          <w:rFonts w:ascii="仿宋_GB2312" w:hAnsi="仿宋_GB2312" w:eastAsia="仿宋_GB2312"/>
          <w:b w:val="0"/>
          <w:sz w:val="32"/>
        </w:rPr>
        <w:t>比上年增加1.89万元，增长1.70%，主要原因是：本年度特警大队民警因业务需要</w:t>
      </w:r>
      <w:r>
        <w:rPr>
          <w:rFonts w:hint="eastAsia" w:ascii="仿宋_GB2312" w:hAnsi="仿宋_GB2312" w:eastAsia="仿宋_GB2312"/>
          <w:b w:val="0"/>
          <w:sz w:val="32"/>
          <w:lang w:eastAsia="zh-CN"/>
        </w:rPr>
        <w:t>出境</w:t>
      </w:r>
      <w:r>
        <w:rPr>
          <w:rFonts w:ascii="仿宋_GB2312" w:hAnsi="仿宋_GB2312" w:eastAsia="仿宋_GB2312"/>
          <w:b w:val="0"/>
          <w:sz w:val="32"/>
        </w:rPr>
        <w:t>办案，导致因公出国（境）费支出增加。其中：因公出国（境）费支出1.89万元，占1.67%，比上年增加1.89万元，增长100.00%，主要原因是：本年度特警大队民警因业务需要</w:t>
      </w:r>
      <w:r>
        <w:rPr>
          <w:rFonts w:hint="eastAsia" w:ascii="仿宋_GB2312" w:hAnsi="仿宋_GB2312" w:eastAsia="仿宋_GB2312"/>
          <w:b w:val="0"/>
          <w:sz w:val="32"/>
          <w:lang w:eastAsia="zh-CN"/>
        </w:rPr>
        <w:t>出境</w:t>
      </w:r>
      <w:r>
        <w:rPr>
          <w:rFonts w:ascii="仿宋_GB2312" w:hAnsi="仿宋_GB2312" w:eastAsia="仿宋_GB2312"/>
          <w:b w:val="0"/>
          <w:sz w:val="32"/>
        </w:rPr>
        <w:t>办案。公务用车购置及运行维护费支出111.50万元，占98.33%，比上年增加0.00万元，增长0.00%，主要原因是：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008B3EC">
      <w:pPr>
        <w:spacing w:line="580" w:lineRule="exact"/>
        <w:ind w:firstLine="640"/>
        <w:jc w:val="both"/>
      </w:pPr>
      <w:r>
        <w:rPr>
          <w:rFonts w:ascii="仿宋_GB2312" w:hAnsi="仿宋_GB2312" w:eastAsia="仿宋_GB2312"/>
          <w:b/>
          <w:sz w:val="32"/>
        </w:rPr>
        <w:t>具体情况如下：</w:t>
      </w:r>
    </w:p>
    <w:p w14:paraId="5D57CDC9">
      <w:pPr>
        <w:spacing w:line="580" w:lineRule="exact"/>
        <w:ind w:firstLine="640"/>
        <w:jc w:val="both"/>
      </w:pPr>
      <w:r>
        <w:rPr>
          <w:rFonts w:ascii="仿宋_GB2312" w:hAnsi="仿宋_GB2312" w:eastAsia="仿宋_GB2312"/>
          <w:b w:val="0"/>
          <w:sz w:val="32"/>
        </w:rPr>
        <w:t>因公出国（境）费支出1.89万元，开支内容包括特警大队民警因业务需要</w:t>
      </w:r>
      <w:r>
        <w:rPr>
          <w:rFonts w:hint="eastAsia" w:ascii="仿宋_GB2312" w:hAnsi="仿宋_GB2312" w:eastAsia="仿宋_GB2312"/>
          <w:b w:val="0"/>
          <w:sz w:val="32"/>
          <w:lang w:eastAsia="zh-CN"/>
        </w:rPr>
        <w:t>出境</w:t>
      </w:r>
      <w:r>
        <w:rPr>
          <w:rFonts w:ascii="仿宋_GB2312" w:hAnsi="仿宋_GB2312" w:eastAsia="仿宋_GB2312"/>
          <w:b w:val="0"/>
          <w:sz w:val="32"/>
        </w:rPr>
        <w:t>办案产生的交通费、住宿费等。单位全年安排的因公出国（境）团组1个，因公出国（境）2人次。</w:t>
      </w:r>
    </w:p>
    <w:p w14:paraId="67586F5B">
      <w:pPr>
        <w:spacing w:line="580" w:lineRule="exact"/>
        <w:ind w:firstLine="640"/>
        <w:jc w:val="both"/>
      </w:pPr>
      <w:r>
        <w:rPr>
          <w:rFonts w:ascii="仿宋_GB2312" w:hAnsi="仿宋_GB2312" w:eastAsia="仿宋_GB2312"/>
          <w:b w:val="0"/>
          <w:sz w:val="32"/>
        </w:rPr>
        <w:t>公务用车购置及运行维护费111.50万元，其中：公务用车购置费0.00万元，公务用车运行维护费111.50万元。公务用车运行维护费开支内容包括车辆保险费、燃油费。公务用车购置数0辆，公务用车保有量130辆。国有资产占用情况中固定资产车辆126辆，与公务用车保有量差异原因是：借用其他单位车辆，车辆费用由</w:t>
      </w:r>
      <w:r>
        <w:rPr>
          <w:rFonts w:hint="eastAsia" w:ascii="仿宋_GB2312" w:hAnsi="仿宋_GB2312" w:eastAsia="仿宋_GB2312"/>
          <w:b w:val="0"/>
          <w:sz w:val="32"/>
          <w:lang w:eastAsia="zh-CN"/>
        </w:rPr>
        <w:t>本部门</w:t>
      </w:r>
      <w:r>
        <w:rPr>
          <w:rFonts w:ascii="仿宋_GB2312" w:hAnsi="仿宋_GB2312" w:eastAsia="仿宋_GB2312"/>
          <w:b w:val="0"/>
          <w:sz w:val="32"/>
        </w:rPr>
        <w:t>支付。</w:t>
      </w:r>
    </w:p>
    <w:p w14:paraId="57A16544">
      <w:pPr>
        <w:spacing w:line="580" w:lineRule="exact"/>
        <w:ind w:firstLine="640"/>
        <w:jc w:val="both"/>
      </w:pPr>
      <w:r>
        <w:rPr>
          <w:rFonts w:ascii="仿宋_GB2312" w:hAnsi="仿宋_GB2312" w:eastAsia="仿宋_GB2312"/>
          <w:b w:val="0"/>
          <w:sz w:val="32"/>
        </w:rPr>
        <w:t>公务接待费0.00万元，开支内容包括</w:t>
      </w:r>
      <w:r>
        <w:rPr>
          <w:rFonts w:hint="eastAsia" w:ascii="仿宋_GB2312" w:hAnsi="仿宋_GB2312" w:eastAsia="仿宋_GB2312"/>
          <w:b w:val="0"/>
          <w:sz w:val="32"/>
          <w:lang w:eastAsia="zh-CN"/>
        </w:rPr>
        <w:t>本部门</w:t>
      </w:r>
      <w:r>
        <w:rPr>
          <w:rFonts w:ascii="仿宋_GB2312" w:hAnsi="仿宋_GB2312" w:eastAsia="仿宋_GB2312"/>
          <w:b w:val="0"/>
          <w:sz w:val="32"/>
        </w:rPr>
        <w:t>无公务接待费。单位全年安排的国内公务接待0批次，0人次。</w:t>
      </w:r>
    </w:p>
    <w:p w14:paraId="165D466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113.39万元，决算数113.39万元，预决算差异率0.00%，主要原因是：严格按照预算执行，预决算无差异。其中：因公出国（境）费全年预算数1.89万元，决算数1.89万元，预决算差异率0.00%，主要原因是：严格按照预算执行，预决算无差异。公务用车购置费全年预算数0.00万元，决算数0.00万元，预决算差异率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无公务用车购置费。公务用车运行维护费全年预算数111.50万元，决算数111.50万元，预决算差异率0.00%，主要原因是：严格按照预算执行，预决算无差异。公务接待费全年预算数0.00万元，决算数0.00万元，预决算差异率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无公务接待费。</w:t>
      </w:r>
    </w:p>
    <w:p w14:paraId="250570AB">
      <w:pPr>
        <w:spacing w:line="640" w:lineRule="exact"/>
        <w:ind w:firstLine="640"/>
        <w:jc w:val="both"/>
        <w:outlineLvl w:val="2"/>
      </w:pPr>
      <w:r>
        <w:rPr>
          <w:rFonts w:ascii="黑体" w:hAnsi="黑体" w:eastAsia="黑体"/>
          <w:sz w:val="32"/>
        </w:rPr>
        <w:t>十、其他重要事项的情况说明</w:t>
      </w:r>
    </w:p>
    <w:p w14:paraId="68B04FC6">
      <w:pPr>
        <w:spacing w:line="640" w:lineRule="exact"/>
        <w:ind w:firstLine="640"/>
        <w:jc w:val="both"/>
        <w:outlineLvl w:val="3"/>
      </w:pPr>
      <w:r>
        <w:rPr>
          <w:rFonts w:ascii="楷体_GB2312" w:hAnsi="楷体_GB2312" w:eastAsia="楷体_GB2312"/>
          <w:b/>
          <w:sz w:val="32"/>
        </w:rPr>
        <w:t>（一）机关运行经费及公用经费支出情况</w:t>
      </w:r>
    </w:p>
    <w:p w14:paraId="12BB3303">
      <w:pPr>
        <w:spacing w:line="580" w:lineRule="exact"/>
        <w:ind w:firstLine="640"/>
        <w:jc w:val="both"/>
      </w:pPr>
      <w:r>
        <w:rPr>
          <w:rFonts w:ascii="仿宋_GB2312" w:hAnsi="仿宋_GB2312" w:eastAsia="仿宋_GB2312"/>
          <w:b w:val="0"/>
          <w:sz w:val="32"/>
        </w:rPr>
        <w:t>2024年度新疆维吾尔自治区喀什地区公安局（行政单位和参照公务员法管理事业单位）机关运行经费支出1,332.11万元，比上年增加130.36万元，增长10.85%，主要原因是：本年在职人员增加，办公费用增加。</w:t>
      </w:r>
    </w:p>
    <w:p w14:paraId="262F139B">
      <w:pPr>
        <w:spacing w:line="640" w:lineRule="exact"/>
        <w:ind w:firstLine="640"/>
        <w:jc w:val="both"/>
        <w:outlineLvl w:val="3"/>
      </w:pPr>
      <w:r>
        <w:rPr>
          <w:rFonts w:ascii="楷体_GB2312" w:hAnsi="楷体_GB2312" w:eastAsia="楷体_GB2312"/>
          <w:b/>
          <w:sz w:val="32"/>
        </w:rPr>
        <w:t>（二）政府采购情况</w:t>
      </w:r>
    </w:p>
    <w:p w14:paraId="39067B4D">
      <w:pPr>
        <w:spacing w:line="580" w:lineRule="exact"/>
        <w:ind w:firstLine="640"/>
        <w:jc w:val="both"/>
      </w:pPr>
      <w:r>
        <w:rPr>
          <w:rFonts w:ascii="仿宋_GB2312" w:hAnsi="仿宋_GB2312" w:eastAsia="仿宋_GB2312"/>
          <w:b w:val="0"/>
          <w:sz w:val="32"/>
        </w:rPr>
        <w:t>2024年度政府采购支出总额560.67万元，其中：政府采购货物支出374.94万元、政府采购工程支出137.65万元、政府采购服务支出48.07万元。</w:t>
      </w:r>
    </w:p>
    <w:p w14:paraId="4D6EC9D7">
      <w:pPr>
        <w:spacing w:line="580" w:lineRule="exact"/>
        <w:ind w:firstLine="640"/>
        <w:jc w:val="both"/>
      </w:pPr>
      <w:r>
        <w:rPr>
          <w:rFonts w:ascii="仿宋_GB2312" w:hAnsi="仿宋_GB2312" w:eastAsia="仿宋_GB2312"/>
          <w:b w:val="0"/>
          <w:sz w:val="32"/>
        </w:rPr>
        <w:t>授予中小企业合同金额560.67万元，占政府采购支出总额的100.00%，其中：授予小微企业合同金额453.96万元，占政府采购支出总额的80.97%。</w:t>
      </w:r>
    </w:p>
    <w:p w14:paraId="1C99C227">
      <w:pPr>
        <w:spacing w:line="640" w:lineRule="exact"/>
        <w:ind w:firstLine="640"/>
        <w:jc w:val="both"/>
        <w:outlineLvl w:val="3"/>
      </w:pPr>
      <w:r>
        <w:rPr>
          <w:rFonts w:ascii="楷体_GB2312" w:hAnsi="楷体_GB2312" w:eastAsia="楷体_GB2312"/>
          <w:b/>
          <w:sz w:val="32"/>
        </w:rPr>
        <w:t>（三）国有资产占用情况说明</w:t>
      </w:r>
    </w:p>
    <w:p w14:paraId="2852A157">
      <w:pPr>
        <w:spacing w:line="580" w:lineRule="exact"/>
        <w:ind w:firstLine="640"/>
        <w:jc w:val="both"/>
      </w:pPr>
      <w:r>
        <w:rPr>
          <w:rFonts w:ascii="仿宋_GB2312" w:hAnsi="仿宋_GB2312" w:eastAsia="仿宋_GB2312"/>
          <w:b w:val="0"/>
          <w:sz w:val="32"/>
        </w:rPr>
        <w:t>截至2024年12月31日，房屋96,928.91平方米，价值17,158.89万元。车辆126辆，价值3,338.09万元，其中：副部（省）级及以上领导用车0辆、主要负责人用车0辆、机要通信用车0辆、应急保障用车0辆、执法执勤用车104辆、特种专业技术用车1辆、离退休干部服务用车0辆、其他用车21辆，其他用车主要是：一般公务用车和单位业务用车。单价100万元（含）以上设备（不含车辆）84台（套）。</w:t>
      </w:r>
    </w:p>
    <w:p w14:paraId="78641136">
      <w:pPr>
        <w:spacing w:line="640" w:lineRule="exact"/>
        <w:ind w:firstLine="640"/>
        <w:jc w:val="both"/>
        <w:outlineLvl w:val="2"/>
      </w:pPr>
      <w:r>
        <w:rPr>
          <w:rFonts w:ascii="黑体" w:hAnsi="黑体" w:eastAsia="黑体"/>
          <w:sz w:val="32"/>
        </w:rPr>
        <w:t>十一、预算绩效的情况说明</w:t>
      </w:r>
    </w:p>
    <w:p w14:paraId="07547035">
      <w:pPr>
        <w:spacing w:line="580" w:lineRule="exact"/>
        <w:ind w:firstLine="640"/>
        <w:jc w:val="both"/>
      </w:pPr>
      <w:r>
        <w:rPr>
          <w:rFonts w:ascii="仿宋_GB2312" w:hAnsi="仿宋_GB2312" w:eastAsia="仿宋_GB2312"/>
          <w:b w:val="0"/>
          <w:sz w:val="32"/>
        </w:rPr>
        <w:t>根据预算绩效管理要求，</w:t>
      </w:r>
      <w:r>
        <w:rPr>
          <w:rFonts w:hint="eastAsia" w:ascii="仿宋_GB2312" w:hAnsi="仿宋_GB2312" w:eastAsia="仿宋_GB2312"/>
          <w:b w:val="0"/>
          <w:sz w:val="32"/>
          <w:lang w:eastAsia="zh-CN"/>
        </w:rPr>
        <w:t>本部门</w:t>
      </w:r>
      <w:r>
        <w:rPr>
          <w:rFonts w:ascii="仿宋_GB2312" w:hAnsi="仿宋_GB2312" w:eastAsia="仿宋_GB2312"/>
          <w:b w:val="0"/>
          <w:sz w:val="32"/>
        </w:rPr>
        <w:t>2024年度预算绩效管理形成整体支出绩效自评表1个，全年预算总额39,756.29万元，实际执行总额37,068.21万元；预算绩效评价项目21个，全年预算数37933.6万元，全年执行数37068.21万元。预算绩效管理取得的成效：一是提升基层公安机关经费保障水平，提升民警业务办案能力，为群众提供优质政府服务，确保辖区社会长治久安；二是解决了民警的后顾之忧，促进家庭和睦，提升民警工作积极性，增加服务辖区群众的能力，确保油气井安全，为塔西南提供更优质的政府服务能力。发现的问题及原因：一是中央资金转移支付项目执行慢的原因是政府采购意向公开</w:t>
      </w:r>
      <w:r>
        <w:rPr>
          <w:rFonts w:hint="eastAsia" w:ascii="仿宋_GB2312" w:hAnsi="仿宋_GB2312" w:eastAsia="仿宋_GB2312"/>
          <w:b w:val="0"/>
          <w:sz w:val="32"/>
          <w:lang w:eastAsia="zh-CN"/>
        </w:rPr>
        <w:t>时间</w:t>
      </w:r>
      <w:r>
        <w:rPr>
          <w:rFonts w:ascii="仿宋_GB2312" w:hAnsi="仿宋_GB2312" w:eastAsia="仿宋_GB2312"/>
          <w:b w:val="0"/>
          <w:sz w:val="32"/>
        </w:rPr>
        <w:t>长、因供货商因疫情原因供货验收慢，造成资金不能及时支付；二是财务管理方面，会计核算还不够细致,对于有些能够细分的工作,未能详细分类核算，绩效评价基础数据不够精准；三是固定资产管理水平有待提高，固定资产台账未及时与账面资产金额对账，且没有对及时实物固定资产进行清点及清理处置报废资产，导致资产台账与账面资产金额存在差异，固定资产管理需要继续加强。下一步改进措施：一是加强项目管理，提前规划支出计划，确保项目按时推进并及时支出资金；二是严格执行《中华人民共和国预算法》《财政违法行为处罚处分条例》等国家有关法律规定，同时加强资金在使用过程中的绩效管理及执行，保证绩效目标实施；三是继续加强单位</w:t>
      </w:r>
      <w:r>
        <w:rPr>
          <w:rFonts w:hint="eastAsia" w:ascii="仿宋_GB2312" w:hAnsi="仿宋_GB2312" w:eastAsia="仿宋_GB2312"/>
          <w:b w:val="0"/>
          <w:sz w:val="32"/>
          <w:lang w:eastAsia="zh-CN"/>
        </w:rPr>
        <w:t>固定资产</w:t>
      </w:r>
      <w:r>
        <w:rPr>
          <w:rFonts w:ascii="仿宋_GB2312" w:hAnsi="仿宋_GB2312" w:eastAsia="仿宋_GB2312"/>
          <w:b w:val="0"/>
          <w:sz w:val="32"/>
        </w:rPr>
        <w:t>管理，对</w:t>
      </w:r>
      <w:r>
        <w:rPr>
          <w:rFonts w:hint="eastAsia" w:ascii="仿宋_GB2312" w:hAnsi="仿宋_GB2312" w:eastAsia="仿宋_GB2312"/>
          <w:b w:val="0"/>
          <w:sz w:val="32"/>
          <w:lang w:eastAsia="zh-CN"/>
        </w:rPr>
        <w:t>固定资产</w:t>
      </w:r>
      <w:r>
        <w:rPr>
          <w:rFonts w:ascii="仿宋_GB2312" w:hAnsi="仿宋_GB2312" w:eastAsia="仿宋_GB2312"/>
          <w:b w:val="0"/>
          <w:sz w:val="32"/>
        </w:rPr>
        <w:t>的购置、使用、调拨、报废等方面进行监督和考核。</w:t>
      </w:r>
    </w:p>
    <w:p w14:paraId="68F27C0C">
      <w:r>
        <w:br w:type="page"/>
      </w:r>
    </w:p>
    <w:p w14:paraId="53B6E6F3">
      <w:pPr>
        <w:spacing w:line="640" w:lineRule="exact"/>
        <w:ind w:firstLine="640"/>
        <w:jc w:val="both"/>
        <w:outlineLvl w:val="2"/>
      </w:pPr>
      <w:r>
        <w:rPr>
          <w:rFonts w:ascii="黑体" w:hAnsi="黑体" w:eastAsia="黑体"/>
          <w:sz w:val="32"/>
        </w:rPr>
        <w:t>十二、其他需说明的事项</w:t>
      </w:r>
    </w:p>
    <w:p w14:paraId="6D1D974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本年度部门整体绩效自评表不予公开。</w:t>
      </w:r>
    </w:p>
    <w:p w14:paraId="3605EEEA">
      <w:pPr>
        <w:spacing w:line="580" w:lineRule="exact"/>
        <w:ind w:firstLine="640"/>
        <w:jc w:val="both"/>
      </w:pPr>
      <w:r>
        <w:rPr>
          <w:rFonts w:ascii="仿宋_GB2312" w:hAnsi="仿宋_GB2312" w:eastAsia="仿宋_GB2312"/>
          <w:b w:val="0"/>
          <w:sz w:val="32"/>
        </w:rPr>
        <w:t>本年涉密项目21个，全年预算数37933.6万元，全年执行数37068.21万元。</w:t>
      </w:r>
    </w:p>
    <w:p w14:paraId="50C84D6D">
      <w:r>
        <w:br w:type="page"/>
      </w:r>
    </w:p>
    <w:p w14:paraId="422BB9D9">
      <w:pPr>
        <w:spacing w:line="240" w:lineRule="auto"/>
        <w:jc w:val="center"/>
        <w:outlineLvl w:val="1"/>
      </w:pPr>
      <w:r>
        <w:rPr>
          <w:rFonts w:ascii="黑体" w:hAnsi="黑体" w:eastAsia="黑体"/>
          <w:sz w:val="32"/>
        </w:rPr>
        <w:t>第三部分 专业名词解释</w:t>
      </w:r>
    </w:p>
    <w:p w14:paraId="10D3A47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86E8B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0D8D3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4BC7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02B60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E42C7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68395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A4127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CE503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22E4F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9277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740A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6F4768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66809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6A31D6">
      <w:r>
        <w:br w:type="page"/>
      </w:r>
    </w:p>
    <w:p w14:paraId="731AE44A">
      <w:pPr>
        <w:spacing w:line="240" w:lineRule="auto"/>
        <w:jc w:val="center"/>
        <w:outlineLvl w:val="1"/>
      </w:pPr>
      <w:r>
        <w:rPr>
          <w:rFonts w:ascii="黑体" w:hAnsi="黑体" w:eastAsia="黑体"/>
          <w:sz w:val="32"/>
        </w:rPr>
        <w:t>第四部分 部门决算报表（见附表）</w:t>
      </w:r>
    </w:p>
    <w:p w14:paraId="633C4999">
      <w:pPr>
        <w:spacing w:line="240" w:lineRule="auto"/>
        <w:ind w:firstLine="640"/>
        <w:jc w:val="both"/>
      </w:pPr>
      <w:r>
        <w:rPr>
          <w:rFonts w:ascii="仿宋_GB2312" w:hAnsi="仿宋_GB2312" w:eastAsia="仿宋_GB2312"/>
          <w:b w:val="0"/>
          <w:sz w:val="32"/>
        </w:rPr>
        <w:t>一、《收入支出决算总表》</w:t>
      </w:r>
    </w:p>
    <w:p w14:paraId="0E47D1BE">
      <w:pPr>
        <w:spacing w:line="240" w:lineRule="auto"/>
        <w:ind w:firstLine="640"/>
        <w:jc w:val="both"/>
      </w:pPr>
      <w:r>
        <w:rPr>
          <w:rFonts w:ascii="仿宋_GB2312" w:hAnsi="仿宋_GB2312" w:eastAsia="仿宋_GB2312"/>
          <w:b w:val="0"/>
          <w:sz w:val="32"/>
        </w:rPr>
        <w:t>二、《收入决算表》</w:t>
      </w:r>
    </w:p>
    <w:p w14:paraId="20C9C821">
      <w:pPr>
        <w:spacing w:line="240" w:lineRule="auto"/>
        <w:ind w:firstLine="640"/>
        <w:jc w:val="both"/>
      </w:pPr>
      <w:r>
        <w:rPr>
          <w:rFonts w:ascii="仿宋_GB2312" w:hAnsi="仿宋_GB2312" w:eastAsia="仿宋_GB2312"/>
          <w:b w:val="0"/>
          <w:sz w:val="32"/>
        </w:rPr>
        <w:t>三、《支出决算表》</w:t>
      </w:r>
    </w:p>
    <w:p w14:paraId="09514BAF">
      <w:pPr>
        <w:spacing w:line="240" w:lineRule="auto"/>
        <w:ind w:firstLine="640"/>
        <w:jc w:val="both"/>
      </w:pPr>
      <w:r>
        <w:rPr>
          <w:rFonts w:ascii="仿宋_GB2312" w:hAnsi="仿宋_GB2312" w:eastAsia="仿宋_GB2312"/>
          <w:b w:val="0"/>
          <w:sz w:val="32"/>
        </w:rPr>
        <w:t>四、《财政拨款收入支出决算总表》</w:t>
      </w:r>
    </w:p>
    <w:p w14:paraId="626094FE">
      <w:pPr>
        <w:spacing w:line="240" w:lineRule="auto"/>
        <w:ind w:firstLine="640"/>
        <w:jc w:val="both"/>
      </w:pPr>
      <w:r>
        <w:rPr>
          <w:rFonts w:ascii="仿宋_GB2312" w:hAnsi="仿宋_GB2312" w:eastAsia="仿宋_GB2312"/>
          <w:b w:val="0"/>
          <w:sz w:val="32"/>
        </w:rPr>
        <w:t>五、《一般公共预算财政拨款支出决算表》</w:t>
      </w:r>
    </w:p>
    <w:p w14:paraId="54377CF9">
      <w:pPr>
        <w:spacing w:line="240" w:lineRule="auto"/>
        <w:ind w:firstLine="640"/>
        <w:jc w:val="both"/>
      </w:pPr>
      <w:r>
        <w:rPr>
          <w:rFonts w:ascii="仿宋_GB2312" w:hAnsi="仿宋_GB2312" w:eastAsia="仿宋_GB2312"/>
          <w:b w:val="0"/>
          <w:sz w:val="32"/>
        </w:rPr>
        <w:t>六、《一般公共预算财政拨款基本支出决算表》</w:t>
      </w:r>
    </w:p>
    <w:p w14:paraId="056ACAA0">
      <w:pPr>
        <w:spacing w:line="240" w:lineRule="auto"/>
        <w:ind w:firstLine="640"/>
        <w:jc w:val="both"/>
      </w:pPr>
      <w:r>
        <w:rPr>
          <w:rFonts w:ascii="仿宋_GB2312" w:hAnsi="仿宋_GB2312" w:eastAsia="仿宋_GB2312"/>
          <w:b w:val="0"/>
          <w:sz w:val="32"/>
        </w:rPr>
        <w:t>七、《政府性基金预算财政拨款收入支出决算表》</w:t>
      </w:r>
    </w:p>
    <w:p w14:paraId="784C21FB">
      <w:pPr>
        <w:spacing w:line="240" w:lineRule="auto"/>
        <w:ind w:firstLine="640"/>
        <w:jc w:val="both"/>
      </w:pPr>
      <w:r>
        <w:rPr>
          <w:rFonts w:ascii="仿宋_GB2312" w:hAnsi="仿宋_GB2312" w:eastAsia="仿宋_GB2312"/>
          <w:b w:val="0"/>
          <w:sz w:val="32"/>
        </w:rPr>
        <w:t>八、《国有资本经营预算财政拨款收入支出决算表》</w:t>
      </w:r>
    </w:p>
    <w:p w14:paraId="105DB75A">
      <w:pPr>
        <w:spacing w:line="240" w:lineRule="auto"/>
        <w:ind w:firstLine="640"/>
        <w:jc w:val="both"/>
      </w:pPr>
      <w:r>
        <w:rPr>
          <w:rFonts w:ascii="仿宋_GB2312" w:hAnsi="仿宋_GB2312" w:eastAsia="仿宋_GB2312"/>
          <w:b w:val="0"/>
          <w:sz w:val="32"/>
        </w:rPr>
        <w:t>九、《财政拨款“三公”经费支出决算表》</w:t>
      </w:r>
    </w:p>
    <w:p w14:paraId="18D3E93A">
      <w:pPr>
        <w:spacing w:line="240" w:lineRule="auto"/>
        <w:ind w:firstLine="640"/>
        <w:jc w:val="both"/>
      </w:pPr>
    </w:p>
    <w:p w14:paraId="46DC3987">
      <w:pPr>
        <w:spacing w:line="240" w:lineRule="auto"/>
        <w:ind w:firstLine="640"/>
        <w:jc w:val="both"/>
      </w:pPr>
    </w:p>
    <w:p w14:paraId="1538C7C0">
      <w:pPr>
        <w:spacing w:line="240" w:lineRule="auto"/>
        <w:ind w:firstLine="640"/>
        <w:jc w:val="both"/>
      </w:pPr>
    </w:p>
    <w:p w14:paraId="7033BC89">
      <w:pPr>
        <w:spacing w:line="240" w:lineRule="auto"/>
        <w:ind w:firstLine="640"/>
        <w:jc w:val="both"/>
      </w:pPr>
    </w:p>
    <w:p w14:paraId="1C6996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2">
    <w:panose1 w:val="02000000000000000000"/>
    <w:charset w:val="86"/>
    <w:family w:val="auto"/>
    <w:pitch w:val="default"/>
    <w:sig w:usb0="A00002BF" w:usb1="38CF7CFA" w:usb2="00082016" w:usb3="00000000" w:csb0="00040001"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5A709F"/>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EE2EE9"/>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6994</Words>
  <Characters>7981</Characters>
  <Lines>0</Lines>
  <Paragraphs>0</Paragraphs>
  <TotalTime>11</TotalTime>
  <ScaleCrop>false</ScaleCrop>
  <LinksUpToDate>false</LinksUpToDate>
  <CharactersWithSpaces>7991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2025-09-04T02:36:03Z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