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73AFED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新疆维吾尔自治区喀什地区司法局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9AC19E">
      <w:r>
        <w:br w:type="page"/>
      </w:r>
    </w:p>
    <w:p w14:paraId="3BB41922">
      <w:pPr>
        <w:spacing w:line="640" w:lineRule="exact"/>
        <w:jc w:val="center"/>
        <w:outlineLvl w:val="1"/>
      </w:pPr>
      <w:r>
        <w:rPr>
          <w:rFonts w:ascii="黑体" w:hAnsi="黑体" w:eastAsia="黑体"/>
          <w:sz w:val="32"/>
        </w:rPr>
        <w:t>第一部分 部门概况</w:t>
      </w:r>
    </w:p>
    <w:p w14:paraId="3C32F48A">
      <w:pPr>
        <w:spacing w:line="640" w:lineRule="exact"/>
        <w:ind w:firstLine="640"/>
        <w:jc w:val="both"/>
        <w:outlineLvl w:val="2"/>
      </w:pPr>
      <w:r>
        <w:rPr>
          <w:rFonts w:ascii="黑体" w:hAnsi="黑体" w:eastAsia="黑体"/>
          <w:sz w:val="32"/>
        </w:rPr>
        <w:t>一、主要职能</w:t>
      </w:r>
    </w:p>
    <w:p w14:paraId="2E0EA7FF">
      <w:pPr>
        <w:spacing w:line="580" w:lineRule="exact"/>
        <w:ind w:firstLine="640"/>
        <w:jc w:val="both"/>
      </w:pPr>
      <w:r>
        <w:rPr>
          <w:rFonts w:ascii="仿宋_GB2312" w:hAnsi="仿宋_GB2312" w:eastAsia="仿宋_GB2312"/>
          <w:sz w:val="32"/>
        </w:rPr>
        <w:t>1、承担全面依法治地重大问题的政策研究，协调有关方面提出全面依法治地中长期规划建议，负责有关重大决策部署督察工作。</w:t>
      </w:r>
    </w:p>
    <w:p w14:paraId="3C7D0C60">
      <w:pPr>
        <w:spacing w:line="580" w:lineRule="exact"/>
        <w:ind w:firstLine="640"/>
        <w:jc w:val="both"/>
        <w:rPr>
          <w:rFonts w:ascii="仿宋_GB2312" w:hAnsi="仿宋_GB2312" w:eastAsia="仿宋_GB2312"/>
          <w:sz w:val="32"/>
        </w:rPr>
      </w:pPr>
      <w:r>
        <w:rPr>
          <w:rFonts w:ascii="仿宋_GB2312" w:hAnsi="仿宋_GB2312" w:eastAsia="仿宋_GB2312"/>
          <w:sz w:val="32"/>
        </w:rPr>
        <w:t>2、承办上级法律、法规、规章草案和规范性文件征求意见建议的工作。负责协调实施规范性文件中的有关争议和问题。负责行政规范性文件合法性审核、备案工作。组织开展政府规范性文件清理工作。</w:t>
      </w:r>
    </w:p>
    <w:p w14:paraId="77DEE550">
      <w:pPr>
        <w:spacing w:line="580" w:lineRule="exact"/>
        <w:ind w:firstLine="640"/>
        <w:jc w:val="both"/>
      </w:pPr>
      <w:r>
        <w:rPr>
          <w:rFonts w:ascii="仿宋_GB2312" w:hAnsi="仿宋_GB2312" w:eastAsia="仿宋_GB2312"/>
          <w:sz w:val="32"/>
        </w:rPr>
        <w:t>3、承担统筹推进法治政府建设的责任。指导、监督行署各部门、各县市人民政府依法行政工作。负责行政执法的监督管理、综合协调工作，承担推进行政执法体制改革有关工作，推进严格规范公正文明执法。指导、监督全地区行政复议和行政应诉工作。负责行政复议和应诉案件办理工作。</w:t>
      </w:r>
    </w:p>
    <w:p w14:paraId="0B853521">
      <w:pPr>
        <w:spacing w:line="580" w:lineRule="exact"/>
        <w:ind w:firstLine="640"/>
        <w:jc w:val="both"/>
      </w:pPr>
      <w:r>
        <w:rPr>
          <w:rFonts w:ascii="仿宋_GB2312" w:hAnsi="仿宋_GB2312" w:eastAsia="仿宋_GB2312"/>
          <w:sz w:val="32"/>
        </w:rPr>
        <w:t>4、承担统筹规划法治社会建设的责任。负责拟订喀什地区法治宣传教育规划，组织实施普法宣传工作，组织对外法治宣传。推动人民参与和促进法治建设。指导依法治理和法治创建工作。负责人民监督员选任管理工作。指导、监督人民调解、行政调解、人民陪审员选任工作，推进司法所建设。负责促进和谐预防犯罪宣传教育工作。</w:t>
      </w:r>
    </w:p>
    <w:p w14:paraId="22EDD465">
      <w:pPr>
        <w:spacing w:line="580" w:lineRule="exact"/>
        <w:ind w:firstLine="640"/>
        <w:jc w:val="both"/>
      </w:pPr>
      <w:r>
        <w:rPr>
          <w:rFonts w:ascii="仿宋_GB2312" w:hAnsi="仿宋_GB2312" w:eastAsia="仿宋_GB2312"/>
          <w:sz w:val="32"/>
        </w:rPr>
        <w:t>5、指导、管理社区矫正工作。</w:t>
      </w:r>
    </w:p>
    <w:p w14:paraId="01F8FBB0">
      <w:pPr>
        <w:spacing w:line="580" w:lineRule="exact"/>
        <w:ind w:firstLine="640"/>
        <w:jc w:val="both"/>
      </w:pPr>
      <w:r>
        <w:rPr>
          <w:rFonts w:ascii="仿宋_GB2312" w:hAnsi="仿宋_GB2312" w:eastAsia="仿宋_GB2312"/>
          <w:sz w:val="32"/>
        </w:rPr>
        <w:t>6、负责拟订公共法律服务体系建设规划并指导实施，统筹和布局城乡、区域法律服务资源。指导、监督律师、法律援助、司法鉴定、公证、仲裁和基层法律服务管理工作。</w:t>
      </w:r>
    </w:p>
    <w:p w14:paraId="3A0B8CA5">
      <w:pPr>
        <w:spacing w:line="580" w:lineRule="exact"/>
        <w:ind w:firstLine="640"/>
        <w:jc w:val="both"/>
      </w:pPr>
      <w:r>
        <w:rPr>
          <w:rFonts w:ascii="仿宋_GB2312" w:hAnsi="仿宋_GB2312" w:eastAsia="仿宋_GB2312"/>
          <w:sz w:val="32"/>
        </w:rPr>
        <w:t>7、负责国家统一法律职业资格考试的组织实施工作。负责国家统一法律职业资格初审、报批和法律职业资格证书的管理工作。负责规划和指导法律职业人员入职前培训工作。</w:t>
      </w:r>
    </w:p>
    <w:p w14:paraId="3A4DCF0B">
      <w:pPr>
        <w:spacing w:line="580" w:lineRule="exact"/>
        <w:ind w:firstLine="640"/>
        <w:jc w:val="both"/>
      </w:pPr>
      <w:r>
        <w:rPr>
          <w:rFonts w:ascii="仿宋_GB2312" w:hAnsi="仿宋_GB2312" w:eastAsia="仿宋_GB2312"/>
          <w:sz w:val="32"/>
        </w:rPr>
        <w:t>8、负责喀什地区法治对外合作工作。组织开展法治对外合作交流。承办涉港澳台的法律事务。参与有关国际司法协助。</w:t>
      </w:r>
    </w:p>
    <w:p w14:paraId="088F1E52">
      <w:pPr>
        <w:spacing w:line="580" w:lineRule="exact"/>
        <w:ind w:firstLine="640"/>
        <w:jc w:val="both"/>
      </w:pPr>
      <w:r>
        <w:rPr>
          <w:rFonts w:ascii="仿宋_GB2312" w:hAnsi="仿宋_GB2312" w:eastAsia="仿宋_GB2312"/>
          <w:sz w:val="32"/>
        </w:rPr>
        <w:t>9、负责本部门、本系统装备管理工作，指导、监督本系统财务、装备、设施、场所等保障工作。</w:t>
      </w:r>
    </w:p>
    <w:p w14:paraId="7EAC8B70">
      <w:pPr>
        <w:spacing w:line="580" w:lineRule="exact"/>
        <w:ind w:firstLine="640"/>
        <w:jc w:val="both"/>
      </w:pPr>
      <w:r>
        <w:rPr>
          <w:rFonts w:ascii="仿宋_GB2312" w:hAnsi="仿宋_GB2312" w:eastAsia="仿宋_GB2312"/>
          <w:sz w:val="32"/>
        </w:rPr>
        <w:t>10、规划、协调、指导法治人才队伍建设相关工作，指导、监督本部门、本系统队伍建设。负责本部门、本系统警务管理和警务督察工作。协助各县(市)管理司法局领导干部。</w:t>
      </w:r>
    </w:p>
    <w:p w14:paraId="368E0BE8">
      <w:pPr>
        <w:spacing w:line="580" w:lineRule="exact"/>
        <w:ind w:firstLine="640"/>
        <w:jc w:val="both"/>
      </w:pPr>
      <w:r>
        <w:rPr>
          <w:rFonts w:ascii="仿宋_GB2312" w:hAnsi="仿宋_GB2312" w:eastAsia="仿宋_GB2312"/>
          <w:sz w:val="32"/>
        </w:rPr>
        <w:t>11、完成地委、地区行政公署和自治区司法厅交办的其他任务。</w:t>
      </w:r>
    </w:p>
    <w:p w14:paraId="2416C00F">
      <w:pPr>
        <w:spacing w:line="640" w:lineRule="exact"/>
        <w:ind w:firstLine="640"/>
        <w:jc w:val="both"/>
        <w:outlineLvl w:val="2"/>
      </w:pPr>
      <w:r>
        <w:rPr>
          <w:rFonts w:ascii="黑体" w:hAnsi="黑体" w:eastAsia="黑体"/>
          <w:sz w:val="32"/>
        </w:rPr>
        <w:t>二、机构设置及人员情况</w:t>
      </w:r>
    </w:p>
    <w:p w14:paraId="6BFE2152">
      <w:pPr>
        <w:spacing w:line="580" w:lineRule="exact"/>
        <w:ind w:firstLine="640"/>
        <w:jc w:val="both"/>
      </w:pPr>
      <w:r>
        <w:rPr>
          <w:rFonts w:ascii="仿宋_GB2312" w:hAnsi="仿宋_GB2312" w:eastAsia="仿宋_GB2312"/>
          <w:sz w:val="32"/>
        </w:rPr>
        <w:t>本部门机构设置及人员情况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02A4A849">
      <w:r>
        <w:br w:type="page"/>
      </w:r>
    </w:p>
    <w:p w14:paraId="442165DC">
      <w:pPr>
        <w:spacing w:line="240" w:lineRule="auto"/>
        <w:jc w:val="center"/>
        <w:outlineLvl w:val="1"/>
      </w:pPr>
      <w:r>
        <w:rPr>
          <w:rFonts w:ascii="黑体" w:hAnsi="黑体" w:eastAsia="黑体"/>
          <w:sz w:val="32"/>
        </w:rPr>
        <w:t>第二部分 部门决算情况说明</w:t>
      </w:r>
    </w:p>
    <w:p w14:paraId="5D0C1111">
      <w:pPr>
        <w:spacing w:line="640" w:lineRule="exact"/>
        <w:ind w:firstLine="640"/>
        <w:jc w:val="both"/>
        <w:outlineLvl w:val="2"/>
      </w:pPr>
      <w:r>
        <w:rPr>
          <w:rFonts w:ascii="黑体" w:hAnsi="黑体" w:eastAsia="黑体"/>
          <w:sz w:val="32"/>
        </w:rPr>
        <w:t>一、收入支出决算总体情况说明</w:t>
      </w:r>
    </w:p>
    <w:p w14:paraId="6A815053">
      <w:pPr>
        <w:spacing w:line="580" w:lineRule="exact"/>
        <w:ind w:firstLine="640"/>
        <w:jc w:val="both"/>
      </w:pPr>
      <w:r>
        <w:rPr>
          <w:rFonts w:ascii="仿宋_GB2312" w:hAnsi="仿宋_GB2312" w:eastAsia="仿宋_GB2312"/>
          <w:b/>
          <w:sz w:val="32"/>
        </w:rPr>
        <w:t>2024年度收入总计2,686.92万元，</w:t>
      </w:r>
      <w:r>
        <w:rPr>
          <w:rFonts w:ascii="仿宋_GB2312" w:hAnsi="仿宋_GB2312" w:eastAsia="仿宋_GB2312"/>
          <w:b w:val="0"/>
          <w:sz w:val="32"/>
        </w:rPr>
        <w:t>其中：本年收入合计2,686.92万元，使用非财政拨款结余（含专用结余）0.00万元，年初结转和结余0.00万元。</w:t>
      </w:r>
    </w:p>
    <w:p w14:paraId="3A1D9B01">
      <w:pPr>
        <w:spacing w:line="580" w:lineRule="exact"/>
        <w:ind w:firstLine="640"/>
        <w:jc w:val="both"/>
      </w:pPr>
      <w:r>
        <w:rPr>
          <w:rFonts w:ascii="仿宋_GB2312" w:hAnsi="仿宋_GB2312" w:eastAsia="仿宋_GB2312"/>
          <w:b/>
          <w:sz w:val="32"/>
        </w:rPr>
        <w:t>2024年度支出总计2,686.92万元，</w:t>
      </w:r>
      <w:r>
        <w:rPr>
          <w:rFonts w:ascii="仿宋_GB2312" w:hAnsi="仿宋_GB2312" w:eastAsia="仿宋_GB2312"/>
          <w:b w:val="0"/>
          <w:sz w:val="32"/>
        </w:rPr>
        <w:t>其中：本年支出合计2,686.92万元，结余分配0.00万元，年末结转和结余0.00万元。</w:t>
      </w:r>
    </w:p>
    <w:p w14:paraId="6AAE3CC3">
      <w:pPr>
        <w:spacing w:line="580" w:lineRule="exact"/>
        <w:ind w:firstLine="640"/>
        <w:jc w:val="both"/>
      </w:pPr>
      <w:r>
        <w:rPr>
          <w:rFonts w:ascii="仿宋_GB2312" w:hAnsi="仿宋_GB2312" w:eastAsia="仿宋_GB2312"/>
          <w:b w:val="0"/>
          <w:sz w:val="32"/>
        </w:rPr>
        <w:t>收入支出总体与上年相比，减少556.31万元，下降17.15%，主要原因是：本年中央转移支付经费减少一个项目、专项项目经费减少。</w:t>
      </w:r>
    </w:p>
    <w:p w14:paraId="3C7FA735">
      <w:pPr>
        <w:spacing w:line="640" w:lineRule="exact"/>
        <w:ind w:firstLine="640"/>
        <w:jc w:val="both"/>
        <w:outlineLvl w:val="2"/>
      </w:pPr>
      <w:r>
        <w:rPr>
          <w:rFonts w:ascii="黑体" w:hAnsi="黑体" w:eastAsia="黑体"/>
          <w:sz w:val="32"/>
        </w:rPr>
        <w:t>二、收入决算情况说明</w:t>
      </w:r>
    </w:p>
    <w:p w14:paraId="501C08B0">
      <w:pPr>
        <w:spacing w:line="580" w:lineRule="exact"/>
        <w:ind w:firstLine="640"/>
        <w:jc w:val="both"/>
      </w:pPr>
      <w:r>
        <w:rPr>
          <w:rFonts w:ascii="仿宋_GB2312" w:hAnsi="仿宋_GB2312" w:eastAsia="仿宋_GB2312"/>
          <w:b/>
          <w:sz w:val="32"/>
        </w:rPr>
        <w:t>本年收入2,686.92万元，</w:t>
      </w:r>
      <w:r>
        <w:rPr>
          <w:rFonts w:ascii="仿宋_GB2312" w:hAnsi="仿宋_GB2312" w:eastAsia="仿宋_GB2312"/>
          <w:b w:val="0"/>
          <w:sz w:val="32"/>
        </w:rPr>
        <w:t>其中：财政拨款收入2,686.92万元，占100.00%；上级补助收入0.00万元，占0.00%；事业收入0.00万元，占0.00%；经营收入0.00万元，占0.00%；附属单位上缴收入0.00万元，占0.00%；其他收入0.00万元，占0.00%。</w:t>
      </w:r>
    </w:p>
    <w:p w14:paraId="205A66CC">
      <w:pPr>
        <w:spacing w:line="640" w:lineRule="exact"/>
        <w:ind w:firstLine="640"/>
        <w:jc w:val="both"/>
        <w:outlineLvl w:val="2"/>
      </w:pPr>
      <w:r>
        <w:rPr>
          <w:rFonts w:ascii="黑体" w:hAnsi="黑体" w:eastAsia="黑体"/>
          <w:sz w:val="32"/>
        </w:rPr>
        <w:t>三、支出决算情况说明</w:t>
      </w:r>
    </w:p>
    <w:p w14:paraId="7C92F021">
      <w:pPr>
        <w:spacing w:line="580" w:lineRule="exact"/>
        <w:ind w:firstLine="640"/>
        <w:jc w:val="both"/>
      </w:pPr>
      <w:r>
        <w:rPr>
          <w:rFonts w:ascii="仿宋_GB2312" w:hAnsi="仿宋_GB2312" w:eastAsia="仿宋_GB2312"/>
          <w:b/>
          <w:sz w:val="32"/>
        </w:rPr>
        <w:t>本年支出2,686.92万元，</w:t>
      </w:r>
      <w:r>
        <w:rPr>
          <w:rFonts w:ascii="仿宋_GB2312" w:hAnsi="仿宋_GB2312" w:eastAsia="仿宋_GB2312"/>
          <w:b w:val="0"/>
          <w:sz w:val="32"/>
        </w:rPr>
        <w:t>其中：基本支出1,721.25万元，占64.06%；项目支出965.67万元，占35.94%；上缴上级支出0.00万元，占0.00%；经营支出0.00万元，占0.00%；对附属单位补助支出0.00万元，占0.00%。</w:t>
      </w:r>
    </w:p>
    <w:p w14:paraId="0BBB88CA">
      <w:pPr>
        <w:spacing w:line="640" w:lineRule="exact"/>
        <w:ind w:firstLine="640"/>
        <w:jc w:val="both"/>
        <w:outlineLvl w:val="2"/>
      </w:pPr>
      <w:r>
        <w:rPr>
          <w:rFonts w:ascii="黑体" w:hAnsi="黑体" w:eastAsia="黑体"/>
          <w:sz w:val="32"/>
        </w:rPr>
        <w:t>四、财政拨款收入支出决算总体情况说明</w:t>
      </w:r>
    </w:p>
    <w:p w14:paraId="7236C6FE">
      <w:pPr>
        <w:spacing w:line="580" w:lineRule="exact"/>
        <w:ind w:firstLine="640"/>
        <w:jc w:val="both"/>
      </w:pPr>
      <w:r>
        <w:rPr>
          <w:rFonts w:ascii="仿宋_GB2312" w:hAnsi="仿宋_GB2312" w:eastAsia="仿宋_GB2312"/>
          <w:b/>
          <w:sz w:val="32"/>
        </w:rPr>
        <w:t>2024年度财政拨款收入总计2,686.92万元，</w:t>
      </w:r>
      <w:r>
        <w:rPr>
          <w:rFonts w:ascii="仿宋_GB2312" w:hAnsi="仿宋_GB2312" w:eastAsia="仿宋_GB2312"/>
          <w:b w:val="0"/>
          <w:sz w:val="32"/>
        </w:rPr>
        <w:t>其中：年初财政拨款结转和结余0.00万元，本年财政拨款收入2,686.92万元。</w:t>
      </w:r>
      <w:r>
        <w:rPr>
          <w:rFonts w:ascii="仿宋_GB2312" w:hAnsi="仿宋_GB2312" w:eastAsia="仿宋_GB2312"/>
          <w:b/>
          <w:sz w:val="32"/>
        </w:rPr>
        <w:t>财政拨款支出总计2,686.92万元，</w:t>
      </w:r>
      <w:r>
        <w:rPr>
          <w:rFonts w:ascii="仿宋_GB2312" w:hAnsi="仿宋_GB2312" w:eastAsia="仿宋_GB2312"/>
          <w:b w:val="0"/>
          <w:sz w:val="32"/>
        </w:rPr>
        <w:t>其中：年末财政拨款结转和结余0.00万元，本年财政拨款支出2,686.92万元。</w:t>
      </w:r>
    </w:p>
    <w:p w14:paraId="337B1E3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减少556.31万元，下降17.15%，主要原因是：本年中央转移支付经费减少一个项目、专项项目经费减少。</w:t>
      </w:r>
      <w:r>
        <w:rPr>
          <w:rFonts w:ascii="仿宋_GB2312" w:hAnsi="仿宋_GB2312" w:eastAsia="仿宋_GB2312"/>
          <w:b/>
          <w:sz w:val="32"/>
        </w:rPr>
        <w:t>与年初预算相比，</w:t>
      </w:r>
      <w:r>
        <w:rPr>
          <w:rFonts w:ascii="仿宋_GB2312" w:hAnsi="仿宋_GB2312" w:eastAsia="仿宋_GB2312"/>
          <w:b w:val="0"/>
          <w:sz w:val="32"/>
        </w:rPr>
        <w:t>年初预算数2,792.16万元，决算数2,686.92万元，预决算差异率-3.77%，主要原因是：本年中央转移支付经费减少一个项目、专项项目经费减少，年中调减项目经费。</w:t>
      </w:r>
    </w:p>
    <w:p w14:paraId="31C7E4F5">
      <w:pPr>
        <w:spacing w:line="640" w:lineRule="exact"/>
        <w:ind w:firstLine="640"/>
        <w:jc w:val="both"/>
        <w:outlineLvl w:val="2"/>
      </w:pPr>
      <w:r>
        <w:rPr>
          <w:rFonts w:ascii="黑体" w:hAnsi="黑体" w:eastAsia="黑体"/>
          <w:sz w:val="32"/>
        </w:rPr>
        <w:t>五、一般公共预算财政拨款支出决算情况说明</w:t>
      </w:r>
    </w:p>
    <w:p w14:paraId="40EE98B8">
      <w:pPr>
        <w:spacing w:line="640" w:lineRule="exact"/>
        <w:ind w:firstLine="640"/>
        <w:jc w:val="both"/>
        <w:outlineLvl w:val="3"/>
      </w:pPr>
      <w:r>
        <w:rPr>
          <w:rFonts w:ascii="楷体_GB2312" w:hAnsi="楷体_GB2312" w:eastAsia="楷体_GB2312"/>
          <w:b/>
          <w:sz w:val="32"/>
        </w:rPr>
        <w:t>（一）一般公共预算财政拨款支出决算总体情况</w:t>
      </w:r>
    </w:p>
    <w:p w14:paraId="37B68E9C">
      <w:pPr>
        <w:spacing w:line="580" w:lineRule="exact"/>
        <w:ind w:firstLine="640"/>
        <w:jc w:val="both"/>
      </w:pPr>
      <w:r>
        <w:rPr>
          <w:rFonts w:ascii="仿宋_GB2312" w:hAnsi="仿宋_GB2312" w:eastAsia="仿宋_GB2312"/>
          <w:b/>
          <w:sz w:val="32"/>
        </w:rPr>
        <w:t>2024年度一般公共预算财政拨款支出2,686.92万元，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减少556.31万元，下降17.15%，主要原因是：本年中央转移支付经费减少一个项目、专项项目经费减少。</w:t>
      </w:r>
      <w:r>
        <w:rPr>
          <w:rFonts w:ascii="仿宋_GB2312" w:hAnsi="仿宋_GB2312" w:eastAsia="仿宋_GB2312"/>
          <w:b/>
          <w:sz w:val="32"/>
        </w:rPr>
        <w:t>与年初预算相比,</w:t>
      </w:r>
      <w:r>
        <w:rPr>
          <w:rFonts w:ascii="仿宋_GB2312" w:hAnsi="仿宋_GB2312" w:eastAsia="仿宋_GB2312"/>
          <w:b w:val="0"/>
          <w:sz w:val="32"/>
        </w:rPr>
        <w:t>年初预算数2,792.16万元，决算数2,686.92万元，预决算差异率-3.77%，主要原因是：本年政法专班经费减少，年中调减此经费。</w:t>
      </w:r>
    </w:p>
    <w:p w14:paraId="424F54CE">
      <w:pPr>
        <w:spacing w:line="640" w:lineRule="exact"/>
        <w:ind w:firstLine="640"/>
        <w:jc w:val="both"/>
        <w:outlineLvl w:val="3"/>
      </w:pPr>
      <w:r>
        <w:rPr>
          <w:rFonts w:ascii="楷体_GB2312" w:hAnsi="楷体_GB2312" w:eastAsia="楷体_GB2312"/>
          <w:b/>
          <w:sz w:val="32"/>
        </w:rPr>
        <w:t>（二）一般公共预算财政拨款支出决算结构情况</w:t>
      </w:r>
    </w:p>
    <w:p w14:paraId="0CFD0619">
      <w:pPr>
        <w:spacing w:line="580" w:lineRule="exact"/>
        <w:ind w:firstLine="640"/>
        <w:jc w:val="both"/>
      </w:pPr>
      <w:r>
        <w:rPr>
          <w:rFonts w:ascii="仿宋_GB2312" w:hAnsi="仿宋_GB2312" w:eastAsia="仿宋_GB2312"/>
          <w:b w:val="0"/>
          <w:sz w:val="32"/>
        </w:rPr>
        <w:t>1.一般公共服务支出(类)4.39万元,占0.16%。</w:t>
      </w:r>
    </w:p>
    <w:p w14:paraId="4CE792BC">
      <w:pPr>
        <w:spacing w:line="580" w:lineRule="exact"/>
        <w:ind w:firstLine="640"/>
        <w:jc w:val="both"/>
      </w:pPr>
      <w:r>
        <w:rPr>
          <w:rFonts w:ascii="仿宋_GB2312" w:hAnsi="仿宋_GB2312" w:eastAsia="仿宋_GB2312"/>
          <w:b w:val="0"/>
          <w:sz w:val="32"/>
        </w:rPr>
        <w:t>2.公共安全支出(类)2,214.04万元,占82.40%。</w:t>
      </w:r>
    </w:p>
    <w:p w14:paraId="6DDF7323">
      <w:pPr>
        <w:spacing w:line="580" w:lineRule="exact"/>
        <w:ind w:firstLine="640"/>
        <w:jc w:val="both"/>
      </w:pPr>
      <w:r>
        <w:rPr>
          <w:rFonts w:ascii="仿宋_GB2312" w:hAnsi="仿宋_GB2312" w:eastAsia="仿宋_GB2312"/>
          <w:b w:val="0"/>
          <w:sz w:val="32"/>
        </w:rPr>
        <w:t>3.社会保障和就业支出(类)279.13万元,占10.39%。</w:t>
      </w:r>
    </w:p>
    <w:p w14:paraId="229B6F93">
      <w:pPr>
        <w:spacing w:line="580" w:lineRule="exact"/>
        <w:ind w:firstLine="640"/>
        <w:jc w:val="both"/>
      </w:pPr>
      <w:r>
        <w:rPr>
          <w:rFonts w:ascii="仿宋_GB2312" w:hAnsi="仿宋_GB2312" w:eastAsia="仿宋_GB2312"/>
          <w:b w:val="0"/>
          <w:sz w:val="32"/>
        </w:rPr>
        <w:t>4.卫生健康支出(类)75.10万元,占2.80%。</w:t>
      </w:r>
    </w:p>
    <w:p w14:paraId="7D83030D">
      <w:pPr>
        <w:spacing w:line="580" w:lineRule="exact"/>
        <w:ind w:firstLine="640"/>
        <w:jc w:val="both"/>
      </w:pPr>
      <w:r>
        <w:rPr>
          <w:rFonts w:ascii="仿宋_GB2312" w:hAnsi="仿宋_GB2312" w:eastAsia="仿宋_GB2312"/>
          <w:b w:val="0"/>
          <w:sz w:val="32"/>
        </w:rPr>
        <w:t>5.住房保障支出(类)114.26万元,占4.25%。</w:t>
      </w:r>
    </w:p>
    <w:p w14:paraId="323482B3">
      <w:pPr>
        <w:spacing w:line="640" w:lineRule="exact"/>
        <w:ind w:firstLine="640"/>
        <w:jc w:val="both"/>
        <w:outlineLvl w:val="3"/>
      </w:pPr>
      <w:r>
        <w:rPr>
          <w:rFonts w:ascii="楷体_GB2312" w:hAnsi="楷体_GB2312" w:eastAsia="楷体_GB2312"/>
          <w:b/>
          <w:sz w:val="32"/>
        </w:rPr>
        <w:t>（三）一般公共预算财政拨款支出决算具体情况</w:t>
      </w:r>
    </w:p>
    <w:p w14:paraId="5055B814">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3.41万元，增长347.96%,主要原因是：本年科目调整，宗教事务项目经费上年在行政运行科目列支，本年在此科目列支，导致经费较上年增加。</w:t>
      </w:r>
    </w:p>
    <w:p w14:paraId="73DCB84F">
      <w:pPr>
        <w:spacing w:line="580" w:lineRule="exact"/>
        <w:ind w:firstLine="640"/>
        <w:jc w:val="both"/>
      </w:pPr>
      <w:r>
        <w:rPr>
          <w:rFonts w:ascii="仿宋_GB2312" w:hAnsi="仿宋_GB2312" w:eastAsia="仿宋_GB2312"/>
          <w:b w:val="0"/>
          <w:sz w:val="32"/>
        </w:rPr>
        <w:t>2.公共安全支出(类)司法(款)行政运行(项):支出决算数为1,248.38万元，比上年决算增加52.70万元，增长4.41%,主要原因是：（1）本年新增在职人员，在职人员工资调增，导致相关人员经费较上年有所增加。（2）本年因搬迁至新业务用房，采暖费增加。</w:t>
      </w:r>
    </w:p>
    <w:p w14:paraId="6F4E5848">
      <w:pPr>
        <w:spacing w:line="580" w:lineRule="exact"/>
        <w:ind w:firstLine="640"/>
        <w:jc w:val="both"/>
      </w:pPr>
      <w:r>
        <w:rPr>
          <w:rFonts w:ascii="仿宋_GB2312" w:hAnsi="仿宋_GB2312" w:eastAsia="仿宋_GB2312"/>
          <w:b w:val="0"/>
          <w:sz w:val="32"/>
        </w:rPr>
        <w:t>3.公共安全支出(类)司法(款)一般行政管理事务(项):支出决算数为319.19万元，比上年决算增加273.18万元，增长593.74%,主要原因是：本年增加专项工作经费。</w:t>
      </w:r>
    </w:p>
    <w:p w14:paraId="639C35DB">
      <w:pPr>
        <w:spacing w:line="580" w:lineRule="exact"/>
        <w:ind w:firstLine="640"/>
        <w:jc w:val="both"/>
      </w:pPr>
      <w:r>
        <w:rPr>
          <w:rFonts w:ascii="仿宋_GB2312" w:hAnsi="仿宋_GB2312" w:eastAsia="仿宋_GB2312"/>
          <w:b w:val="0"/>
          <w:sz w:val="32"/>
        </w:rPr>
        <w:t>4.公共安全支出(类)司法(款)其他司法支出(项):支出决算数为646.47万元，比上年决算减少837.48万元，下降56.44%,主要原因是：本年中央转移支付经费减少一个项目、专项项目经费减少。</w:t>
      </w:r>
    </w:p>
    <w:p w14:paraId="092BF748">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84.43万元，比上年决算增加22.95万元，增长37.33%,主要原因是：本年增加退休人员基础绩效奖，退休人员增加，退休费支出增加。</w:t>
      </w:r>
    </w:p>
    <w:p w14:paraId="7D25796F">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142.29万元，比上年决算增加6.93万元，增长5.12%,主要原因是：本年在职人员增加，在职人员工资基数调增，养老缴费基数上涨，相应支出增加。</w:t>
      </w:r>
    </w:p>
    <w:p w14:paraId="3E0E96FF">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30.27万元，比上年决算减少61.99万元，下降67.19%,主要原因是：本年新增退休人员、辞职人员、调出外县人员较上年减少，职业年金缴费较上年减少。</w:t>
      </w:r>
    </w:p>
    <w:p w14:paraId="5A719D49">
      <w:pPr>
        <w:spacing w:line="580" w:lineRule="exact"/>
        <w:ind w:firstLine="640"/>
        <w:jc w:val="both"/>
      </w:pPr>
      <w:r>
        <w:rPr>
          <w:rFonts w:ascii="仿宋_GB2312" w:hAnsi="仿宋_GB2312" w:eastAsia="仿宋_GB2312"/>
          <w:b w:val="0"/>
          <w:sz w:val="32"/>
        </w:rPr>
        <w:t>8.社会保障和就业支出(类)抚恤(款)死亡抚恤(项):支出决算数为22.13万元，比上年决算减少18.09万元，下降44.98%,主要原因是：本年新增死亡人员较上年减少，死亡抚恤支出较上年减少。</w:t>
      </w:r>
    </w:p>
    <w:p w14:paraId="2917E941">
      <w:pPr>
        <w:spacing w:line="580" w:lineRule="exact"/>
        <w:ind w:firstLine="640"/>
        <w:jc w:val="both"/>
      </w:pPr>
      <w:r>
        <w:rPr>
          <w:rFonts w:ascii="仿宋_GB2312" w:hAnsi="仿宋_GB2312" w:eastAsia="仿宋_GB2312"/>
          <w:b w:val="0"/>
          <w:sz w:val="32"/>
        </w:rPr>
        <w:t>9.卫生健康支出(类)行政事业单位医疗(款)行政单位医疗(项):支出决算数为60.47万元，比上年决算增加0.63万元，增长1.05%,主要原因是：本年在职人员增加，在职人员工资基数调增，医疗缴费基数上涨，相应支出增加。</w:t>
      </w:r>
    </w:p>
    <w:p w14:paraId="248D5462">
      <w:pPr>
        <w:spacing w:line="580" w:lineRule="exact"/>
        <w:ind w:firstLine="640"/>
        <w:jc w:val="both"/>
      </w:pPr>
      <w:r>
        <w:rPr>
          <w:rFonts w:ascii="仿宋_GB2312" w:hAnsi="仿宋_GB2312" w:eastAsia="仿宋_GB2312"/>
          <w:b w:val="0"/>
          <w:sz w:val="32"/>
        </w:rPr>
        <w:t>10.卫生健康支出(类)行政事业单位医疗(款)公务员医疗补助(项):支出决算数为14.63万元，比上年决算减少0.56万元，下降3.69%,主要原因是：本年在职人员调入调出，人员职级不同，缴费基数不同，导致公务员医疗补助较上年减少。</w:t>
      </w:r>
    </w:p>
    <w:p w14:paraId="6A0D68C5">
      <w:pPr>
        <w:spacing w:line="580" w:lineRule="exact"/>
        <w:ind w:firstLine="640"/>
        <w:jc w:val="both"/>
      </w:pPr>
      <w:r>
        <w:rPr>
          <w:rFonts w:ascii="仿宋_GB2312" w:hAnsi="仿宋_GB2312" w:eastAsia="仿宋_GB2312"/>
          <w:b w:val="0"/>
          <w:sz w:val="32"/>
        </w:rPr>
        <w:t>11.住房保障支出(类)住房改革支出(款)住房公积金(项):支出决算数为114.26万元，比上年决算增加3.08万元，增长2.77%,主要原因是：本年在职人员增加，在职人员工资基数调增，公积金缴费基数上涨，相应支出增加。</w:t>
      </w:r>
    </w:p>
    <w:p w14:paraId="42744B81">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12.其他支出(类)其他支出(款)其他支出(项):支出决算数为0.00万元，比上年决算减少1.08万元，下降100.00%,主要原因是：</w:t>
      </w:r>
      <w:r>
        <w:rPr>
          <w:rFonts w:hint="eastAsia" w:ascii="仿宋_GB2312" w:hAnsi="仿宋_GB2312" w:eastAsia="仿宋_GB2312"/>
          <w:b w:val="0"/>
          <w:sz w:val="32"/>
        </w:rPr>
        <w:t>本年科目调整，专项项目经费上年在其他支出科目列支，本年调整至</w:t>
      </w:r>
      <w:r>
        <w:rPr>
          <w:rFonts w:hint="eastAsia" w:ascii="仿宋_GB2312" w:hAnsi="仿宋_GB2312" w:eastAsia="仿宋_GB2312"/>
          <w:b w:val="0"/>
          <w:sz w:val="32"/>
          <w:lang w:val="en-US" w:eastAsia="zh-CN"/>
        </w:rPr>
        <w:t>主</w:t>
      </w:r>
      <w:r>
        <w:rPr>
          <w:rFonts w:hint="eastAsia" w:ascii="仿宋_GB2312" w:hAnsi="仿宋_GB2312" w:eastAsia="仿宋_GB2312"/>
          <w:b w:val="0"/>
          <w:sz w:val="32"/>
        </w:rPr>
        <w:t>科目列支，导致相关经费减少</w:t>
      </w:r>
    </w:p>
    <w:p w14:paraId="28A240E9">
      <w:pPr>
        <w:spacing w:line="640" w:lineRule="exact"/>
        <w:ind w:firstLine="640"/>
        <w:jc w:val="both"/>
        <w:outlineLvl w:val="2"/>
      </w:pPr>
      <w:r>
        <w:rPr>
          <w:rFonts w:ascii="黑体" w:hAnsi="黑体" w:eastAsia="黑体"/>
          <w:sz w:val="32"/>
        </w:rPr>
        <w:t>六、一般公共预算财政拨款基本支出决算情况说明</w:t>
      </w:r>
    </w:p>
    <w:p w14:paraId="692F6A88">
      <w:pPr>
        <w:spacing w:line="580" w:lineRule="exact"/>
        <w:ind w:firstLine="640"/>
        <w:jc w:val="both"/>
      </w:pPr>
      <w:r>
        <w:rPr>
          <w:rFonts w:ascii="仿宋_GB2312" w:hAnsi="仿宋_GB2312" w:eastAsia="仿宋_GB2312"/>
          <w:b w:val="0"/>
          <w:sz w:val="32"/>
        </w:rPr>
        <w:t>2024年度一般公共预算财政拨款基本支出1,721.25万元，其中：</w:t>
      </w:r>
      <w:r>
        <w:rPr>
          <w:rFonts w:ascii="仿宋_GB2312" w:hAnsi="仿宋_GB2312" w:eastAsia="仿宋_GB2312"/>
          <w:b/>
          <w:sz w:val="32"/>
        </w:rPr>
        <w:t>人员经费1,607.99万元，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其他对个人和家庭的补助。</w:t>
      </w:r>
    </w:p>
    <w:p w14:paraId="77026572">
      <w:pPr>
        <w:spacing w:line="580" w:lineRule="exact"/>
        <w:ind w:firstLine="640"/>
        <w:jc w:val="both"/>
      </w:pPr>
      <w:r>
        <w:rPr>
          <w:rFonts w:ascii="仿宋_GB2312" w:hAnsi="仿宋_GB2312" w:eastAsia="仿宋_GB2312"/>
          <w:b/>
          <w:sz w:val="32"/>
        </w:rPr>
        <w:t>公用经费113.26万元，</w:t>
      </w:r>
      <w:r>
        <w:rPr>
          <w:rFonts w:ascii="仿宋_GB2312" w:hAnsi="仿宋_GB2312" w:eastAsia="仿宋_GB2312"/>
          <w:b w:val="0"/>
          <w:sz w:val="32"/>
        </w:rPr>
        <w:t>包括：办公费、水费、电费、邮电费、取暖费、差旅费、专用材料费、工会经费、公务用车运行维护费、其他交通费用、其他商品和服务支出。</w:t>
      </w:r>
    </w:p>
    <w:p w14:paraId="46351DB8">
      <w:pPr>
        <w:spacing w:line="640" w:lineRule="exact"/>
        <w:ind w:firstLine="640"/>
        <w:jc w:val="both"/>
        <w:outlineLvl w:val="2"/>
      </w:pPr>
      <w:r>
        <w:rPr>
          <w:rFonts w:ascii="黑体" w:hAnsi="黑体" w:eastAsia="黑体"/>
          <w:sz w:val="32"/>
        </w:rPr>
        <w:t>七、政府性基金预算财政拨款收入支出决算情况说明</w:t>
      </w:r>
    </w:p>
    <w:p w14:paraId="7AAF443B">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E4358D4">
      <w:pPr>
        <w:spacing w:line="640" w:lineRule="exact"/>
        <w:ind w:firstLine="640"/>
        <w:jc w:val="both"/>
        <w:outlineLvl w:val="2"/>
      </w:pPr>
      <w:r>
        <w:rPr>
          <w:rFonts w:ascii="黑体" w:hAnsi="黑体" w:eastAsia="黑体"/>
          <w:sz w:val="32"/>
        </w:rPr>
        <w:t>八、国有资本经营预算财政拨款收入支出决算情况说明</w:t>
      </w:r>
    </w:p>
    <w:p w14:paraId="3C50240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BFD11E4">
      <w:pPr>
        <w:spacing w:line="640" w:lineRule="exact"/>
        <w:ind w:firstLine="640"/>
        <w:jc w:val="both"/>
        <w:outlineLvl w:val="2"/>
      </w:pPr>
      <w:r>
        <w:rPr>
          <w:rFonts w:ascii="黑体" w:hAnsi="黑体" w:eastAsia="黑体"/>
          <w:sz w:val="32"/>
        </w:rPr>
        <w:t>九、财政拨款“三公”经费支出决算情况说明</w:t>
      </w:r>
    </w:p>
    <w:p w14:paraId="596476A0">
      <w:pPr>
        <w:spacing w:line="580" w:lineRule="exact"/>
        <w:ind w:firstLine="640"/>
        <w:jc w:val="both"/>
      </w:pPr>
      <w:r>
        <w:rPr>
          <w:rFonts w:ascii="仿宋_GB2312" w:hAnsi="仿宋_GB2312" w:eastAsia="仿宋_GB2312"/>
          <w:b/>
          <w:sz w:val="32"/>
        </w:rPr>
        <w:t>2024年度财政拨款“三公”经费支出63.17万元，</w:t>
      </w:r>
      <w:r>
        <w:rPr>
          <w:rFonts w:ascii="仿宋_GB2312" w:hAnsi="仿宋_GB2312" w:eastAsia="仿宋_GB2312"/>
          <w:b w:val="0"/>
          <w:sz w:val="32"/>
        </w:rPr>
        <w:t>比上年增加35.57万元，增长128.88%，主要原因是：本年新购入公务用车，公务用车购置费较上年增加。其中：因公出国（境）费支出0.00万元，占0.00%，比上年增加0.00万元，增长0.00%，主要原因是：2023年与2024年均未安排因公出国（境）费支出。公务用车购置及运行维护费支出63.17万元，占100.00%，比上年增加35.57万元，增长128.88%，主要原因是：本年新购入公务用车，公务用车购置费较上年增加。公务接待费支出0.00万元，占0.00%，比上年增加0.00万元，增长0.00%，主要原因是：2023年与2024年均未安排公务接待费支出。</w:t>
      </w:r>
    </w:p>
    <w:p w14:paraId="34FA24DA">
      <w:pPr>
        <w:spacing w:line="580" w:lineRule="exact"/>
        <w:ind w:firstLine="640"/>
        <w:jc w:val="both"/>
      </w:pPr>
      <w:r>
        <w:rPr>
          <w:rFonts w:ascii="仿宋_GB2312" w:hAnsi="仿宋_GB2312" w:eastAsia="仿宋_GB2312"/>
          <w:b/>
          <w:sz w:val="32"/>
        </w:rPr>
        <w:t>具体情况如下：</w:t>
      </w:r>
    </w:p>
    <w:p w14:paraId="3A30C11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34AE9C1">
      <w:pPr>
        <w:spacing w:line="580" w:lineRule="exact"/>
        <w:ind w:firstLine="640"/>
        <w:jc w:val="both"/>
      </w:pPr>
      <w:r>
        <w:rPr>
          <w:rFonts w:ascii="仿宋_GB2312" w:hAnsi="仿宋_GB2312" w:eastAsia="仿宋_GB2312"/>
          <w:b w:val="0"/>
          <w:sz w:val="32"/>
        </w:rPr>
        <w:t>公务用车购置及运行维护费63.17万元，其中：公务用车购置费35.57万元，公务用车运行维护费27.60万元。公务用车运行维护费开支内容包括车辆燃油费、保险费、维修维护费、过路费等。公务用车购置数2辆，公务用车保有量12辆。国有资产占用情况中固定资产车辆12辆，与公务用车保有量差异原因是：本部门固定资产车辆与公务用车保有量一致无差异。</w:t>
      </w:r>
    </w:p>
    <w:p w14:paraId="3DE39BC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73D472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64.18万元，决算数63.17万元，预决算差异率-1.57%，主要原因是：严格落实中央八项规定精神，厉行节约，减少公务用车购置费，“三公”经费减少。其中：因公出国（境）费全年预算数0.00万元，决算数0.00万元，预决算差异率0.00%，主要原因是：本部门无因公出国（境）费。公务用车购置费全年预算数36.58万元，决算数35.57万元，预决算差异率-2.76%，主要原因是：严格落实中央八项规定精神，厉行节约，减少公务用车购置费。公务用车运行维护费全年预算数27.60万元，决算数27.60万元，预决算差异率0.00%，主要原因是：严格按照预算执行，预决算无差异。公务接待费全年预算数0.00万元，决算数0.00万元，预决算差异率0.00%，主要原因是：本部门无公务接待费。</w:t>
      </w:r>
    </w:p>
    <w:p w14:paraId="5103B88A">
      <w:pPr>
        <w:spacing w:line="640" w:lineRule="exact"/>
        <w:ind w:firstLine="640"/>
        <w:jc w:val="both"/>
        <w:outlineLvl w:val="2"/>
      </w:pPr>
      <w:r>
        <w:rPr>
          <w:rFonts w:ascii="黑体" w:hAnsi="黑体" w:eastAsia="黑体"/>
          <w:sz w:val="32"/>
        </w:rPr>
        <w:t>十、其他重要事项的情况说明</w:t>
      </w:r>
    </w:p>
    <w:p w14:paraId="10A06181">
      <w:pPr>
        <w:spacing w:line="640" w:lineRule="exact"/>
        <w:ind w:firstLine="640"/>
        <w:jc w:val="both"/>
        <w:outlineLvl w:val="3"/>
      </w:pPr>
      <w:r>
        <w:rPr>
          <w:rFonts w:ascii="楷体_GB2312" w:hAnsi="楷体_GB2312" w:eastAsia="楷体_GB2312"/>
          <w:b/>
          <w:sz w:val="32"/>
        </w:rPr>
        <w:t>（一）机关运行经费及公用经费支出情况</w:t>
      </w:r>
    </w:p>
    <w:p w14:paraId="7FE54BDE">
      <w:pPr>
        <w:spacing w:line="580" w:lineRule="exact"/>
        <w:ind w:firstLine="640"/>
        <w:jc w:val="both"/>
      </w:pPr>
      <w:r>
        <w:rPr>
          <w:rFonts w:ascii="仿宋_GB2312" w:hAnsi="仿宋_GB2312" w:eastAsia="仿宋_GB2312"/>
          <w:b w:val="0"/>
          <w:sz w:val="32"/>
        </w:rPr>
        <w:t>2024年度新疆维吾尔自治区喀什地区司法局（行政单位和参照公务员法管理事业单位）机关运行经费支出113.26万元，比上年增加25.57万元，增长29.16%，主要原因是：（1）本年在职人员增加，办公费用增加。（2）本年因搬迁至新业务用房增加采暖经费，导致机关运行经费增加。</w:t>
      </w:r>
    </w:p>
    <w:p w14:paraId="14CAFF22">
      <w:pPr>
        <w:spacing w:line="640" w:lineRule="exact"/>
        <w:ind w:firstLine="640"/>
        <w:jc w:val="both"/>
        <w:outlineLvl w:val="3"/>
      </w:pPr>
      <w:r>
        <w:rPr>
          <w:rFonts w:ascii="楷体_GB2312" w:hAnsi="楷体_GB2312" w:eastAsia="楷体_GB2312"/>
          <w:b/>
          <w:sz w:val="32"/>
        </w:rPr>
        <w:t>（二）政府采购情况</w:t>
      </w:r>
    </w:p>
    <w:p w14:paraId="04A1A9E4">
      <w:pPr>
        <w:spacing w:line="580" w:lineRule="exact"/>
        <w:ind w:firstLine="640"/>
        <w:jc w:val="both"/>
      </w:pPr>
      <w:r>
        <w:rPr>
          <w:rFonts w:ascii="仿宋_GB2312" w:hAnsi="仿宋_GB2312" w:eastAsia="仿宋_GB2312"/>
          <w:b w:val="0"/>
          <w:sz w:val="32"/>
        </w:rPr>
        <w:t>2024年度政府采购支出总额142.46万元，其中：政府采购货物支出80.53万元、政府采购工程支出13.15万元、政府采购服务支出48.79万元。</w:t>
      </w:r>
    </w:p>
    <w:p w14:paraId="767A0E3D">
      <w:pPr>
        <w:spacing w:line="580" w:lineRule="exact"/>
        <w:ind w:firstLine="640"/>
        <w:jc w:val="both"/>
      </w:pPr>
      <w:r>
        <w:rPr>
          <w:rFonts w:ascii="仿宋_GB2312" w:hAnsi="仿宋_GB2312" w:eastAsia="仿宋_GB2312"/>
          <w:b w:val="0"/>
          <w:sz w:val="32"/>
        </w:rPr>
        <w:t>授予中小企业合同金额120.49万元，占政府采购支出总额的84.58%，其中：授予小微企业合同金额118.14万元，占政府采购支出总额的82.93%。</w:t>
      </w:r>
    </w:p>
    <w:p w14:paraId="51F1D885">
      <w:pPr>
        <w:spacing w:line="640" w:lineRule="exact"/>
        <w:ind w:firstLine="640"/>
        <w:jc w:val="both"/>
        <w:outlineLvl w:val="3"/>
      </w:pPr>
      <w:r>
        <w:rPr>
          <w:rFonts w:ascii="楷体_GB2312" w:hAnsi="楷体_GB2312" w:eastAsia="楷体_GB2312"/>
          <w:b/>
          <w:sz w:val="32"/>
        </w:rPr>
        <w:t>（三）国有资产占用情况说明</w:t>
      </w:r>
    </w:p>
    <w:p w14:paraId="3819F98F">
      <w:pPr>
        <w:spacing w:line="580" w:lineRule="exact"/>
        <w:ind w:firstLine="640"/>
        <w:jc w:val="both"/>
      </w:pPr>
      <w:r>
        <w:rPr>
          <w:rFonts w:ascii="仿宋_GB2312" w:hAnsi="仿宋_GB2312" w:eastAsia="仿宋_GB2312"/>
          <w:b w:val="0"/>
          <w:sz w:val="32"/>
        </w:rPr>
        <w:t>截至2024年12月31日，房屋1,864.07平方米，价值46.82万元。车辆12辆，价值268.08万元，其中：副部（省）级及以上领导用车0辆、主要负责人用车0辆、机要通信用车0辆、应急保障用车0辆、执法执勤用车7辆、特种专业技术用车3辆、离退休干部服务用车0辆、其他用车2辆，其他用车主要是：一般公务用车。单价100万元（含）以上设备（不含车辆）0台（套）。</w:t>
      </w:r>
    </w:p>
    <w:p w14:paraId="66894011">
      <w:pPr>
        <w:spacing w:line="640" w:lineRule="exact"/>
        <w:ind w:firstLine="640"/>
        <w:jc w:val="both"/>
        <w:outlineLvl w:val="2"/>
      </w:pPr>
      <w:r>
        <w:rPr>
          <w:rFonts w:ascii="黑体" w:hAnsi="黑体" w:eastAsia="黑体"/>
          <w:sz w:val="32"/>
        </w:rPr>
        <w:t>十一、预算绩效的情况说明</w:t>
      </w:r>
    </w:p>
    <w:p w14:paraId="611FC22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3,107.55万元，实际执行总额2,686.92万元；预算绩效评价项目15个，全年预算数1376.10万元，全年执行数965.66万元。预算绩效管理取得的成效：本部门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不予公开。发现的问题及原因：本部门绩效项目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不予公开。下一步改进措施：本部门绩效项目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209D3AB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0A9D5A0">
        <w:tc>
          <w:tcPr>
            <w:tcW w:w="8847" w:type="dxa"/>
            <w:gridSpan w:val="9"/>
            <w:vAlign w:val="center"/>
          </w:tcPr>
          <w:p w14:paraId="3D301129">
            <w:pPr>
              <w:jc w:val="center"/>
            </w:pPr>
            <w:r>
              <w:rPr>
                <w:rFonts w:ascii="宋体" w:hAnsi="宋体" w:eastAsia="宋体"/>
                <w:sz w:val="24"/>
              </w:rPr>
              <w:t>部门整体支出绩效自评表</w:t>
            </w:r>
          </w:p>
        </w:tc>
      </w:tr>
      <w:tr w14:paraId="2A02ACCD">
        <w:tblPrEx>
          <w:tblCellMar>
            <w:top w:w="0" w:type="dxa"/>
            <w:left w:w="108" w:type="dxa"/>
            <w:bottom w:w="0" w:type="dxa"/>
            <w:right w:w="108" w:type="dxa"/>
          </w:tblCellMar>
        </w:tblPrEx>
        <w:tc>
          <w:tcPr>
            <w:tcW w:w="8847" w:type="dxa"/>
            <w:gridSpan w:val="9"/>
            <w:vAlign w:val="center"/>
          </w:tcPr>
          <w:p w14:paraId="441C5C44">
            <w:pPr>
              <w:jc w:val="center"/>
            </w:pPr>
            <w:r>
              <w:rPr>
                <w:rFonts w:ascii="宋体" w:hAnsi="宋体" w:eastAsia="宋体"/>
                <w:sz w:val="24"/>
              </w:rPr>
              <w:t>（2024年度）</w:t>
            </w:r>
          </w:p>
        </w:tc>
      </w:tr>
      <w:tr w14:paraId="2982DC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1C65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1E13770">
            <w:pPr>
              <w:jc w:val="center"/>
            </w:pPr>
            <w:r>
              <w:rPr>
                <w:rFonts w:ascii="宋体" w:hAnsi="宋体" w:eastAsia="宋体"/>
                <w:sz w:val="16"/>
              </w:rPr>
              <w:t>新疆维吾尔自治区喀什地区司法局</w:t>
            </w:r>
          </w:p>
        </w:tc>
      </w:tr>
      <w:tr w14:paraId="3B16A1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758E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15B8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5C8C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BDB3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CDCD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512E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DEA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99288">
            <w:pPr>
              <w:jc w:val="center"/>
            </w:pPr>
            <w:r>
              <w:rPr>
                <w:rFonts w:ascii="宋体" w:hAnsi="宋体" w:eastAsia="宋体"/>
                <w:sz w:val="16"/>
              </w:rPr>
              <w:t>得分</w:t>
            </w:r>
          </w:p>
        </w:tc>
      </w:tr>
      <w:tr w14:paraId="20224D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A94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56B3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2DC01">
            <w:pPr>
              <w:jc w:val="center"/>
            </w:pPr>
            <w:r>
              <w:rPr>
                <w:rFonts w:ascii="宋体" w:hAnsi="宋体" w:eastAsia="宋体"/>
                <w:sz w:val="16"/>
              </w:rPr>
              <w:t>2,792.16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52D0B">
            <w:pPr>
              <w:jc w:val="center"/>
            </w:pPr>
            <w:r>
              <w:rPr>
                <w:rFonts w:ascii="宋体" w:hAnsi="宋体" w:eastAsia="宋体"/>
                <w:sz w:val="16"/>
              </w:rPr>
              <w:t>3,107.55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38DD7">
            <w:pPr>
              <w:jc w:val="center"/>
            </w:pPr>
            <w:r>
              <w:rPr>
                <w:rFonts w:ascii="宋体" w:hAnsi="宋体" w:eastAsia="宋体"/>
                <w:sz w:val="16"/>
              </w:rPr>
              <w:t>2,686.92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0B3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0AD45">
            <w:pPr>
              <w:jc w:val="center"/>
            </w:pPr>
            <w:r>
              <w:rPr>
                <w:rFonts w:ascii="宋体" w:hAnsi="宋体" w:eastAsia="宋体"/>
                <w:sz w:val="16"/>
              </w:rPr>
              <w:t>86.46%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ABC4B">
            <w:pPr>
              <w:jc w:val="center"/>
            </w:pPr>
            <w:r>
              <w:rPr>
                <w:rFonts w:ascii="宋体" w:hAnsi="宋体" w:eastAsia="宋体"/>
                <w:sz w:val="16"/>
              </w:rPr>
              <w:t>8.65</w:t>
            </w:r>
          </w:p>
        </w:tc>
      </w:tr>
      <w:tr w14:paraId="388694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3E7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3EB7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40825">
            <w:pPr>
              <w:jc w:val="center"/>
            </w:pPr>
            <w:r>
              <w:rPr>
                <w:rFonts w:ascii="宋体" w:hAnsi="宋体" w:eastAsia="宋体"/>
                <w:sz w:val="16"/>
              </w:rPr>
              <w:t>688.28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FA592">
            <w:pPr>
              <w:jc w:val="center"/>
            </w:pPr>
            <w:r>
              <w:rPr>
                <w:rFonts w:ascii="宋体" w:hAnsi="宋体" w:eastAsia="宋体"/>
                <w:sz w:val="16"/>
              </w:rPr>
              <w:t>957.83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1B6DF">
            <w:pPr>
              <w:jc w:val="center"/>
            </w:pPr>
            <w:r>
              <w:rPr>
                <w:rFonts w:ascii="宋体" w:hAnsi="宋体" w:eastAsia="宋体"/>
                <w:sz w:val="16"/>
              </w:rPr>
              <w:t>734.10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D32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E57D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EE590">
            <w:pPr>
              <w:jc w:val="center"/>
            </w:pPr>
            <w:r>
              <w:rPr>
                <w:rFonts w:ascii="宋体" w:hAnsi="宋体" w:eastAsia="宋体"/>
                <w:sz w:val="16"/>
              </w:rPr>
              <w:t>—</w:t>
            </w:r>
          </w:p>
        </w:tc>
      </w:tr>
      <w:tr w14:paraId="5DD3BF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89C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C63A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A4E2E">
            <w:pPr>
              <w:jc w:val="center"/>
            </w:pPr>
            <w:r>
              <w:rPr>
                <w:rFonts w:ascii="宋体" w:hAnsi="宋体" w:eastAsia="宋体"/>
                <w:sz w:val="16"/>
              </w:rPr>
              <w:t>2,103.88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0DBBB">
            <w:pPr>
              <w:jc w:val="center"/>
            </w:pPr>
            <w:r>
              <w:rPr>
                <w:rFonts w:ascii="宋体" w:hAnsi="宋体" w:eastAsia="宋体"/>
                <w:sz w:val="16"/>
              </w:rPr>
              <w:t>2,149.72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2C648">
            <w:pPr>
              <w:jc w:val="center"/>
            </w:pPr>
            <w:r>
              <w:rPr>
                <w:rFonts w:ascii="宋体" w:hAnsi="宋体" w:eastAsia="宋体"/>
                <w:sz w:val="16"/>
              </w:rPr>
              <w:t>1,952.82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CA6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42C2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E9F4">
            <w:pPr>
              <w:jc w:val="center"/>
            </w:pPr>
            <w:r>
              <w:rPr>
                <w:rFonts w:ascii="宋体" w:hAnsi="宋体" w:eastAsia="宋体"/>
                <w:sz w:val="16"/>
              </w:rPr>
              <w:t>—</w:t>
            </w:r>
          </w:p>
        </w:tc>
      </w:tr>
      <w:tr w14:paraId="7C86D7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9D6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D7A3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4DA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0C5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959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72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F0A9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16135">
            <w:pPr>
              <w:jc w:val="center"/>
            </w:pPr>
            <w:r>
              <w:rPr>
                <w:rFonts w:ascii="宋体" w:hAnsi="宋体" w:eastAsia="宋体"/>
                <w:sz w:val="16"/>
              </w:rPr>
              <w:t>—</w:t>
            </w:r>
          </w:p>
        </w:tc>
      </w:tr>
      <w:tr w14:paraId="3C7EC3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3AA9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CE63A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04399B">
            <w:pPr>
              <w:jc w:val="center"/>
            </w:pPr>
            <w:r>
              <w:rPr>
                <w:rFonts w:ascii="宋体" w:hAnsi="宋体" w:eastAsia="宋体"/>
                <w:sz w:val="16"/>
              </w:rPr>
              <w:t>实际完成情况</w:t>
            </w:r>
          </w:p>
        </w:tc>
      </w:tr>
      <w:tr w14:paraId="5665E3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BF02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0D5303">
            <w:pPr>
              <w:jc w:val="both"/>
            </w:pPr>
            <w:r>
              <w:rPr>
                <w:rFonts w:ascii="宋体" w:hAnsi="宋体" w:eastAsia="宋体"/>
                <w:sz w:val="16"/>
              </w:rPr>
              <w:t>喀什地区司法局在司法厅具体业务指导下，确保喀什地区司法局法律援助、人民调解、法律职业资格考试、各县市专项工作及普法宣传等日常重点工作全面落实。切实提高喀什地区司法行政业务水平，不断增强人民群众的法律意识，持续为喀什地区</w:t>
            </w:r>
            <w:r>
              <w:rPr>
                <w:rFonts w:hint="eastAsia" w:ascii="宋体" w:hAnsi="宋体"/>
                <w:sz w:val="16"/>
                <w:lang w:eastAsia="zh-CN"/>
              </w:rPr>
              <w:t>社会</w:t>
            </w:r>
            <w:r>
              <w:rPr>
                <w:rFonts w:ascii="宋体" w:hAnsi="宋体" w:eastAsia="宋体"/>
                <w:sz w:val="16"/>
              </w:rPr>
              <w:t>长治久安提供法治保障。全面开展“八五”普法，不断提高各族群众的法律意识，增强全社会法治观念；推动法治政府建设，全面依法履行职责，提升依法执政、依法行政能力水平，打造更加透明公正高效的服务型政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73F1B4">
            <w:pPr>
              <w:jc w:val="both"/>
            </w:pPr>
            <w:r>
              <w:rPr>
                <w:rFonts w:ascii="宋体" w:hAnsi="宋体" w:eastAsia="宋体"/>
                <w:sz w:val="16"/>
              </w:rPr>
              <w:t>喀什地区司法局2024年强化党的全面领导，扎实推进</w:t>
            </w:r>
            <w:r>
              <w:rPr>
                <w:rFonts w:hint="eastAsia" w:ascii="宋体" w:hAnsi="宋体"/>
                <w:sz w:val="16"/>
                <w:lang w:eastAsia="zh-CN"/>
              </w:rPr>
              <w:t>全面从严治党</w:t>
            </w:r>
            <w:r>
              <w:rPr>
                <w:rFonts w:ascii="宋体" w:hAnsi="宋体" w:eastAsia="宋体"/>
                <w:sz w:val="16"/>
              </w:rPr>
              <w:t>向纵深发展；深入推进法治建设，提升治理能力和治理水平；全面加强法治政府建设，强化依法执政、依法行政；坚持和发展新时代“枫桥经验”，有效调处矛盾纠纷；提升公共法律服务质量，助推经济社会发展。人民调解事项完成率为100%,法律援助事项完成率为100%,法律职业资格考试完成率为100%,各县市专项工作完成率为100%,普法宣传事项完成率为100%,提高了公共法律服务水平，促进了地区长治久安。</w:t>
            </w:r>
          </w:p>
        </w:tc>
      </w:tr>
      <w:tr w14:paraId="53272D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7F3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0CF9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C9F6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CA3C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ECC6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5B07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A19B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ABD9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71429">
            <w:pPr>
              <w:jc w:val="center"/>
            </w:pPr>
            <w:r>
              <w:rPr>
                <w:rFonts w:ascii="宋体" w:hAnsi="宋体" w:eastAsia="宋体"/>
                <w:sz w:val="16"/>
              </w:rPr>
              <w:t>得分</w:t>
            </w:r>
          </w:p>
        </w:tc>
      </w:tr>
      <w:tr w14:paraId="1EAB45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AEC4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77C0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988F1">
            <w:pPr>
              <w:jc w:val="center"/>
            </w:pPr>
            <w:r>
              <w:rPr>
                <w:rFonts w:ascii="宋体" w:hAnsi="宋体" w:eastAsia="宋体"/>
                <w:sz w:val="16"/>
              </w:rPr>
              <w:t>人民调解事项完成率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4EA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406CE">
            <w:pPr>
              <w:jc w:val="center"/>
            </w:pPr>
            <w:r>
              <w:rPr>
                <w:rFonts w:ascii="宋体" w:hAnsi="宋体" w:eastAsia="宋体"/>
                <w:sz w:val="16"/>
              </w:rPr>
              <w:t>喀什地区司法局2024年工作计划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2175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8CC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880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FA510">
            <w:pPr>
              <w:jc w:val="center"/>
            </w:pPr>
            <w:r>
              <w:rPr>
                <w:rFonts w:ascii="宋体" w:hAnsi="宋体" w:eastAsia="宋体"/>
                <w:sz w:val="16"/>
              </w:rPr>
              <w:t>18</w:t>
            </w:r>
          </w:p>
        </w:tc>
      </w:tr>
      <w:tr w14:paraId="414D3F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F44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959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7BC82">
            <w:pPr>
              <w:jc w:val="center"/>
            </w:pPr>
            <w:r>
              <w:rPr>
                <w:rFonts w:ascii="宋体" w:hAnsi="宋体" w:eastAsia="宋体"/>
                <w:sz w:val="16"/>
              </w:rPr>
              <w:t>法律援助事项完成率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8E7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3BF94">
            <w:pPr>
              <w:jc w:val="center"/>
            </w:pPr>
            <w:r>
              <w:rPr>
                <w:rFonts w:ascii="宋体" w:hAnsi="宋体" w:eastAsia="宋体"/>
                <w:sz w:val="16"/>
              </w:rPr>
              <w:t>喀什地区司法局2024年工作计划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D43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D78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EA7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CA14E">
            <w:pPr>
              <w:jc w:val="center"/>
            </w:pPr>
            <w:r>
              <w:rPr>
                <w:rFonts w:ascii="宋体" w:hAnsi="宋体" w:eastAsia="宋体"/>
                <w:sz w:val="16"/>
              </w:rPr>
              <w:t>18</w:t>
            </w:r>
          </w:p>
        </w:tc>
      </w:tr>
      <w:tr w14:paraId="24075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635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E98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4F481">
            <w:pPr>
              <w:jc w:val="center"/>
            </w:pPr>
            <w:r>
              <w:rPr>
                <w:rFonts w:ascii="宋体" w:hAnsi="宋体" w:eastAsia="宋体"/>
                <w:sz w:val="16"/>
              </w:rPr>
              <w:t>法律职业资格考试事项完成率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3C9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AF889">
            <w:pPr>
              <w:jc w:val="center"/>
            </w:pPr>
            <w:r>
              <w:rPr>
                <w:rFonts w:ascii="宋体" w:hAnsi="宋体" w:eastAsia="宋体"/>
                <w:sz w:val="16"/>
              </w:rPr>
              <w:t>喀什地区司法局2024年工作计划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8E7D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692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A67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EC2AA">
            <w:pPr>
              <w:jc w:val="center"/>
            </w:pPr>
            <w:r>
              <w:rPr>
                <w:rFonts w:ascii="宋体" w:hAnsi="宋体" w:eastAsia="宋体"/>
                <w:sz w:val="16"/>
              </w:rPr>
              <w:t>18</w:t>
            </w:r>
          </w:p>
        </w:tc>
      </w:tr>
      <w:tr w14:paraId="351C83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4259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5EE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0A28D">
            <w:pPr>
              <w:jc w:val="center"/>
            </w:pPr>
            <w:r>
              <w:rPr>
                <w:rFonts w:ascii="宋体" w:hAnsi="宋体" w:eastAsia="宋体"/>
                <w:sz w:val="16"/>
              </w:rPr>
              <w:t>各县市专项工作完成率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8AE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29196">
            <w:pPr>
              <w:jc w:val="center"/>
            </w:pPr>
            <w:r>
              <w:rPr>
                <w:rFonts w:ascii="宋体" w:hAnsi="宋体" w:eastAsia="宋体"/>
                <w:sz w:val="16"/>
              </w:rPr>
              <w:t>喀什地区司法局2024年工作计划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1981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395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DE2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F8A6D">
            <w:pPr>
              <w:jc w:val="center"/>
            </w:pPr>
            <w:r>
              <w:rPr>
                <w:rFonts w:ascii="宋体" w:hAnsi="宋体" w:eastAsia="宋体"/>
                <w:sz w:val="16"/>
              </w:rPr>
              <w:t>18</w:t>
            </w:r>
          </w:p>
        </w:tc>
      </w:tr>
      <w:tr w14:paraId="2F451B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F4D6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74B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E82DA">
            <w:pPr>
              <w:jc w:val="center"/>
            </w:pPr>
            <w:r>
              <w:rPr>
                <w:rFonts w:ascii="宋体" w:hAnsi="宋体" w:eastAsia="宋体"/>
                <w:sz w:val="16"/>
              </w:rPr>
              <w:t>普法宣传事项完成率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F68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37AB3">
            <w:pPr>
              <w:jc w:val="center"/>
            </w:pPr>
            <w:r>
              <w:rPr>
                <w:rFonts w:ascii="宋体" w:hAnsi="宋体" w:eastAsia="宋体"/>
                <w:sz w:val="16"/>
              </w:rPr>
              <w:t>喀什地区司法局2024年工作计划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D9CE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1E0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7A7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6002B">
            <w:pPr>
              <w:jc w:val="center"/>
            </w:pPr>
            <w:r>
              <w:rPr>
                <w:rFonts w:ascii="宋体" w:hAnsi="宋体" w:eastAsia="宋体"/>
                <w:sz w:val="16"/>
              </w:rPr>
              <w:t>18</w:t>
            </w:r>
          </w:p>
        </w:tc>
      </w:tr>
    </w:tbl>
    <w:p w14:paraId="1C0A9B1F">
      <w:r>
        <w:br w:type="page"/>
      </w:r>
    </w:p>
    <w:p w14:paraId="1260C1E7">
      <w:pPr>
        <w:spacing w:line="640" w:lineRule="exact"/>
        <w:ind w:firstLine="640"/>
        <w:jc w:val="both"/>
        <w:outlineLvl w:val="2"/>
      </w:pPr>
      <w:r>
        <w:rPr>
          <w:rFonts w:ascii="黑体" w:hAnsi="黑体" w:eastAsia="黑体"/>
          <w:sz w:val="32"/>
        </w:rPr>
        <w:t>十二、其他需说明的事项</w:t>
      </w:r>
    </w:p>
    <w:p w14:paraId="06C0E34E">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项目15个，全年预算数1376.10万元，全年执行数965.66万元。</w:t>
      </w:r>
      <w:bookmarkStart w:id="0" w:name="_GoBack"/>
      <w:bookmarkEnd w:id="0"/>
    </w:p>
    <w:p w14:paraId="114C5B17">
      <w:r>
        <w:br w:type="page"/>
      </w:r>
    </w:p>
    <w:p w14:paraId="3626D58F">
      <w:pPr>
        <w:spacing w:line="240" w:lineRule="auto"/>
        <w:jc w:val="center"/>
        <w:outlineLvl w:val="1"/>
      </w:pPr>
      <w:r>
        <w:rPr>
          <w:rFonts w:ascii="黑体" w:hAnsi="黑体" w:eastAsia="黑体"/>
          <w:sz w:val="32"/>
        </w:rPr>
        <w:t>第三部分 专业名词解释</w:t>
      </w:r>
    </w:p>
    <w:p w14:paraId="2F4E98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1FECB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3DBD5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E3E0E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D164A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BF351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BCC51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F0AE4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2080E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568B6E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2880CF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E750A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C33BB2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18054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DB6D1E2">
      <w:r>
        <w:br w:type="page"/>
      </w:r>
    </w:p>
    <w:p w14:paraId="0293FBA3">
      <w:pPr>
        <w:spacing w:line="240" w:lineRule="auto"/>
        <w:jc w:val="center"/>
        <w:outlineLvl w:val="1"/>
      </w:pPr>
      <w:r>
        <w:rPr>
          <w:rFonts w:ascii="黑体" w:hAnsi="黑体" w:eastAsia="黑体"/>
          <w:sz w:val="32"/>
        </w:rPr>
        <w:t>第四部分 部门决算报表（见附表）</w:t>
      </w:r>
    </w:p>
    <w:p w14:paraId="3563A206">
      <w:pPr>
        <w:spacing w:line="240" w:lineRule="auto"/>
        <w:ind w:firstLine="640"/>
        <w:jc w:val="both"/>
      </w:pPr>
      <w:r>
        <w:rPr>
          <w:rFonts w:ascii="仿宋_GB2312" w:hAnsi="仿宋_GB2312" w:eastAsia="仿宋_GB2312"/>
          <w:b w:val="0"/>
          <w:sz w:val="32"/>
        </w:rPr>
        <w:t>一、《收入支出决算总表》</w:t>
      </w:r>
    </w:p>
    <w:p w14:paraId="6E708FA2">
      <w:pPr>
        <w:spacing w:line="240" w:lineRule="auto"/>
        <w:ind w:firstLine="640"/>
        <w:jc w:val="both"/>
      </w:pPr>
      <w:r>
        <w:rPr>
          <w:rFonts w:ascii="仿宋_GB2312" w:hAnsi="仿宋_GB2312" w:eastAsia="仿宋_GB2312"/>
          <w:b w:val="0"/>
          <w:sz w:val="32"/>
        </w:rPr>
        <w:t>二、《收入决算表》</w:t>
      </w:r>
    </w:p>
    <w:p w14:paraId="3C0CBE41">
      <w:pPr>
        <w:spacing w:line="240" w:lineRule="auto"/>
        <w:ind w:firstLine="640"/>
        <w:jc w:val="both"/>
      </w:pPr>
      <w:r>
        <w:rPr>
          <w:rFonts w:ascii="仿宋_GB2312" w:hAnsi="仿宋_GB2312" w:eastAsia="仿宋_GB2312"/>
          <w:b w:val="0"/>
          <w:sz w:val="32"/>
        </w:rPr>
        <w:t>三、《支出决算表》</w:t>
      </w:r>
    </w:p>
    <w:p w14:paraId="07AF4991">
      <w:pPr>
        <w:spacing w:line="240" w:lineRule="auto"/>
        <w:ind w:firstLine="640"/>
        <w:jc w:val="both"/>
      </w:pPr>
      <w:r>
        <w:rPr>
          <w:rFonts w:ascii="仿宋_GB2312" w:hAnsi="仿宋_GB2312" w:eastAsia="仿宋_GB2312"/>
          <w:b w:val="0"/>
          <w:sz w:val="32"/>
        </w:rPr>
        <w:t>四、《财政拨款收入支出决算总表》</w:t>
      </w:r>
    </w:p>
    <w:p w14:paraId="74198C71">
      <w:pPr>
        <w:spacing w:line="240" w:lineRule="auto"/>
        <w:ind w:firstLine="640"/>
        <w:jc w:val="both"/>
      </w:pPr>
      <w:r>
        <w:rPr>
          <w:rFonts w:ascii="仿宋_GB2312" w:hAnsi="仿宋_GB2312" w:eastAsia="仿宋_GB2312"/>
          <w:b w:val="0"/>
          <w:sz w:val="32"/>
        </w:rPr>
        <w:t>五、《一般公共预算财政拨款支出决算表》</w:t>
      </w:r>
    </w:p>
    <w:p w14:paraId="773E0D9E">
      <w:pPr>
        <w:spacing w:line="240" w:lineRule="auto"/>
        <w:ind w:firstLine="640"/>
        <w:jc w:val="both"/>
      </w:pPr>
      <w:r>
        <w:rPr>
          <w:rFonts w:ascii="仿宋_GB2312" w:hAnsi="仿宋_GB2312" w:eastAsia="仿宋_GB2312"/>
          <w:b w:val="0"/>
          <w:sz w:val="32"/>
        </w:rPr>
        <w:t>六、《一般公共预算财政拨款基本支出决算表》</w:t>
      </w:r>
    </w:p>
    <w:p w14:paraId="4F99843D">
      <w:pPr>
        <w:spacing w:line="240" w:lineRule="auto"/>
        <w:ind w:firstLine="640"/>
        <w:jc w:val="both"/>
      </w:pPr>
      <w:r>
        <w:rPr>
          <w:rFonts w:ascii="仿宋_GB2312" w:hAnsi="仿宋_GB2312" w:eastAsia="仿宋_GB2312"/>
          <w:b w:val="0"/>
          <w:sz w:val="32"/>
        </w:rPr>
        <w:t>七、《政府性基金预算财政拨款收入支出决算表》</w:t>
      </w:r>
    </w:p>
    <w:p w14:paraId="5C86FF7E">
      <w:pPr>
        <w:spacing w:line="240" w:lineRule="auto"/>
        <w:ind w:firstLine="640"/>
        <w:jc w:val="both"/>
      </w:pPr>
      <w:r>
        <w:rPr>
          <w:rFonts w:ascii="仿宋_GB2312" w:hAnsi="仿宋_GB2312" w:eastAsia="仿宋_GB2312"/>
          <w:b w:val="0"/>
          <w:sz w:val="32"/>
        </w:rPr>
        <w:t>八、《国有资本经营预算财政拨款收入支出决算表》</w:t>
      </w:r>
    </w:p>
    <w:p w14:paraId="76E73CFE">
      <w:pPr>
        <w:spacing w:line="240" w:lineRule="auto"/>
        <w:ind w:firstLine="640"/>
        <w:jc w:val="both"/>
      </w:pPr>
      <w:r>
        <w:rPr>
          <w:rFonts w:ascii="仿宋_GB2312" w:hAnsi="仿宋_GB2312" w:eastAsia="仿宋_GB2312"/>
          <w:b w:val="0"/>
          <w:sz w:val="32"/>
        </w:rPr>
        <w:t>九、《财政拨款“三公”经费支出决算表》</w:t>
      </w:r>
    </w:p>
    <w:p w14:paraId="58E5F22A">
      <w:pPr>
        <w:spacing w:line="240" w:lineRule="auto"/>
        <w:ind w:firstLine="640"/>
        <w:jc w:val="both"/>
      </w:pPr>
    </w:p>
    <w:p w14:paraId="43EA90E0">
      <w:pPr>
        <w:spacing w:line="240" w:lineRule="auto"/>
        <w:ind w:firstLine="640"/>
        <w:jc w:val="both"/>
      </w:pPr>
    </w:p>
    <w:p w14:paraId="09E40AB6">
      <w:pPr>
        <w:spacing w:line="240" w:lineRule="auto"/>
        <w:ind w:firstLine="640"/>
        <w:jc w:val="both"/>
      </w:pPr>
    </w:p>
    <w:p w14:paraId="68B6A4DA">
      <w:pPr>
        <w:spacing w:line="240" w:lineRule="auto"/>
        <w:ind w:firstLine="640"/>
        <w:jc w:val="both"/>
      </w:pPr>
    </w:p>
    <w:p w14:paraId="3779FC8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06B471-CD01-483E-9175-2DABBD2BE1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B6120AB-5D70-4F19-9B86-D3C0CD4D8934}"/>
  </w:font>
  <w:font w:name="方正小标宋_GBK">
    <w:panose1 w:val="02000000000000000000"/>
    <w:charset w:val="86"/>
    <w:family w:val="script"/>
    <w:pitch w:val="default"/>
    <w:sig w:usb0="A00002BF" w:usb1="38CF7CFA" w:usb2="00082016" w:usb3="00000000" w:csb0="00040001" w:csb1="00000000"/>
    <w:embedRegular r:id="rId3" w:fontKey="{F421EE38-8DB6-4DC4-BA53-4A9BE77356BA}"/>
  </w:font>
  <w:font w:name="楷体_GB2312">
    <w:altName w:val="楷体"/>
    <w:panose1 w:val="00000000000000000000"/>
    <w:charset w:val="00"/>
    <w:family w:val="auto"/>
    <w:pitch w:val="default"/>
    <w:sig w:usb0="00000000" w:usb1="00000000" w:usb2="00000000" w:usb3="00000000" w:csb0="00000000" w:csb1="00000000"/>
    <w:embedRegular r:id="rId4" w:fontKey="{800C3735-7EAE-4C94-97D3-1EBE5C32EF5F}"/>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FD0E8E"/>
    <w:rsid w:val="2C1965E9"/>
    <w:rsid w:val="2CCB53CA"/>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3A7DF1"/>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7016</Words>
  <Characters>8018</Characters>
  <Lines>0</Lines>
  <Paragraphs>0</Paragraphs>
  <TotalTime>0</TotalTime>
  <ScaleCrop>false</ScaleCrop>
  <LinksUpToDate>false</LinksUpToDate>
  <CharactersWithSpaces>8028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