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新疆维吾尔自治区喀什地区塔西南公安局2024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13E3F17">
      <w:r>
        <w:br w:type="page"/>
      </w:r>
    </w:p>
    <w:p w14:paraId="67A1D457">
      <w:pPr>
        <w:spacing w:line="640" w:lineRule="exact"/>
        <w:jc w:val="center"/>
        <w:outlineLvl w:val="1"/>
      </w:pPr>
      <w:r>
        <w:rPr>
          <w:rFonts w:ascii="黑体" w:hAnsi="黑体" w:eastAsia="黑体"/>
          <w:sz w:val="32"/>
        </w:rPr>
        <w:t>第一部分 部门概况</w:t>
      </w:r>
    </w:p>
    <w:p w14:paraId="2A6C0ED2">
      <w:pPr>
        <w:spacing w:line="640" w:lineRule="exact"/>
        <w:ind w:firstLine="640"/>
        <w:jc w:val="both"/>
        <w:outlineLvl w:val="2"/>
      </w:pPr>
      <w:r>
        <w:rPr>
          <w:rFonts w:ascii="黑体" w:hAnsi="黑体" w:eastAsia="黑体"/>
          <w:sz w:val="32"/>
        </w:rPr>
        <w:t>一、主要职能</w:t>
      </w:r>
    </w:p>
    <w:p w14:paraId="605D6207">
      <w:pPr>
        <w:spacing w:line="580" w:lineRule="exact"/>
        <w:ind w:firstLine="640"/>
        <w:jc w:val="both"/>
      </w:pPr>
      <w:r>
        <w:rPr>
          <w:rFonts w:ascii="仿宋_GB2312" w:hAnsi="仿宋_GB2312" w:eastAsia="仿宋_GB2312"/>
          <w:sz w:val="32"/>
        </w:rPr>
        <w:t>新疆维吾尔自治区喀什地区塔西南公安局为全额拨款行政编制单位，单位主要职责及服务宗旨：贯彻落实自治区党委、人民政府及上级公安有关公安工作的路线、方针、政策、法规、规章。</w:t>
      </w:r>
    </w:p>
    <w:p w14:paraId="1B76F2CE">
      <w:pPr>
        <w:spacing w:line="580" w:lineRule="exact"/>
        <w:ind w:firstLine="640"/>
        <w:jc w:val="both"/>
      </w:pPr>
      <w:r>
        <w:rPr>
          <w:rFonts w:ascii="仿宋_GB2312" w:hAnsi="仿宋_GB2312" w:eastAsia="仿宋_GB2312"/>
          <w:sz w:val="32"/>
        </w:rPr>
        <w:t>（一）研究拟定符合辖区实际的公安工作制度和有关措施；指导、部署、检查督促落实辖区公安工作。</w:t>
      </w:r>
    </w:p>
    <w:p w14:paraId="27928997">
      <w:pPr>
        <w:spacing w:line="580" w:lineRule="exact"/>
        <w:ind w:firstLine="640"/>
        <w:jc w:val="both"/>
      </w:pPr>
      <w:r>
        <w:rPr>
          <w:rFonts w:ascii="仿宋_GB2312" w:hAnsi="仿宋_GB2312" w:eastAsia="仿宋_GB2312"/>
          <w:sz w:val="32"/>
        </w:rPr>
        <w:t>（二）掌握、分析、研究辖区影响社会安定、危害国内安全的情况，并研究制定对策。</w:t>
      </w:r>
    </w:p>
    <w:p w14:paraId="2CBC3A24">
      <w:pPr>
        <w:spacing w:line="580" w:lineRule="exact"/>
        <w:ind w:firstLine="640"/>
        <w:jc w:val="both"/>
      </w:pPr>
      <w:r>
        <w:rPr>
          <w:rFonts w:ascii="仿宋_GB2312" w:hAnsi="仿宋_GB2312" w:eastAsia="仿宋_GB2312"/>
          <w:sz w:val="32"/>
        </w:rPr>
        <w:t>（三）组织实施对参与危害国家安全案件的侦查工作，以及境内外敌对势力、恐怖组织、社团的侦探和基础调研工作；组织辖区重大刑事案件、经济案件的侦破和缉毒工作；组织协调辖区重大行动和专项斗争；对辖区重大案件、重大骚乱事件、重大治安事故及重大突发事件进行处置。</w:t>
      </w:r>
    </w:p>
    <w:p w14:paraId="47D371D1">
      <w:pPr>
        <w:spacing w:line="580" w:lineRule="exact"/>
        <w:ind w:firstLine="640"/>
        <w:jc w:val="both"/>
      </w:pPr>
      <w:r>
        <w:rPr>
          <w:rFonts w:ascii="仿宋_GB2312" w:hAnsi="仿宋_GB2312" w:eastAsia="仿宋_GB2312"/>
          <w:sz w:val="32"/>
        </w:rPr>
        <w:t>（四）依法查处辖区危害社会治安秩序行为，依法管理辖区户口、居民身份证、出入境、枪支弹药、危险化学物品和特种行业等工作；做好网络安全保卫工作；组织实施消防工作，依法对辖区消防工作进行日常监督管理。</w:t>
      </w:r>
    </w:p>
    <w:p w14:paraId="252A2903">
      <w:pPr>
        <w:spacing w:line="580" w:lineRule="exact"/>
        <w:ind w:firstLine="640"/>
        <w:jc w:val="both"/>
      </w:pPr>
      <w:r>
        <w:rPr>
          <w:rFonts w:ascii="仿宋_GB2312" w:hAnsi="仿宋_GB2312" w:eastAsia="仿宋_GB2312"/>
          <w:sz w:val="32"/>
        </w:rPr>
        <w:t>（五）指导辖区企事业单位实验室治安的保卫工作及群众性治安的保卫组织的治安的防范工作。组织、指导、协调、实施辖区大型会议、活动安全保卫和警卫工作。</w:t>
      </w:r>
    </w:p>
    <w:p w14:paraId="21DD1184">
      <w:pPr>
        <w:spacing w:line="580" w:lineRule="exact"/>
        <w:ind w:firstLine="640"/>
        <w:jc w:val="both"/>
      </w:pPr>
      <w:r>
        <w:rPr>
          <w:rFonts w:ascii="仿宋_GB2312" w:hAnsi="仿宋_GB2312" w:eastAsia="仿宋_GB2312"/>
          <w:sz w:val="32"/>
        </w:rPr>
        <w:t>（六）组织实施辖区刑事行政活动，开展执法制度建设和法治宣传工作。</w:t>
      </w:r>
    </w:p>
    <w:p w14:paraId="2BDA14C7">
      <w:pPr>
        <w:spacing w:line="580" w:lineRule="exact"/>
        <w:ind w:firstLine="640"/>
        <w:jc w:val="both"/>
      </w:pPr>
      <w:r>
        <w:rPr>
          <w:rFonts w:ascii="仿宋_GB2312" w:hAnsi="仿宋_GB2312" w:eastAsia="仿宋_GB2312"/>
          <w:sz w:val="32"/>
        </w:rPr>
        <w:t>（七）依法管理辖区道路交通安全，维护交通秩序，以及机动车、驾驶员管理工作。</w:t>
      </w:r>
    </w:p>
    <w:p w14:paraId="65A70564">
      <w:pPr>
        <w:spacing w:line="580" w:lineRule="exact"/>
        <w:ind w:firstLine="640"/>
        <w:jc w:val="both"/>
      </w:pPr>
      <w:r>
        <w:rPr>
          <w:rFonts w:ascii="仿宋_GB2312" w:hAnsi="仿宋_GB2312" w:eastAsia="仿宋_GB2312"/>
          <w:sz w:val="32"/>
        </w:rPr>
        <w:t>（八）负责看守所、拘留所的管理工作。</w:t>
      </w:r>
    </w:p>
    <w:p w14:paraId="1154885C">
      <w:pPr>
        <w:spacing w:line="580" w:lineRule="exact"/>
        <w:ind w:firstLine="640"/>
        <w:jc w:val="both"/>
      </w:pPr>
      <w:r>
        <w:rPr>
          <w:rFonts w:ascii="仿宋_GB2312" w:hAnsi="仿宋_GB2312" w:eastAsia="仿宋_GB2312"/>
          <w:sz w:val="32"/>
        </w:rPr>
        <w:t>（九）研究、制定、组织、监督、实施本局公安队伍正规化建设的各项规定、措施和方案。</w:t>
      </w:r>
    </w:p>
    <w:p w14:paraId="6D2128A4">
      <w:pPr>
        <w:spacing w:line="640" w:lineRule="exact"/>
        <w:ind w:firstLine="640"/>
        <w:jc w:val="both"/>
        <w:outlineLvl w:val="2"/>
      </w:pPr>
      <w:r>
        <w:rPr>
          <w:rFonts w:ascii="黑体" w:hAnsi="黑体" w:eastAsia="黑体"/>
          <w:sz w:val="32"/>
        </w:rPr>
        <w:t>二、机构设置及人员情况</w:t>
      </w:r>
    </w:p>
    <w:p w14:paraId="3C32405E">
      <w:pPr>
        <w:spacing w:line="580" w:lineRule="exact"/>
        <w:ind w:firstLine="640"/>
        <w:jc w:val="both"/>
      </w:pPr>
      <w:r>
        <w:rPr>
          <w:rFonts w:ascii="仿宋_GB2312" w:hAnsi="仿宋_GB2312" w:eastAsia="仿宋_GB2312"/>
          <w:sz w:val="32"/>
        </w:rPr>
        <w:t>本部门机构设置及人员情况</w:t>
      </w:r>
      <w:r>
        <w:rPr>
          <w:rFonts w:hint="eastAsia" w:ascii="仿宋_GB2312" w:hAnsi="仿宋_GB2312" w:eastAsia="仿宋_GB2312"/>
          <w:sz w:val="32"/>
          <w:lang w:val="en-US" w:eastAsia="zh-CN"/>
        </w:rPr>
        <w:t>涉密</w:t>
      </w:r>
      <w:r>
        <w:rPr>
          <w:rFonts w:ascii="仿宋_GB2312" w:hAnsi="仿宋_GB2312" w:eastAsia="仿宋_GB2312"/>
          <w:sz w:val="32"/>
        </w:rPr>
        <w:t>不予公开。</w:t>
      </w:r>
    </w:p>
    <w:p w14:paraId="5643E978">
      <w:r>
        <w:br w:type="page"/>
      </w:r>
    </w:p>
    <w:p w14:paraId="6B514797">
      <w:pPr>
        <w:spacing w:line="240" w:lineRule="auto"/>
        <w:jc w:val="center"/>
        <w:outlineLvl w:val="1"/>
      </w:pPr>
      <w:r>
        <w:rPr>
          <w:rFonts w:ascii="黑体" w:hAnsi="黑体" w:eastAsia="黑体"/>
          <w:sz w:val="32"/>
        </w:rPr>
        <w:t>第二部分 部门决算情况说明</w:t>
      </w:r>
    </w:p>
    <w:p w14:paraId="201012C7">
      <w:pPr>
        <w:spacing w:line="640" w:lineRule="exact"/>
        <w:ind w:firstLine="640"/>
        <w:jc w:val="both"/>
        <w:outlineLvl w:val="2"/>
      </w:pPr>
      <w:r>
        <w:rPr>
          <w:rFonts w:ascii="黑体" w:hAnsi="黑体" w:eastAsia="黑体"/>
          <w:sz w:val="32"/>
        </w:rPr>
        <w:t>一、收入支出决算总体情况说明</w:t>
      </w:r>
    </w:p>
    <w:p w14:paraId="3813B0D0">
      <w:pPr>
        <w:spacing w:line="580" w:lineRule="exact"/>
        <w:ind w:firstLine="640"/>
        <w:jc w:val="both"/>
      </w:pPr>
      <w:r>
        <w:rPr>
          <w:rFonts w:ascii="仿宋_GB2312" w:hAnsi="仿宋_GB2312" w:eastAsia="仿宋_GB2312"/>
          <w:b/>
          <w:sz w:val="32"/>
        </w:rPr>
        <w:t>2024年度收入总计2,613.63万元，</w:t>
      </w:r>
      <w:r>
        <w:rPr>
          <w:rFonts w:ascii="仿宋_GB2312" w:hAnsi="仿宋_GB2312" w:eastAsia="仿宋_GB2312"/>
          <w:b w:val="0"/>
          <w:sz w:val="32"/>
        </w:rPr>
        <w:t>其中：本年收入合计2,543.61万元，使用非财政拨款结余（含专用结余）0.00万元，年初结转和结余70.03万元。</w:t>
      </w:r>
    </w:p>
    <w:p w14:paraId="404EF472">
      <w:pPr>
        <w:spacing w:line="580" w:lineRule="exact"/>
        <w:ind w:firstLine="640"/>
        <w:jc w:val="both"/>
      </w:pPr>
      <w:r>
        <w:rPr>
          <w:rFonts w:ascii="仿宋_GB2312" w:hAnsi="仿宋_GB2312" w:eastAsia="仿宋_GB2312"/>
          <w:b/>
          <w:sz w:val="32"/>
        </w:rPr>
        <w:t>2024年度支出总计2,613.63万元，</w:t>
      </w:r>
      <w:r>
        <w:rPr>
          <w:rFonts w:ascii="仿宋_GB2312" w:hAnsi="仿宋_GB2312" w:eastAsia="仿宋_GB2312"/>
          <w:b w:val="0"/>
          <w:sz w:val="32"/>
        </w:rPr>
        <w:t>其中：本年支出合计2,587.99万元，结余分配0.00万元，年末结转和结余25.64万元。</w:t>
      </w:r>
    </w:p>
    <w:p w14:paraId="57081AAD">
      <w:pPr>
        <w:spacing w:line="580" w:lineRule="exact"/>
        <w:ind w:firstLine="640"/>
        <w:jc w:val="both"/>
      </w:pPr>
      <w:r>
        <w:rPr>
          <w:rFonts w:ascii="仿宋_GB2312" w:hAnsi="仿宋_GB2312" w:eastAsia="仿宋_GB2312"/>
          <w:b w:val="0"/>
          <w:sz w:val="32"/>
        </w:rPr>
        <w:t>收入支出总体与上年相比，减少410.22万元，下降13.57%，主要原因是：本年在职人员减少，相关人员经费减少；转移支付项目资金较上年减少。</w:t>
      </w:r>
    </w:p>
    <w:p w14:paraId="6B30B3F2">
      <w:pPr>
        <w:spacing w:line="640" w:lineRule="exact"/>
        <w:ind w:firstLine="640"/>
        <w:jc w:val="both"/>
        <w:outlineLvl w:val="2"/>
      </w:pPr>
      <w:r>
        <w:rPr>
          <w:rFonts w:ascii="黑体" w:hAnsi="黑体" w:eastAsia="黑体"/>
          <w:sz w:val="32"/>
        </w:rPr>
        <w:t>二、收入决算情况说明</w:t>
      </w:r>
    </w:p>
    <w:p w14:paraId="7FA16402">
      <w:pPr>
        <w:spacing w:line="580" w:lineRule="exact"/>
        <w:ind w:firstLine="640"/>
        <w:jc w:val="both"/>
      </w:pPr>
      <w:r>
        <w:rPr>
          <w:rFonts w:ascii="仿宋_GB2312" w:hAnsi="仿宋_GB2312" w:eastAsia="仿宋_GB2312"/>
          <w:b/>
          <w:sz w:val="32"/>
        </w:rPr>
        <w:t>本年收入2,543.61万元，</w:t>
      </w:r>
      <w:r>
        <w:rPr>
          <w:rFonts w:ascii="仿宋_GB2312" w:hAnsi="仿宋_GB2312" w:eastAsia="仿宋_GB2312"/>
          <w:b w:val="0"/>
          <w:sz w:val="32"/>
        </w:rPr>
        <w:t>其中：财政拨款收入2,527.28万元，占99.36%；上级补助收入0.00万元，占0.00%；事业收入0.00万元，占0.00%；经营收入0.00万元，占0.00%；附属单位上缴收入0.00万元，占0.00%；其他收入16.32万元，占0.64%。</w:t>
      </w:r>
    </w:p>
    <w:p w14:paraId="5E1ECE61">
      <w:pPr>
        <w:spacing w:line="640" w:lineRule="exact"/>
        <w:ind w:firstLine="640"/>
        <w:jc w:val="both"/>
        <w:outlineLvl w:val="2"/>
      </w:pPr>
      <w:r>
        <w:rPr>
          <w:rFonts w:ascii="黑体" w:hAnsi="黑体" w:eastAsia="黑体"/>
          <w:sz w:val="32"/>
        </w:rPr>
        <w:t>三、支出决算情况说明</w:t>
      </w:r>
    </w:p>
    <w:p w14:paraId="5A23405B">
      <w:pPr>
        <w:spacing w:line="580" w:lineRule="exact"/>
        <w:ind w:firstLine="640"/>
        <w:jc w:val="both"/>
      </w:pPr>
      <w:r>
        <w:rPr>
          <w:rFonts w:ascii="仿宋_GB2312" w:hAnsi="仿宋_GB2312" w:eastAsia="仿宋_GB2312"/>
          <w:b/>
          <w:sz w:val="32"/>
        </w:rPr>
        <w:t>本年支出2,587.99万元，</w:t>
      </w:r>
      <w:r>
        <w:rPr>
          <w:rFonts w:ascii="仿宋_GB2312" w:hAnsi="仿宋_GB2312" w:eastAsia="仿宋_GB2312"/>
          <w:b w:val="0"/>
          <w:sz w:val="32"/>
        </w:rPr>
        <w:t>其中：基本支出2,106.73万元，占81.40%；项目支出481.25万元，占18.60%；上缴上级支出0.00万元，占0.00%；经营支出0.00万元，占0.00%；对附属单位补助支出0.00万元，占0.00%。</w:t>
      </w:r>
    </w:p>
    <w:p w14:paraId="0C88AA80">
      <w:pPr>
        <w:spacing w:line="640" w:lineRule="exact"/>
        <w:ind w:firstLine="640"/>
        <w:jc w:val="both"/>
        <w:outlineLvl w:val="2"/>
      </w:pPr>
      <w:r>
        <w:rPr>
          <w:rFonts w:ascii="黑体" w:hAnsi="黑体" w:eastAsia="黑体"/>
          <w:sz w:val="32"/>
        </w:rPr>
        <w:t>四、财政拨款收入支出决算总体情况说明</w:t>
      </w:r>
    </w:p>
    <w:p w14:paraId="6293552C">
      <w:pPr>
        <w:spacing w:line="580" w:lineRule="exact"/>
        <w:ind w:firstLine="640"/>
        <w:jc w:val="both"/>
      </w:pPr>
      <w:r>
        <w:rPr>
          <w:rFonts w:ascii="仿宋_GB2312" w:hAnsi="仿宋_GB2312" w:eastAsia="仿宋_GB2312"/>
          <w:b/>
          <w:sz w:val="32"/>
        </w:rPr>
        <w:t>2024年度财政拨款收入总计2,527.28万元，</w:t>
      </w:r>
      <w:r>
        <w:rPr>
          <w:rFonts w:ascii="仿宋_GB2312" w:hAnsi="仿宋_GB2312" w:eastAsia="仿宋_GB2312"/>
          <w:b w:val="0"/>
          <w:sz w:val="32"/>
        </w:rPr>
        <w:t>其中：年初财政拨款结转和结余0.00万元，本年财政拨款收入2,527.28万元。</w:t>
      </w:r>
      <w:r>
        <w:rPr>
          <w:rFonts w:ascii="仿宋_GB2312" w:hAnsi="仿宋_GB2312" w:eastAsia="仿宋_GB2312"/>
          <w:b/>
          <w:sz w:val="32"/>
        </w:rPr>
        <w:t>财政拨款支出总计2,527.28万元，</w:t>
      </w:r>
      <w:r>
        <w:rPr>
          <w:rFonts w:ascii="仿宋_GB2312" w:hAnsi="仿宋_GB2312" w:eastAsia="仿宋_GB2312"/>
          <w:b w:val="0"/>
          <w:sz w:val="32"/>
        </w:rPr>
        <w:t>其中：年末财政拨款结转和结余0.00万元，本年财政拨款支出2,527.28万元。</w:t>
      </w:r>
    </w:p>
    <w:p w14:paraId="68AD31D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减少312.07万元，下降10.99%，主要原因是：本年在职人员减少，相关人员经费减少；转移支付项目资金较上年减少。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年初预算数2,545.33万元，决算数2,527.28万元，预决算差异率-0.71%，主要原因是：本年在职人员减少，年中调减人员经费，导致预决算存在差异。</w:t>
      </w:r>
    </w:p>
    <w:p w14:paraId="05B832BD">
      <w:pPr>
        <w:spacing w:line="640" w:lineRule="exact"/>
        <w:ind w:firstLine="640"/>
        <w:jc w:val="both"/>
        <w:outlineLvl w:val="2"/>
      </w:pPr>
      <w:r>
        <w:rPr>
          <w:rFonts w:ascii="黑体" w:hAnsi="黑体" w:eastAsia="黑体"/>
          <w:sz w:val="32"/>
        </w:rPr>
        <w:t>五、一般公共预算财政拨款支出决算情况说明</w:t>
      </w:r>
    </w:p>
    <w:p w14:paraId="29DCA6BB">
      <w:pPr>
        <w:spacing w:line="640" w:lineRule="exact"/>
        <w:ind w:firstLine="640"/>
        <w:jc w:val="both"/>
        <w:outlineLvl w:val="3"/>
      </w:pPr>
      <w:r>
        <w:rPr>
          <w:rFonts w:ascii="楷体_GB2312" w:hAnsi="楷体_GB2312" w:eastAsia="楷体_GB2312"/>
          <w:b/>
          <w:sz w:val="32"/>
        </w:rPr>
        <w:t>（一）一般公共预算财政拨款支出决算总体情况</w:t>
      </w:r>
    </w:p>
    <w:p w14:paraId="0B5177E3">
      <w:pPr>
        <w:spacing w:line="580" w:lineRule="exact"/>
        <w:ind w:firstLine="640"/>
        <w:jc w:val="both"/>
      </w:pPr>
      <w:r>
        <w:rPr>
          <w:rFonts w:ascii="仿宋_GB2312" w:hAnsi="仿宋_GB2312" w:eastAsia="仿宋_GB2312"/>
          <w:b/>
          <w:sz w:val="32"/>
        </w:rPr>
        <w:t>2024年度一般公共预算财政拨款支出2,527.28万元，</w:t>
      </w:r>
      <w:r>
        <w:rPr>
          <w:rFonts w:ascii="仿宋_GB2312" w:hAnsi="仿宋_GB2312" w:eastAsia="仿宋_GB2312"/>
          <w:b w:val="0"/>
          <w:sz w:val="32"/>
        </w:rPr>
        <w:t>占本年支出合计的97.65%。</w:t>
      </w:r>
      <w:r>
        <w:rPr>
          <w:rFonts w:ascii="仿宋_GB2312" w:hAnsi="仿宋_GB2312" w:eastAsia="仿宋_GB2312"/>
          <w:b/>
          <w:sz w:val="32"/>
        </w:rPr>
        <w:t>与上年相比，</w:t>
      </w:r>
      <w:r>
        <w:rPr>
          <w:rFonts w:ascii="仿宋_GB2312" w:hAnsi="仿宋_GB2312" w:eastAsia="仿宋_GB2312"/>
          <w:b w:val="0"/>
          <w:sz w:val="32"/>
        </w:rPr>
        <w:t>减少312.07万元，下降10.99%，主要原因是：本年在职人员减少，相关人员经费减少；转移支付项目资金较上年减少。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年初预算数2,545.33万元，决算数2,527.28万元，预决算差异率-0.71%，主要原因是：本年在职人员减少，年中调减人员经费，导致预决算存在差异。</w:t>
      </w:r>
    </w:p>
    <w:p w14:paraId="619CBFFB">
      <w:pPr>
        <w:spacing w:line="640" w:lineRule="exact"/>
        <w:ind w:firstLine="640"/>
        <w:jc w:val="both"/>
        <w:outlineLvl w:val="3"/>
      </w:pPr>
      <w:r>
        <w:rPr>
          <w:rFonts w:ascii="楷体_GB2312" w:hAnsi="楷体_GB2312" w:eastAsia="楷体_GB2312"/>
          <w:b/>
          <w:sz w:val="32"/>
        </w:rPr>
        <w:t>（二）一般公共预算财政拨款支出决算结构情况</w:t>
      </w:r>
    </w:p>
    <w:p w14:paraId="3F33E127">
      <w:pPr>
        <w:spacing w:line="580" w:lineRule="exact"/>
        <w:ind w:firstLine="640"/>
        <w:jc w:val="both"/>
      </w:pPr>
      <w:r>
        <w:rPr>
          <w:rFonts w:ascii="仿宋_GB2312" w:hAnsi="仿宋_GB2312" w:eastAsia="仿宋_GB2312"/>
          <w:b w:val="0"/>
          <w:sz w:val="32"/>
        </w:rPr>
        <w:t>1.一般公共服务支出(类)2.20万元,占0.09%。</w:t>
      </w:r>
    </w:p>
    <w:p w14:paraId="160AA084">
      <w:pPr>
        <w:spacing w:line="580" w:lineRule="exact"/>
        <w:ind w:firstLine="640"/>
        <w:jc w:val="both"/>
      </w:pPr>
      <w:r>
        <w:rPr>
          <w:rFonts w:ascii="仿宋_GB2312" w:hAnsi="仿宋_GB2312" w:eastAsia="仿宋_GB2312"/>
          <w:b w:val="0"/>
          <w:sz w:val="32"/>
        </w:rPr>
        <w:t>2.公共安全支出(类)1,968.77万元,占77.90%。</w:t>
      </w:r>
    </w:p>
    <w:p w14:paraId="62EACC64">
      <w:pPr>
        <w:spacing w:line="580" w:lineRule="exact"/>
        <w:ind w:firstLine="640"/>
        <w:jc w:val="both"/>
      </w:pPr>
      <w:r>
        <w:rPr>
          <w:rFonts w:ascii="仿宋_GB2312" w:hAnsi="仿宋_GB2312" w:eastAsia="仿宋_GB2312"/>
          <w:b w:val="0"/>
          <w:sz w:val="32"/>
        </w:rPr>
        <w:t>3.社会保障和就业支出(类)315.60万元,占12.49%。</w:t>
      </w:r>
    </w:p>
    <w:p w14:paraId="71B4F5DE">
      <w:pPr>
        <w:spacing w:line="580" w:lineRule="exact"/>
        <w:ind w:firstLine="640"/>
        <w:jc w:val="both"/>
      </w:pPr>
      <w:r>
        <w:rPr>
          <w:rFonts w:ascii="仿宋_GB2312" w:hAnsi="仿宋_GB2312" w:eastAsia="仿宋_GB2312"/>
          <w:b w:val="0"/>
          <w:sz w:val="32"/>
        </w:rPr>
        <w:t>4.卫生健康支出(类)91.45万元,占3.62%。</w:t>
      </w:r>
    </w:p>
    <w:p w14:paraId="277F68F3">
      <w:pPr>
        <w:spacing w:line="580" w:lineRule="exact"/>
        <w:ind w:firstLine="640"/>
        <w:jc w:val="both"/>
      </w:pPr>
      <w:r>
        <w:rPr>
          <w:rFonts w:ascii="仿宋_GB2312" w:hAnsi="仿宋_GB2312" w:eastAsia="仿宋_GB2312"/>
          <w:b w:val="0"/>
          <w:sz w:val="32"/>
        </w:rPr>
        <w:t>5.住房保障支出(类)149.26万元,占5.91%。</w:t>
      </w:r>
    </w:p>
    <w:p w14:paraId="002AB989">
      <w:pPr>
        <w:spacing w:line="640" w:lineRule="exact"/>
        <w:ind w:firstLine="640"/>
        <w:jc w:val="both"/>
        <w:outlineLvl w:val="3"/>
      </w:pPr>
      <w:r>
        <w:rPr>
          <w:rFonts w:ascii="楷体_GB2312" w:hAnsi="楷体_GB2312" w:eastAsia="楷体_GB2312"/>
          <w:b/>
          <w:sz w:val="32"/>
        </w:rPr>
        <w:t>（三）一般公共预算财政拨款支出决算具体情况</w:t>
      </w:r>
    </w:p>
    <w:p w14:paraId="3C591907">
      <w:pPr>
        <w:spacing w:line="580" w:lineRule="exact"/>
        <w:ind w:firstLine="640"/>
        <w:jc w:val="both"/>
      </w:pPr>
      <w:r>
        <w:rPr>
          <w:rFonts w:ascii="仿宋_GB2312" w:hAnsi="仿宋_GB2312" w:eastAsia="仿宋_GB2312"/>
          <w:b w:val="0"/>
          <w:sz w:val="32"/>
        </w:rPr>
        <w:t>1.一般公共服务支出(类)统战事务(款)宗教事务(项):支出决算数为2.20万元，比上年决算增加1.71万元，增长348.98%,主要原因是：本年度人员补助经费增加。</w:t>
      </w:r>
    </w:p>
    <w:p w14:paraId="1EE66977">
      <w:pPr>
        <w:spacing w:line="580" w:lineRule="exact"/>
        <w:ind w:firstLine="640"/>
        <w:jc w:val="both"/>
      </w:pPr>
      <w:r>
        <w:rPr>
          <w:rFonts w:ascii="仿宋_GB2312" w:hAnsi="仿宋_GB2312" w:eastAsia="仿宋_GB2312"/>
          <w:b w:val="0"/>
          <w:sz w:val="32"/>
        </w:rPr>
        <w:t>2.公共安全支出(类)公安(款)行政运行(项):支出决算数为1,487.52万元，比上年决算减少24.86万元，下降1.64%,主要原因是：本年在职人员减少，相应人员经费较上年减少。</w:t>
      </w:r>
    </w:p>
    <w:p w14:paraId="04EB9FBD">
      <w:pPr>
        <w:spacing w:line="580" w:lineRule="exact"/>
        <w:ind w:firstLine="640"/>
        <w:jc w:val="both"/>
      </w:pPr>
      <w:r>
        <w:rPr>
          <w:rFonts w:ascii="仿宋_GB2312" w:hAnsi="仿宋_GB2312" w:eastAsia="仿宋_GB2312"/>
          <w:b w:val="0"/>
          <w:sz w:val="32"/>
        </w:rPr>
        <w:t>3.公共安全支出(类)公安(款)一般行政管理事务(项):支出决算数为117.27万元，比上年决算增加12.28万元，增长11.70%,主要原因是：本年业务量增加，办公经费增加。</w:t>
      </w:r>
    </w:p>
    <w:p w14:paraId="7DB682C7">
      <w:pPr>
        <w:spacing w:line="580" w:lineRule="exact"/>
        <w:ind w:firstLine="640"/>
        <w:jc w:val="both"/>
      </w:pPr>
      <w:r>
        <w:rPr>
          <w:rFonts w:ascii="仿宋_GB2312" w:hAnsi="仿宋_GB2312" w:eastAsia="仿宋_GB2312"/>
          <w:b w:val="0"/>
          <w:sz w:val="32"/>
        </w:rPr>
        <w:t>4.公共安全支出(类)公安(款)其他公安支出(项):支出决算数为363.98万元，比上年决算减少408.90万元，下降52.91%,主要原因是：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转移支付项目资金较上年减少。</w:t>
      </w:r>
    </w:p>
    <w:p w14:paraId="5D44A212">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5.社会保障和就业支出(类)行政事业单位养老支出(款)行政单位离退休(项):支出决算数为48.09万元，比上年决算增加14.38万元，增长42.66%,主要原因是：本年退休人员增加，导致退休人员经费较上年增加。</w:t>
      </w:r>
    </w:p>
    <w:p w14:paraId="5696382A">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165.95万元，比上年决算增加0.86万元，增长0.52%,主要原因是：本年在职人员工资基数调增，养老缴费基数上涨，相应支出增加。</w:t>
      </w:r>
    </w:p>
    <w:p w14:paraId="18765570">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101.56万元，比上年决算增加72.52万元，增长249.72%,主要原因是：本年新增退休人员及调出外县市人员，职业年金缴费支出增加。</w:t>
      </w:r>
    </w:p>
    <w:p w14:paraId="7C9EFC4A">
      <w:pPr>
        <w:spacing w:line="580" w:lineRule="exact"/>
        <w:ind w:firstLine="640"/>
        <w:jc w:val="both"/>
      </w:pPr>
      <w:r>
        <w:rPr>
          <w:rFonts w:ascii="仿宋_GB2312" w:hAnsi="仿宋_GB2312" w:eastAsia="仿宋_GB2312"/>
          <w:b w:val="0"/>
          <w:sz w:val="32"/>
        </w:rPr>
        <w:t>8.卫生健康支出(类)行政事业单位医疗(款)行政单位医疗(项):支出决算数为70.70万元，比上年决算减少0.50万元，下降0.70%,主要原因是：本年在职人员减少，行政单位医疗较上年减少。</w:t>
      </w:r>
    </w:p>
    <w:p w14:paraId="68A12FAE">
      <w:pPr>
        <w:spacing w:line="580" w:lineRule="exact"/>
        <w:ind w:firstLine="640"/>
        <w:jc w:val="both"/>
      </w:pPr>
      <w:r>
        <w:rPr>
          <w:rFonts w:ascii="仿宋_GB2312" w:hAnsi="仿宋_GB2312" w:eastAsia="仿宋_GB2312"/>
          <w:b w:val="0"/>
          <w:sz w:val="32"/>
        </w:rPr>
        <w:t>9.卫生健康支出(类)行政事业单位医疗(款)公务员医疗补助(项):支出决算数为20.75万元，比上年决算减少0.17万元，下降0.81%,主要原因是：本年在职人员减少，公务员医疗补助较上年减少。</w:t>
      </w:r>
    </w:p>
    <w:p w14:paraId="4DB223C2">
      <w:pPr>
        <w:spacing w:line="580" w:lineRule="exact"/>
        <w:ind w:firstLine="640"/>
        <w:jc w:val="both"/>
      </w:pPr>
      <w:r>
        <w:rPr>
          <w:rFonts w:ascii="仿宋_GB2312" w:hAnsi="仿宋_GB2312" w:eastAsia="仿宋_GB2312"/>
          <w:b w:val="0"/>
          <w:sz w:val="32"/>
        </w:rPr>
        <w:t>10.住房保障支出(类)住房改革支出(款)住房公积金(项):支出决算数为149.26万元，比上年决算增加20.62万元，增长16.03%,主要原因是：本年在职人员工资基数调增，公积金缴费基数上涨，相应支出增加。</w:t>
      </w:r>
    </w:p>
    <w:p w14:paraId="147ED5ED">
      <w:pPr>
        <w:spacing w:line="640" w:lineRule="exact"/>
        <w:ind w:firstLine="640"/>
        <w:jc w:val="both"/>
        <w:outlineLvl w:val="2"/>
      </w:pPr>
      <w:r>
        <w:rPr>
          <w:rFonts w:ascii="黑体" w:hAnsi="黑体" w:eastAsia="黑体"/>
          <w:sz w:val="32"/>
        </w:rPr>
        <w:t>六、一般公共预算财政拨款基本支出决算情况说明</w:t>
      </w:r>
    </w:p>
    <w:p w14:paraId="63D52603">
      <w:pPr>
        <w:spacing w:line="580" w:lineRule="exact"/>
        <w:ind w:firstLine="640"/>
        <w:jc w:val="both"/>
      </w:pPr>
      <w:r>
        <w:rPr>
          <w:rFonts w:ascii="仿宋_GB2312" w:hAnsi="仿宋_GB2312" w:eastAsia="仿宋_GB2312"/>
          <w:b w:val="0"/>
          <w:sz w:val="32"/>
        </w:rPr>
        <w:t>2024年度一般公共预算财政拨款基本支出2,046.03万元，其中：</w:t>
      </w:r>
      <w:r>
        <w:rPr>
          <w:rFonts w:ascii="仿宋_GB2312" w:hAnsi="仿宋_GB2312" w:eastAsia="仿宋_GB2312"/>
          <w:b/>
          <w:sz w:val="32"/>
        </w:rPr>
        <w:t>人员经费1,909.55万元，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其他对个人和家庭的补助。</w:t>
      </w:r>
    </w:p>
    <w:p w14:paraId="06566DC1">
      <w:pPr>
        <w:spacing w:line="580" w:lineRule="exact"/>
        <w:ind w:firstLine="640"/>
        <w:jc w:val="both"/>
      </w:pPr>
      <w:r>
        <w:rPr>
          <w:rFonts w:ascii="仿宋_GB2312" w:hAnsi="仿宋_GB2312" w:eastAsia="仿宋_GB2312"/>
          <w:b/>
          <w:sz w:val="32"/>
        </w:rPr>
        <w:t>公用经费136.48万元，</w:t>
      </w:r>
      <w:r>
        <w:rPr>
          <w:rFonts w:ascii="仿宋_GB2312" w:hAnsi="仿宋_GB2312" w:eastAsia="仿宋_GB2312"/>
          <w:b w:val="0"/>
          <w:sz w:val="32"/>
        </w:rPr>
        <w:t>包括：办公费、印刷费、水费、邮电费、取暖费、差旅费、维修（护）费、专用材料费、工会经费、公务用车运行维护费、其他商品和服务支出。</w:t>
      </w:r>
    </w:p>
    <w:p w14:paraId="504A4479">
      <w:pPr>
        <w:spacing w:line="640" w:lineRule="exact"/>
        <w:ind w:firstLine="640"/>
        <w:jc w:val="both"/>
        <w:outlineLvl w:val="2"/>
      </w:pPr>
      <w:r>
        <w:rPr>
          <w:rFonts w:ascii="黑体" w:hAnsi="黑体" w:eastAsia="黑体"/>
          <w:sz w:val="32"/>
        </w:rPr>
        <w:t>七、政府性基金预算财政拨款收入支出决算情况说明</w:t>
      </w:r>
    </w:p>
    <w:p w14:paraId="3F5B5751">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291751DC">
      <w:pPr>
        <w:spacing w:line="640" w:lineRule="exact"/>
        <w:ind w:firstLine="640"/>
        <w:jc w:val="both"/>
        <w:outlineLvl w:val="2"/>
      </w:pPr>
      <w:r>
        <w:rPr>
          <w:rFonts w:ascii="黑体" w:hAnsi="黑体" w:eastAsia="黑体"/>
          <w:sz w:val="32"/>
        </w:rPr>
        <w:t>八、国有资本经营预算财政拨款收入支出决算情况说明</w:t>
      </w:r>
    </w:p>
    <w:p w14:paraId="2DCC886B">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0AD95536">
      <w:pPr>
        <w:spacing w:line="640" w:lineRule="exact"/>
        <w:ind w:firstLine="640"/>
        <w:jc w:val="both"/>
        <w:outlineLvl w:val="2"/>
      </w:pPr>
      <w:r>
        <w:rPr>
          <w:rFonts w:ascii="黑体" w:hAnsi="黑体" w:eastAsia="黑体"/>
          <w:sz w:val="32"/>
        </w:rPr>
        <w:t>九、财政拨款“三公”经费支出决算情况说明</w:t>
      </w:r>
    </w:p>
    <w:p w14:paraId="49718818">
      <w:pPr>
        <w:spacing w:line="580" w:lineRule="exact"/>
        <w:ind w:firstLine="640"/>
        <w:jc w:val="both"/>
      </w:pPr>
      <w:r>
        <w:rPr>
          <w:rFonts w:ascii="仿宋_GB2312" w:hAnsi="仿宋_GB2312" w:eastAsia="仿宋_GB2312"/>
          <w:b/>
          <w:sz w:val="32"/>
        </w:rPr>
        <w:t>2024年度财政拨款“三公”经费支出90.16万元，</w:t>
      </w:r>
      <w:r>
        <w:rPr>
          <w:rFonts w:ascii="仿宋_GB2312" w:hAnsi="仿宋_GB2312" w:eastAsia="仿宋_GB2312"/>
          <w:b w:val="0"/>
          <w:sz w:val="32"/>
        </w:rPr>
        <w:t>比上年增加25.76万元，增长40.00%，主要原因是：根据工作安排，本年购置公务用车，增加车辆购置费。其中：因公出国（境）费支出0.00万元，占0.00%，比上年增加0.00万元，增长0.00%，主要原因是：2023年与2024年均未安排因公出国（境）费支出。公务用车购置及运行维护费支出90.16万元，占100.00%，比上年增加25.76万元，增长40.00%，主要原因是：根据工作安排，本年购置公务用车，增加车辆购置费。公务接待费支出0.00万元，占0.00%，比上年增加0.00万元，增长0.00%，主要原因是：2023年与2024年均未安排公务接待费支出。</w:t>
      </w:r>
    </w:p>
    <w:p w14:paraId="7AAFBDAF">
      <w:pPr>
        <w:spacing w:line="580" w:lineRule="exact"/>
        <w:ind w:firstLine="640"/>
        <w:jc w:val="both"/>
      </w:pPr>
      <w:r>
        <w:rPr>
          <w:rFonts w:ascii="仿宋_GB2312" w:hAnsi="仿宋_GB2312" w:eastAsia="仿宋_GB2312"/>
          <w:b/>
          <w:sz w:val="32"/>
        </w:rPr>
        <w:t>具体情况如下：</w:t>
      </w:r>
    </w:p>
    <w:p w14:paraId="747DB17F">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6CB13816">
      <w:pPr>
        <w:spacing w:line="580" w:lineRule="exact"/>
        <w:ind w:firstLine="640"/>
        <w:jc w:val="both"/>
      </w:pPr>
      <w:r>
        <w:rPr>
          <w:rFonts w:ascii="仿宋_GB2312" w:hAnsi="仿宋_GB2312" w:eastAsia="仿宋_GB2312"/>
          <w:b w:val="0"/>
          <w:sz w:val="32"/>
        </w:rPr>
        <w:t>公务用车购置及运行维护费90.16万元，其中：公务用车购置费34.96万元，公务用车运行维护费55.20万元。公务用车运行维护费开支内容包括车辆燃料费、维修维护费、保险费、年检费等支出。公务用车购置数2辆，公务用车保有量25辆。国有资产占用情况中固定资产车辆25辆，与公务用车保有量差异原因是：本部门固定资产车辆与公务用车保有量一致无差异。</w:t>
      </w:r>
    </w:p>
    <w:p w14:paraId="2E35BBA3">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271ED35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90.16万元，决算数90.16万元，预决算差异率0.00%，主要原因是：严格按照预算执行，预决算无差异。其中：因公出国（境）费全年预算数0.00万元，决算数0.00万元，预决算差异率0.00%，主要原因是：本部门无因公出国（境）费。公务用车购置费全年预算数34.96万元，决算数34.96万元，预决算差异率0.00%，主要原因是：严格按照预算执行，预决算无差异。公务用车运行维护费全年预算数55.20万元，决算数55.20万元，预决算差异率0.00%，主要原因是：严格按照预算执行，预决算无差异。公务接待费全年预算数0.00万元，决算数0.00万元，预决算差异率0.00%，主要原因是：本部门无公务接待费。</w:t>
      </w:r>
    </w:p>
    <w:p w14:paraId="1B27D659">
      <w:pPr>
        <w:spacing w:line="640" w:lineRule="exact"/>
        <w:ind w:firstLine="640"/>
        <w:jc w:val="both"/>
        <w:outlineLvl w:val="2"/>
      </w:pPr>
      <w:r>
        <w:rPr>
          <w:rFonts w:ascii="黑体" w:hAnsi="黑体" w:eastAsia="黑体"/>
          <w:sz w:val="32"/>
        </w:rPr>
        <w:t>十、其他重要事项的情况说明</w:t>
      </w:r>
    </w:p>
    <w:p w14:paraId="0DCAF57F">
      <w:pPr>
        <w:spacing w:line="640" w:lineRule="exact"/>
        <w:ind w:firstLine="640"/>
        <w:jc w:val="both"/>
        <w:outlineLvl w:val="3"/>
      </w:pPr>
      <w:r>
        <w:rPr>
          <w:rFonts w:ascii="楷体_GB2312" w:hAnsi="楷体_GB2312" w:eastAsia="楷体_GB2312"/>
          <w:b/>
          <w:sz w:val="32"/>
        </w:rPr>
        <w:t>（一）机关运行经费及公用经费支出情况</w:t>
      </w:r>
    </w:p>
    <w:p w14:paraId="254CCF6D">
      <w:pPr>
        <w:spacing w:line="580" w:lineRule="exact"/>
        <w:ind w:firstLine="640"/>
        <w:jc w:val="both"/>
      </w:pPr>
      <w:r>
        <w:rPr>
          <w:rFonts w:ascii="仿宋_GB2312" w:hAnsi="仿宋_GB2312" w:eastAsia="仿宋_GB2312"/>
          <w:b w:val="0"/>
          <w:sz w:val="32"/>
        </w:rPr>
        <w:t>2024年度新疆维吾尔自治区喀什地区塔西南公安局（行政单位和参照公务员法管理事业单位）机关运行经费支出136.48万元，比上年减少8.84万元，下降6.08%，主要原因是：本年度办公费、取暖费、专用材料费、差旅费、工会经费、邮电费支出减少，导致机关运行经费较上年减少。</w:t>
      </w:r>
    </w:p>
    <w:p w14:paraId="15DCB0E6">
      <w:pPr>
        <w:spacing w:line="640" w:lineRule="exact"/>
        <w:ind w:firstLine="640"/>
        <w:jc w:val="both"/>
        <w:outlineLvl w:val="3"/>
      </w:pPr>
      <w:r>
        <w:rPr>
          <w:rFonts w:ascii="楷体_GB2312" w:hAnsi="楷体_GB2312" w:eastAsia="楷体_GB2312"/>
          <w:b/>
          <w:sz w:val="32"/>
        </w:rPr>
        <w:t>（二）政府采购情况</w:t>
      </w:r>
    </w:p>
    <w:p w14:paraId="42793805">
      <w:pPr>
        <w:spacing w:line="580" w:lineRule="exact"/>
        <w:ind w:firstLine="640"/>
        <w:jc w:val="both"/>
      </w:pPr>
      <w:r>
        <w:rPr>
          <w:rFonts w:ascii="仿宋_GB2312" w:hAnsi="仿宋_GB2312" w:eastAsia="仿宋_GB2312"/>
          <w:b w:val="0"/>
          <w:sz w:val="32"/>
        </w:rPr>
        <w:t>2024年度政府采购支出总额295.23万元，其中：政府采购货物支出212.00万元、政府采购工程支出0.00万元、政府采购服务支出83.23万元。</w:t>
      </w:r>
    </w:p>
    <w:p w14:paraId="45684026">
      <w:pPr>
        <w:spacing w:line="580" w:lineRule="exact"/>
        <w:ind w:firstLine="640"/>
        <w:jc w:val="both"/>
      </w:pPr>
      <w:r>
        <w:rPr>
          <w:rFonts w:ascii="仿宋_GB2312" w:hAnsi="仿宋_GB2312" w:eastAsia="仿宋_GB2312"/>
          <w:b w:val="0"/>
          <w:sz w:val="32"/>
        </w:rPr>
        <w:t>授予中小企业合同金额295.23万元，占政府采购支出总额的100.00%，其中：授予小微企业合同金额295.23万元，占政府采购支出总额的100.00%。</w:t>
      </w:r>
    </w:p>
    <w:p w14:paraId="312DFF35">
      <w:pPr>
        <w:spacing w:line="640" w:lineRule="exact"/>
        <w:ind w:firstLine="640"/>
        <w:jc w:val="both"/>
        <w:outlineLvl w:val="3"/>
      </w:pPr>
      <w:r>
        <w:rPr>
          <w:rFonts w:ascii="楷体_GB2312" w:hAnsi="楷体_GB2312" w:eastAsia="楷体_GB2312"/>
          <w:b/>
          <w:sz w:val="32"/>
        </w:rPr>
        <w:t>（三）国有资产占用情况说明</w:t>
      </w:r>
    </w:p>
    <w:p w14:paraId="039D6A40">
      <w:pPr>
        <w:spacing w:line="580" w:lineRule="exact"/>
        <w:ind w:firstLine="640"/>
        <w:jc w:val="both"/>
      </w:pPr>
      <w:r>
        <w:rPr>
          <w:rFonts w:ascii="仿宋_GB2312" w:hAnsi="仿宋_GB2312" w:eastAsia="仿宋_GB2312"/>
          <w:b w:val="0"/>
          <w:sz w:val="32"/>
        </w:rPr>
        <w:t>截至2024年12月31日，房屋5,433.91平方米，价值672.83万元。车辆25辆，价值537.82万元，其中：副部（省）级及以上领导用车0辆、主要负责人用车0辆、机要通信用车0辆、应急保障用车0辆、执法执勤用车9辆、特种专业技术用车3辆、离退休干部服务用车0辆、其他用车13辆，其他用车主要是：一般公务用车。单价100万元（含）以上设备（不含车辆）1台（套）。</w:t>
      </w:r>
    </w:p>
    <w:p w14:paraId="0FA53ADD">
      <w:pPr>
        <w:spacing w:line="640" w:lineRule="exact"/>
        <w:ind w:firstLine="640"/>
        <w:jc w:val="both"/>
        <w:outlineLvl w:val="2"/>
      </w:pPr>
      <w:r>
        <w:rPr>
          <w:rFonts w:ascii="黑体" w:hAnsi="黑体" w:eastAsia="黑体"/>
          <w:sz w:val="32"/>
        </w:rPr>
        <w:t>十一、预算绩效的情况说明</w:t>
      </w:r>
    </w:p>
    <w:p w14:paraId="7EE0C69B">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2,627.20万元，实际执行总额2,587.98万元；预算绩效评价项目1个，全年预算数117.27万元，全年执行数117.27万元。预算绩效管理取得的成效：一提升基层公安机关经费保障水平，提升民警业务办案能力，为群众提供优质政府服务，确保辖区社会安宁，长治久安。二是解决了民警的后顾之忧，促进家庭和睦，保证队伍平稳，提升民警工作积极性，增加服务辖区群众的能力，确保油气井安全，为塔西南提供更优质的政府服务能力。发现的问题及原因：1.中央资金转移支付项目执行慢的原因是政府采购意向公开</w:t>
      </w:r>
      <w:r>
        <w:rPr>
          <w:rFonts w:hint="eastAsia" w:ascii="仿宋_GB2312" w:hAnsi="仿宋_GB2312" w:eastAsia="仿宋_GB2312"/>
          <w:b w:val="0"/>
          <w:sz w:val="32"/>
          <w:lang w:eastAsia="zh-CN"/>
        </w:rPr>
        <w:t>时间</w:t>
      </w:r>
      <w:r>
        <w:rPr>
          <w:rFonts w:ascii="仿宋_GB2312" w:hAnsi="仿宋_GB2312" w:eastAsia="仿宋_GB2312"/>
          <w:b w:val="0"/>
          <w:sz w:val="32"/>
        </w:rPr>
        <w:t>长、因供货商因</w:t>
      </w:r>
      <w:r>
        <w:rPr>
          <w:rFonts w:hint="eastAsia" w:ascii="仿宋_GB2312" w:hAnsi="仿宋_GB2312" w:eastAsia="仿宋_GB2312"/>
          <w:b w:val="0"/>
          <w:sz w:val="32"/>
          <w:lang w:val="en-US" w:eastAsia="zh-CN"/>
        </w:rPr>
        <w:t>疫情</w:t>
      </w:r>
      <w:r>
        <w:rPr>
          <w:rFonts w:ascii="仿宋_GB2312" w:hAnsi="仿宋_GB2312" w:eastAsia="仿宋_GB2312"/>
          <w:b w:val="0"/>
          <w:sz w:val="32"/>
        </w:rPr>
        <w:t>原因供货验收</w:t>
      </w:r>
      <w:bookmarkStart w:id="0" w:name="_GoBack"/>
      <w:bookmarkEnd w:id="0"/>
      <w:r>
        <w:rPr>
          <w:rFonts w:ascii="仿宋_GB2312" w:hAnsi="仿宋_GB2312" w:eastAsia="仿宋_GB2312"/>
          <w:b w:val="0"/>
          <w:sz w:val="32"/>
        </w:rPr>
        <w:t>慢，造成资金不能及时支付。2.财务管理方面，会计核算还不够细致,对于有些能够细分的工作,未能详细分类核算，绩效评价基础数据不够精准。3.固定资产管理水平有待提高，固定资产台账未及时与账面资产金额对账，且没有对及时实物固定资产进行清点及清理处置报废资产，导致资产台账与账面资产金额存在差异，固定资产管理需要继续加强。下一步改进措施：1、加强项目管理，提前规划支出计划，确保项目按时推进并及时支出资金。2、严格执行《中华人民共和国预算法》、《财政违法行为处罚处分条例》等国家有关法律规定，同时加强资金在使用过程中的绩效监管及执行，保证绩效目标实施。3、继续加强单位</w:t>
      </w:r>
      <w:r>
        <w:rPr>
          <w:rFonts w:hint="eastAsia" w:ascii="仿宋_GB2312" w:hAnsi="仿宋_GB2312" w:eastAsia="仿宋_GB2312"/>
          <w:b w:val="0"/>
          <w:sz w:val="32"/>
          <w:lang w:eastAsia="zh-CN"/>
        </w:rPr>
        <w:t>固定资产</w:t>
      </w:r>
      <w:r>
        <w:rPr>
          <w:rFonts w:ascii="仿宋_GB2312" w:hAnsi="仿宋_GB2312" w:eastAsia="仿宋_GB2312"/>
          <w:b w:val="0"/>
          <w:sz w:val="32"/>
        </w:rPr>
        <w:t>管理，对</w:t>
      </w:r>
      <w:r>
        <w:rPr>
          <w:rFonts w:hint="eastAsia" w:ascii="仿宋_GB2312" w:hAnsi="仿宋_GB2312" w:eastAsia="仿宋_GB2312"/>
          <w:b w:val="0"/>
          <w:sz w:val="32"/>
          <w:lang w:eastAsia="zh-CN"/>
        </w:rPr>
        <w:t>固定资产</w:t>
      </w:r>
      <w:r>
        <w:rPr>
          <w:rFonts w:ascii="仿宋_GB2312" w:hAnsi="仿宋_GB2312" w:eastAsia="仿宋_GB2312"/>
          <w:b w:val="0"/>
          <w:sz w:val="32"/>
        </w:rPr>
        <w:t>的购置、使用、调拨、报废等方面进行监督和考核。具体附部门整体支出绩效自评表，项目支出绩效自评表。</w:t>
      </w:r>
    </w:p>
    <w:p w14:paraId="327C535B">
      <w:r>
        <w:br w:type="page"/>
      </w:r>
    </w:p>
    <w:p w14:paraId="6CE898E0"/>
    <w:tbl>
      <w:tblPr>
        <w:tblStyle w:val="9"/>
        <w:tblW w:w="9980" w:type="dxa"/>
        <w:tblInd w:w="0" w:type="dxa"/>
        <w:tblLayout w:type="autofit"/>
        <w:tblCellMar>
          <w:top w:w="0" w:type="dxa"/>
          <w:left w:w="108" w:type="dxa"/>
          <w:bottom w:w="0" w:type="dxa"/>
          <w:right w:w="108" w:type="dxa"/>
        </w:tblCellMar>
      </w:tblPr>
      <w:tblGrid>
        <w:gridCol w:w="696"/>
        <w:gridCol w:w="696"/>
        <w:gridCol w:w="698"/>
        <w:gridCol w:w="766"/>
        <w:gridCol w:w="768"/>
        <w:gridCol w:w="696"/>
        <w:gridCol w:w="768"/>
        <w:gridCol w:w="702"/>
        <w:gridCol w:w="696"/>
        <w:gridCol w:w="696"/>
        <w:gridCol w:w="698"/>
        <w:gridCol w:w="696"/>
        <w:gridCol w:w="594"/>
        <w:gridCol w:w="104"/>
        <w:gridCol w:w="706"/>
      </w:tblGrid>
      <w:tr w14:paraId="43CE9F9C">
        <w:tblPrEx>
          <w:tblCellMar>
            <w:top w:w="0" w:type="dxa"/>
            <w:left w:w="108" w:type="dxa"/>
            <w:bottom w:w="0" w:type="dxa"/>
            <w:right w:w="108" w:type="dxa"/>
          </w:tblCellMar>
        </w:tblPrEx>
        <w:trPr>
          <w:trHeight w:val="90" w:hRule="atLeast"/>
        </w:trPr>
        <w:tc>
          <w:tcPr>
            <w:tcW w:w="9980" w:type="dxa"/>
            <w:gridSpan w:val="15"/>
            <w:vAlign w:val="center"/>
          </w:tcPr>
          <w:p w14:paraId="75FCF381">
            <w:pPr>
              <w:jc w:val="center"/>
            </w:pPr>
            <w:r>
              <w:rPr>
                <w:rFonts w:ascii="宋体" w:hAnsi="宋体" w:eastAsia="宋体"/>
                <w:sz w:val="24"/>
              </w:rPr>
              <w:t>项目支出绩效自评表</w:t>
            </w:r>
          </w:p>
        </w:tc>
      </w:tr>
      <w:tr w14:paraId="762B90F1">
        <w:tblPrEx>
          <w:tblCellMar>
            <w:top w:w="0" w:type="dxa"/>
            <w:left w:w="108" w:type="dxa"/>
            <w:bottom w:w="0" w:type="dxa"/>
            <w:right w:w="108" w:type="dxa"/>
          </w:tblCellMar>
        </w:tblPrEx>
        <w:trPr>
          <w:trHeight w:val="90" w:hRule="atLeast"/>
        </w:trPr>
        <w:tc>
          <w:tcPr>
            <w:tcW w:w="9980" w:type="dxa"/>
            <w:gridSpan w:val="15"/>
            <w:vAlign w:val="center"/>
          </w:tcPr>
          <w:p w14:paraId="18498D7A">
            <w:pPr>
              <w:jc w:val="center"/>
            </w:pPr>
            <w:r>
              <w:rPr>
                <w:rFonts w:ascii="宋体" w:hAnsi="宋体" w:eastAsia="宋体"/>
                <w:sz w:val="24"/>
              </w:rPr>
              <w:t>(2024年度)</w:t>
            </w:r>
          </w:p>
        </w:tc>
      </w:tr>
      <w:tr w14:paraId="5F6A31AD">
        <w:tblPrEx>
          <w:tblCellMar>
            <w:top w:w="0" w:type="dxa"/>
            <w:left w:w="108" w:type="dxa"/>
            <w:bottom w:w="0" w:type="dxa"/>
            <w:right w:w="108" w:type="dxa"/>
          </w:tblCellMar>
        </w:tblPrEx>
        <w:trPr>
          <w:trHeight w:val="90" w:hRule="atLeast"/>
        </w:trPr>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4476C5B">
            <w:pPr>
              <w:jc w:val="center"/>
            </w:pPr>
            <w:r>
              <w:rPr>
                <w:rFonts w:ascii="宋体" w:hAnsi="宋体" w:eastAsia="宋体"/>
                <w:sz w:val="16"/>
              </w:rPr>
              <w:t>项目名称</w:t>
            </w:r>
          </w:p>
        </w:tc>
        <w:tc>
          <w:tcPr>
            <w:tcW w:w="928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E082196">
            <w:pPr>
              <w:jc w:val="center"/>
            </w:pPr>
            <w:r>
              <w:rPr>
                <w:rFonts w:ascii="宋体" w:hAnsi="宋体" w:eastAsia="宋体"/>
                <w:sz w:val="16"/>
              </w:rPr>
              <w:t>综合业务运维项目</w:t>
            </w:r>
          </w:p>
        </w:tc>
      </w:tr>
      <w:tr w14:paraId="494CF438">
        <w:tblPrEx>
          <w:tblCellMar>
            <w:top w:w="0" w:type="dxa"/>
            <w:left w:w="108" w:type="dxa"/>
            <w:bottom w:w="0" w:type="dxa"/>
            <w:right w:w="108" w:type="dxa"/>
          </w:tblCellMar>
        </w:tblPrEx>
        <w:trPr>
          <w:trHeight w:val="90" w:hRule="atLeast"/>
        </w:trPr>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4DB517C">
            <w:pPr>
              <w:jc w:val="center"/>
            </w:pPr>
            <w:r>
              <w:rPr>
                <w:rFonts w:ascii="宋体" w:hAnsi="宋体" w:eastAsia="宋体"/>
                <w:sz w:val="16"/>
              </w:rPr>
              <w:t>主管部门</w:t>
            </w:r>
          </w:p>
        </w:tc>
        <w:tc>
          <w:tcPr>
            <w:tcW w:w="509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D74CBD">
            <w:pPr>
              <w:jc w:val="center"/>
            </w:pPr>
            <w:r>
              <w:rPr>
                <w:rFonts w:ascii="宋体" w:hAnsi="宋体" w:eastAsia="宋体"/>
                <w:sz w:val="16"/>
              </w:rPr>
              <w:t>新疆维吾尔自治区喀什地区塔西南公安局</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CB53387">
            <w:pPr>
              <w:jc w:val="center"/>
            </w:pPr>
            <w:r>
              <w:rPr>
                <w:rFonts w:ascii="宋体" w:hAnsi="宋体" w:eastAsia="宋体"/>
                <w:sz w:val="16"/>
              </w:rPr>
              <w:t>实施单位</w:t>
            </w:r>
          </w:p>
        </w:tc>
        <w:tc>
          <w:tcPr>
            <w:tcW w:w="349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AA458E">
            <w:pPr>
              <w:jc w:val="center"/>
            </w:pPr>
            <w:r>
              <w:rPr>
                <w:rFonts w:ascii="宋体" w:hAnsi="宋体" w:eastAsia="宋体"/>
                <w:sz w:val="16"/>
              </w:rPr>
              <w:t>新疆维吾尔自治区喀什地区塔西南公安局</w:t>
            </w:r>
          </w:p>
        </w:tc>
      </w:tr>
      <w:tr w14:paraId="07DF6BBF">
        <w:tblPrEx>
          <w:tblCellMar>
            <w:top w:w="0" w:type="dxa"/>
            <w:left w:w="108" w:type="dxa"/>
            <w:bottom w:w="0" w:type="dxa"/>
            <w:right w:w="108" w:type="dxa"/>
          </w:tblCellMar>
        </w:tblPrEx>
        <w:trPr>
          <w:trHeight w:val="90" w:hRule="atLeast"/>
        </w:trPr>
        <w:tc>
          <w:tcPr>
            <w:tcW w:w="6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20D129">
            <w:pPr>
              <w:jc w:val="center"/>
            </w:pPr>
            <w:r>
              <w:rPr>
                <w:rFonts w:ascii="宋体" w:hAnsi="宋体" w:eastAsia="宋体"/>
                <w:sz w:val="16"/>
              </w:rPr>
              <w:t>项目资金 （万元）</w:t>
            </w:r>
          </w:p>
        </w:tc>
        <w:tc>
          <w:tcPr>
            <w:tcW w:w="13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88691">
            <w:pPr>
              <w:jc w:val="center"/>
            </w:pPr>
          </w:p>
        </w:tc>
        <w:tc>
          <w:tcPr>
            <w:tcW w:w="15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8EE81">
            <w:pPr>
              <w:jc w:val="center"/>
            </w:pPr>
            <w:r>
              <w:rPr>
                <w:rFonts w:ascii="宋体" w:hAnsi="宋体" w:eastAsia="宋体"/>
                <w:sz w:val="16"/>
              </w:rPr>
              <w:t>年初预算数</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2B9C2">
            <w:pPr>
              <w:jc w:val="center"/>
            </w:pPr>
            <w:r>
              <w:rPr>
                <w:rFonts w:ascii="宋体" w:hAnsi="宋体" w:eastAsia="宋体"/>
                <w:sz w:val="16"/>
              </w:rPr>
              <w:t>全年预算数</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65877">
            <w:pPr>
              <w:jc w:val="center"/>
            </w:pPr>
            <w:r>
              <w:rPr>
                <w:rFonts w:ascii="宋体" w:hAnsi="宋体" w:eastAsia="宋体"/>
                <w:sz w:val="16"/>
              </w:rPr>
              <w:t>全年执行数</w:t>
            </w:r>
          </w:p>
        </w:tc>
        <w:tc>
          <w:tcPr>
            <w:tcW w:w="13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C3454">
            <w:pPr>
              <w:jc w:val="center"/>
            </w:pPr>
            <w:r>
              <w:rPr>
                <w:rFonts w:ascii="宋体" w:hAnsi="宋体" w:eastAsia="宋体"/>
                <w:sz w:val="16"/>
              </w:rPr>
              <w:t>分值</w:t>
            </w:r>
          </w:p>
        </w:tc>
        <w:tc>
          <w:tcPr>
            <w:tcW w:w="139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FBE6A9">
            <w:pPr>
              <w:jc w:val="center"/>
            </w:pPr>
            <w:r>
              <w:rPr>
                <w:rFonts w:ascii="宋体" w:hAnsi="宋体" w:eastAsia="宋体"/>
                <w:sz w:val="16"/>
              </w:rPr>
              <w:t>执行率</w:t>
            </w:r>
          </w:p>
        </w:tc>
        <w:tc>
          <w:tcPr>
            <w:tcW w:w="706" w:type="dxa"/>
            <w:tcBorders>
              <w:top w:val="single" w:color="auto" w:sz="10" w:space="0"/>
              <w:left w:val="single" w:color="auto" w:sz="10" w:space="0"/>
              <w:bottom w:val="single" w:color="auto" w:sz="10" w:space="0"/>
              <w:right w:val="single" w:color="auto" w:sz="10" w:space="0"/>
              <w:insideV w:val="single" w:sz="10" w:space="0"/>
            </w:tcBorders>
            <w:vAlign w:val="center"/>
          </w:tcPr>
          <w:p w14:paraId="44ABE503">
            <w:pPr>
              <w:jc w:val="center"/>
            </w:pPr>
            <w:r>
              <w:rPr>
                <w:rFonts w:ascii="宋体" w:hAnsi="宋体" w:eastAsia="宋体"/>
                <w:sz w:val="16"/>
              </w:rPr>
              <w:t>得分</w:t>
            </w:r>
          </w:p>
        </w:tc>
      </w:tr>
      <w:tr w14:paraId="7984F7B7">
        <w:tblPrEx>
          <w:tblCellMar>
            <w:top w:w="0" w:type="dxa"/>
            <w:left w:w="108" w:type="dxa"/>
            <w:bottom w:w="0" w:type="dxa"/>
            <w:right w:w="108" w:type="dxa"/>
          </w:tblCellMar>
        </w:tblPrEx>
        <w:trPr>
          <w:trHeight w:val="90" w:hRule="atLeast"/>
        </w:trPr>
        <w:tc>
          <w:tcPr>
            <w:tcW w:w="696" w:type="dxa"/>
            <w:vMerge w:val="continue"/>
            <w:tcBorders>
              <w:top w:val="single" w:color="auto" w:sz="10" w:space="0"/>
              <w:left w:val="single" w:color="auto" w:sz="10" w:space="0"/>
              <w:bottom w:val="single" w:color="auto" w:sz="10" w:space="0"/>
              <w:right w:val="single" w:color="auto" w:sz="10" w:space="0"/>
              <w:insideV w:val="single" w:sz="10" w:space="0"/>
            </w:tcBorders>
          </w:tcPr>
          <w:p w14:paraId="26B2A816"/>
        </w:tc>
        <w:tc>
          <w:tcPr>
            <w:tcW w:w="13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F00E0">
            <w:pPr>
              <w:jc w:val="center"/>
            </w:pPr>
            <w:r>
              <w:rPr>
                <w:rFonts w:ascii="宋体" w:hAnsi="宋体" w:eastAsia="宋体"/>
                <w:sz w:val="16"/>
              </w:rPr>
              <w:t>年度资金总额</w:t>
            </w:r>
          </w:p>
        </w:tc>
        <w:tc>
          <w:tcPr>
            <w:tcW w:w="15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61C9C">
            <w:pPr>
              <w:jc w:val="center"/>
            </w:pPr>
            <w:r>
              <w:rPr>
                <w:rFonts w:ascii="宋体" w:hAnsi="宋体" w:eastAsia="宋体"/>
                <w:sz w:val="16"/>
              </w:rPr>
              <w:t>117.27</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CCD46">
            <w:pPr>
              <w:jc w:val="center"/>
            </w:pPr>
            <w:r>
              <w:rPr>
                <w:rFonts w:ascii="宋体" w:hAnsi="宋体" w:eastAsia="宋体"/>
                <w:sz w:val="16"/>
              </w:rPr>
              <w:t>117.27</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E8EF0">
            <w:pPr>
              <w:jc w:val="center"/>
            </w:pPr>
            <w:r>
              <w:rPr>
                <w:rFonts w:ascii="宋体" w:hAnsi="宋体" w:eastAsia="宋体"/>
                <w:sz w:val="16"/>
              </w:rPr>
              <w:t>117.27</w:t>
            </w:r>
          </w:p>
        </w:tc>
        <w:tc>
          <w:tcPr>
            <w:tcW w:w="13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D3518">
            <w:pPr>
              <w:jc w:val="center"/>
            </w:pPr>
            <w:r>
              <w:rPr>
                <w:rFonts w:ascii="宋体" w:hAnsi="宋体" w:eastAsia="宋体"/>
                <w:sz w:val="16"/>
              </w:rPr>
              <w:t>10</w:t>
            </w:r>
          </w:p>
        </w:tc>
        <w:tc>
          <w:tcPr>
            <w:tcW w:w="139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A7D3BF">
            <w:pPr>
              <w:jc w:val="center"/>
            </w:pPr>
            <w:r>
              <w:rPr>
                <w:rFonts w:ascii="宋体" w:hAnsi="宋体" w:eastAsia="宋体"/>
                <w:sz w:val="16"/>
              </w:rPr>
              <w:t>100.0%</w:t>
            </w:r>
          </w:p>
        </w:tc>
        <w:tc>
          <w:tcPr>
            <w:tcW w:w="706" w:type="dxa"/>
            <w:tcBorders>
              <w:top w:val="single" w:color="auto" w:sz="10" w:space="0"/>
              <w:left w:val="single" w:color="auto" w:sz="10" w:space="0"/>
              <w:bottom w:val="single" w:color="auto" w:sz="10" w:space="0"/>
              <w:right w:val="single" w:color="auto" w:sz="10" w:space="0"/>
              <w:insideV w:val="single" w:sz="10" w:space="0"/>
            </w:tcBorders>
            <w:vAlign w:val="center"/>
          </w:tcPr>
          <w:p w14:paraId="656AB318">
            <w:pPr>
              <w:jc w:val="center"/>
            </w:pPr>
            <w:r>
              <w:rPr>
                <w:rFonts w:ascii="宋体" w:hAnsi="宋体" w:eastAsia="宋体"/>
                <w:sz w:val="16"/>
              </w:rPr>
              <w:t>10.00分</w:t>
            </w:r>
          </w:p>
        </w:tc>
      </w:tr>
      <w:tr w14:paraId="21D6961C">
        <w:tblPrEx>
          <w:tblCellMar>
            <w:top w:w="0" w:type="dxa"/>
            <w:left w:w="108" w:type="dxa"/>
            <w:bottom w:w="0" w:type="dxa"/>
            <w:right w:w="108" w:type="dxa"/>
          </w:tblCellMar>
        </w:tblPrEx>
        <w:trPr>
          <w:trHeight w:val="90" w:hRule="atLeast"/>
        </w:trPr>
        <w:tc>
          <w:tcPr>
            <w:tcW w:w="696" w:type="dxa"/>
            <w:vMerge w:val="continue"/>
            <w:tcBorders>
              <w:top w:val="single" w:color="auto" w:sz="10" w:space="0"/>
              <w:left w:val="single" w:color="auto" w:sz="10" w:space="0"/>
              <w:bottom w:val="single" w:color="auto" w:sz="10" w:space="0"/>
              <w:right w:val="single" w:color="auto" w:sz="10" w:space="0"/>
              <w:insideV w:val="single" w:sz="10" w:space="0"/>
            </w:tcBorders>
          </w:tcPr>
          <w:p w14:paraId="2FA157BF"/>
        </w:tc>
        <w:tc>
          <w:tcPr>
            <w:tcW w:w="13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CAE8C">
            <w:pPr>
              <w:jc w:val="center"/>
            </w:pPr>
            <w:r>
              <w:rPr>
                <w:rFonts w:ascii="宋体" w:hAnsi="宋体" w:eastAsia="宋体"/>
                <w:sz w:val="16"/>
              </w:rPr>
              <w:t>其中：当年财政拨款</w:t>
            </w:r>
          </w:p>
        </w:tc>
        <w:tc>
          <w:tcPr>
            <w:tcW w:w="15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CE866">
            <w:pPr>
              <w:jc w:val="center"/>
            </w:pPr>
            <w:r>
              <w:rPr>
                <w:rFonts w:ascii="宋体" w:hAnsi="宋体" w:eastAsia="宋体"/>
                <w:sz w:val="16"/>
              </w:rPr>
              <w:t>117.27</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AAFEC">
            <w:pPr>
              <w:jc w:val="center"/>
            </w:pPr>
            <w:r>
              <w:rPr>
                <w:rFonts w:ascii="宋体" w:hAnsi="宋体" w:eastAsia="宋体"/>
                <w:sz w:val="16"/>
              </w:rPr>
              <w:t>117.27</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1ECA2">
            <w:pPr>
              <w:jc w:val="center"/>
            </w:pPr>
            <w:r>
              <w:rPr>
                <w:rFonts w:ascii="宋体" w:hAnsi="宋体" w:eastAsia="宋体"/>
                <w:sz w:val="16"/>
              </w:rPr>
              <w:t>117.27</w:t>
            </w:r>
          </w:p>
        </w:tc>
        <w:tc>
          <w:tcPr>
            <w:tcW w:w="13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1B7DD">
            <w:pPr>
              <w:jc w:val="center"/>
            </w:pPr>
            <w:r>
              <w:rPr>
                <w:rFonts w:ascii="宋体" w:hAnsi="宋体" w:eastAsia="宋体"/>
                <w:sz w:val="16"/>
              </w:rPr>
              <w:t>—</w:t>
            </w:r>
          </w:p>
        </w:tc>
        <w:tc>
          <w:tcPr>
            <w:tcW w:w="139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49D7CA">
            <w:pPr>
              <w:jc w:val="center"/>
            </w:pPr>
            <w:r>
              <w:rPr>
                <w:rFonts w:ascii="宋体" w:hAnsi="宋体" w:eastAsia="宋体"/>
                <w:sz w:val="16"/>
              </w:rPr>
              <w:t>—</w:t>
            </w:r>
          </w:p>
        </w:tc>
        <w:tc>
          <w:tcPr>
            <w:tcW w:w="706" w:type="dxa"/>
            <w:tcBorders>
              <w:top w:val="single" w:color="auto" w:sz="10" w:space="0"/>
              <w:left w:val="single" w:color="auto" w:sz="10" w:space="0"/>
              <w:bottom w:val="single" w:color="auto" w:sz="10" w:space="0"/>
              <w:right w:val="single" w:color="auto" w:sz="10" w:space="0"/>
              <w:insideV w:val="single" w:sz="10" w:space="0"/>
            </w:tcBorders>
            <w:vAlign w:val="center"/>
          </w:tcPr>
          <w:p w14:paraId="7238B188">
            <w:pPr>
              <w:jc w:val="center"/>
            </w:pPr>
            <w:r>
              <w:rPr>
                <w:rFonts w:ascii="宋体" w:hAnsi="宋体" w:eastAsia="宋体"/>
                <w:sz w:val="16"/>
              </w:rPr>
              <w:t>—</w:t>
            </w:r>
          </w:p>
        </w:tc>
      </w:tr>
      <w:tr w14:paraId="3C3C376B">
        <w:tblPrEx>
          <w:tblCellMar>
            <w:top w:w="0" w:type="dxa"/>
            <w:left w:w="108" w:type="dxa"/>
            <w:bottom w:w="0" w:type="dxa"/>
            <w:right w:w="108" w:type="dxa"/>
          </w:tblCellMar>
        </w:tblPrEx>
        <w:trPr>
          <w:trHeight w:val="90" w:hRule="atLeast"/>
        </w:trPr>
        <w:tc>
          <w:tcPr>
            <w:tcW w:w="696" w:type="dxa"/>
            <w:vMerge w:val="continue"/>
            <w:tcBorders>
              <w:top w:val="single" w:color="auto" w:sz="10" w:space="0"/>
              <w:left w:val="single" w:color="auto" w:sz="10" w:space="0"/>
              <w:bottom w:val="single" w:color="auto" w:sz="10" w:space="0"/>
              <w:right w:val="single" w:color="auto" w:sz="10" w:space="0"/>
              <w:insideV w:val="single" w:sz="10" w:space="0"/>
            </w:tcBorders>
          </w:tcPr>
          <w:p w14:paraId="53364797"/>
        </w:tc>
        <w:tc>
          <w:tcPr>
            <w:tcW w:w="13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9830B">
            <w:pPr>
              <w:jc w:val="center"/>
            </w:pPr>
            <w:r>
              <w:rPr>
                <w:rFonts w:ascii="宋体" w:hAnsi="宋体" w:eastAsia="宋体"/>
                <w:sz w:val="16"/>
              </w:rPr>
              <w:t xml:space="preserve">  其他资金</w:t>
            </w:r>
          </w:p>
        </w:tc>
        <w:tc>
          <w:tcPr>
            <w:tcW w:w="15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7C910">
            <w:pPr>
              <w:jc w:val="center"/>
            </w:pPr>
            <w:r>
              <w:rPr>
                <w:rFonts w:ascii="宋体" w:hAnsi="宋体" w:eastAsia="宋体"/>
                <w:sz w:val="16"/>
              </w:rPr>
              <w:t>0.00</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332AD">
            <w:pPr>
              <w:jc w:val="center"/>
            </w:pPr>
            <w:r>
              <w:rPr>
                <w:rFonts w:ascii="宋体" w:hAnsi="宋体" w:eastAsia="宋体"/>
                <w:sz w:val="16"/>
              </w:rPr>
              <w:t>0.00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CB079">
            <w:pPr>
              <w:jc w:val="center"/>
            </w:pPr>
            <w:r>
              <w:rPr>
                <w:rFonts w:ascii="宋体" w:hAnsi="宋体" w:eastAsia="宋体"/>
                <w:sz w:val="16"/>
              </w:rPr>
              <w:t>0.00</w:t>
            </w:r>
          </w:p>
        </w:tc>
        <w:tc>
          <w:tcPr>
            <w:tcW w:w="13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FC8C4">
            <w:pPr>
              <w:jc w:val="center"/>
            </w:pPr>
            <w:r>
              <w:rPr>
                <w:rFonts w:ascii="宋体" w:hAnsi="宋体" w:eastAsia="宋体"/>
                <w:sz w:val="16"/>
              </w:rPr>
              <w:t>—</w:t>
            </w:r>
          </w:p>
        </w:tc>
        <w:tc>
          <w:tcPr>
            <w:tcW w:w="139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6E4A97">
            <w:pPr>
              <w:jc w:val="center"/>
            </w:pPr>
            <w:r>
              <w:rPr>
                <w:rFonts w:ascii="宋体" w:hAnsi="宋体" w:eastAsia="宋体"/>
                <w:sz w:val="16"/>
              </w:rPr>
              <w:t>—</w:t>
            </w:r>
          </w:p>
        </w:tc>
        <w:tc>
          <w:tcPr>
            <w:tcW w:w="706" w:type="dxa"/>
            <w:tcBorders>
              <w:top w:val="single" w:color="auto" w:sz="10" w:space="0"/>
              <w:left w:val="single" w:color="auto" w:sz="10" w:space="0"/>
              <w:bottom w:val="single" w:color="auto" w:sz="10" w:space="0"/>
              <w:right w:val="single" w:color="auto" w:sz="10" w:space="0"/>
              <w:insideV w:val="single" w:sz="10" w:space="0"/>
            </w:tcBorders>
            <w:vAlign w:val="center"/>
          </w:tcPr>
          <w:p w14:paraId="1DF04CE7">
            <w:pPr>
              <w:jc w:val="center"/>
            </w:pPr>
            <w:r>
              <w:rPr>
                <w:rFonts w:ascii="宋体" w:hAnsi="宋体" w:eastAsia="宋体"/>
                <w:sz w:val="16"/>
              </w:rPr>
              <w:t>—</w:t>
            </w:r>
          </w:p>
        </w:tc>
      </w:tr>
      <w:tr w14:paraId="00B52CB0">
        <w:tblPrEx>
          <w:tblCellMar>
            <w:top w:w="0" w:type="dxa"/>
            <w:left w:w="108" w:type="dxa"/>
            <w:bottom w:w="0" w:type="dxa"/>
            <w:right w:w="108" w:type="dxa"/>
          </w:tblCellMar>
        </w:tblPrEx>
        <w:trPr>
          <w:trHeight w:val="90" w:hRule="atLeast"/>
        </w:trPr>
        <w:tc>
          <w:tcPr>
            <w:tcW w:w="6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4F406C">
            <w:pPr>
              <w:jc w:val="center"/>
            </w:pPr>
            <w:r>
              <w:rPr>
                <w:rFonts w:ascii="宋体" w:hAnsi="宋体" w:eastAsia="宋体"/>
                <w:sz w:val="16"/>
              </w:rPr>
              <w:t>三、目标完成情况</w:t>
            </w:r>
          </w:p>
        </w:tc>
        <w:tc>
          <w:tcPr>
            <w:tcW w:w="509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0A679A">
            <w:pPr>
              <w:jc w:val="center"/>
            </w:pPr>
            <w:r>
              <w:rPr>
                <w:rFonts w:ascii="宋体" w:hAnsi="宋体" w:eastAsia="宋体"/>
                <w:sz w:val="16"/>
              </w:rPr>
              <w:t>预期目标</w:t>
            </w:r>
          </w:p>
        </w:tc>
        <w:tc>
          <w:tcPr>
            <w:tcW w:w="419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6ED251">
            <w:pPr>
              <w:jc w:val="center"/>
            </w:pPr>
            <w:r>
              <w:rPr>
                <w:rFonts w:ascii="宋体" w:hAnsi="宋体" w:eastAsia="宋体"/>
                <w:sz w:val="16"/>
              </w:rPr>
              <w:t>实际完成情况</w:t>
            </w:r>
          </w:p>
        </w:tc>
      </w:tr>
      <w:tr w14:paraId="5222098F">
        <w:tblPrEx>
          <w:tblCellMar>
            <w:top w:w="0" w:type="dxa"/>
            <w:left w:w="108" w:type="dxa"/>
            <w:bottom w:w="0" w:type="dxa"/>
            <w:right w:w="108" w:type="dxa"/>
          </w:tblCellMar>
        </w:tblPrEx>
        <w:trPr>
          <w:trHeight w:val="90" w:hRule="atLeast"/>
        </w:trPr>
        <w:tc>
          <w:tcPr>
            <w:tcW w:w="696" w:type="dxa"/>
            <w:vMerge w:val="continue"/>
            <w:tcBorders>
              <w:top w:val="single" w:color="auto" w:sz="10" w:space="0"/>
              <w:left w:val="single" w:color="auto" w:sz="10" w:space="0"/>
              <w:bottom w:val="single" w:color="auto" w:sz="10" w:space="0"/>
              <w:right w:val="single" w:color="auto" w:sz="10" w:space="0"/>
              <w:insideV w:val="single" w:sz="10" w:space="0"/>
            </w:tcBorders>
          </w:tcPr>
          <w:p w14:paraId="231D964D"/>
        </w:tc>
        <w:tc>
          <w:tcPr>
            <w:tcW w:w="509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A85F21">
            <w:pPr>
              <w:jc w:val="both"/>
            </w:pPr>
            <w:r>
              <w:rPr>
                <w:rFonts w:ascii="宋体" w:hAnsi="宋体" w:eastAsia="宋体"/>
                <w:sz w:val="16"/>
              </w:rPr>
              <w:t>本项目总金额为117.27万元，主要分成四部分，第一部分为移交人员补助64.068万元，享受补助人数33人，共发放12次，第二部分为维修维护费用35万元，第三部分为被装费用15万元，第四部分为印刷费用3.202万元，其中维修维护费用以2024年单位实际维修情况支出。通过该项目执行对中央国企改革决策部署，对移交费用差额进行补助，按照项目目标，通过对移交差额补助执行，解决民警后顾之忧，促进家庭和睦、公安工作正常开展，提升民警工作积极性，全身心投入公安工作，增加服务辖区群众的能力，确保油气井安全，为塔西南提供优质的政府服务能力。</w:t>
            </w:r>
          </w:p>
        </w:tc>
        <w:tc>
          <w:tcPr>
            <w:tcW w:w="419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18B9D7">
            <w:pPr>
              <w:jc w:val="both"/>
            </w:pPr>
            <w:r>
              <w:rPr>
                <w:rFonts w:ascii="宋体" w:hAnsi="宋体" w:eastAsia="宋体"/>
                <w:sz w:val="16"/>
              </w:rPr>
              <w:t xml:space="preserve">  本项目总金额为117.27万元，主要分成四部分；第一部分为移交人员补助64.068万元，享受补助人数33人，共发放12次,全部发放完毕.对移交差额进行补助，执行对中央国企改革决策部署，对移交差额进行补助，按照项目目标，通过对移交差额补助执行，解决民警后顾之忧，促进家庭和睦，保证队伍稳固，提升民警工作积极性，全身心投入公安工作，增加服务辖区群众的能力，确保油气井安全，为塔西南提供优质的政府服务能力，确保辖区社会稳固，长治久安。通过对33名移交人员发放差额补助，有效改善生活、解决实际困难。</w:t>
            </w:r>
            <w:r>
              <w:rPr>
                <w:rFonts w:ascii="宋体" w:hAnsi="宋体" w:eastAsia="宋体"/>
                <w:sz w:val="16"/>
              </w:rPr>
              <w:br w:type="textWrapping"/>
            </w:r>
            <w:r>
              <w:rPr>
                <w:rFonts w:ascii="宋体" w:hAnsi="宋体" w:eastAsia="宋体"/>
                <w:sz w:val="16"/>
              </w:rPr>
              <w:t xml:space="preserve">  第二部分为维修维护费用35万元，第三部分为被装费用15万元，第四部分为印刷费用3.202万元，通过该项目执行,保障公安工作正常开展，提升基层公安机关经费保证水平，提高民警工作积极性，全身心投入公安工作，增加服务辖区群众的能力，确保油气井安全，为塔西南提供优质的政府服务能力。</w:t>
            </w:r>
          </w:p>
        </w:tc>
      </w:tr>
      <w:tr w14:paraId="5EF2CEB6">
        <w:tblPrEx>
          <w:tblCellMar>
            <w:top w:w="0" w:type="dxa"/>
            <w:left w:w="108" w:type="dxa"/>
            <w:bottom w:w="0" w:type="dxa"/>
            <w:right w:w="108" w:type="dxa"/>
          </w:tblCellMar>
        </w:tblPrEx>
        <w:trPr>
          <w:trHeight w:val="90" w:hRule="atLeast"/>
        </w:trPr>
        <w:tc>
          <w:tcPr>
            <w:tcW w:w="696" w:type="dxa"/>
            <w:tcBorders>
              <w:top w:val="single" w:color="auto" w:sz="10" w:space="0"/>
              <w:left w:val="single" w:color="auto" w:sz="10" w:space="0"/>
              <w:bottom w:val="single" w:color="auto" w:sz="10" w:space="0"/>
              <w:right w:val="single" w:color="auto" w:sz="10" w:space="0"/>
              <w:insideV w:val="single" w:sz="10" w:space="0"/>
            </w:tcBorders>
          </w:tcPr>
          <w:p w14:paraId="75F5A996"/>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2EC9DE8">
            <w:pPr>
              <w:jc w:val="center"/>
            </w:pPr>
            <w:r>
              <w:rPr>
                <w:rFonts w:ascii="宋体" w:hAnsi="宋体" w:eastAsia="宋体"/>
                <w:sz w:val="16"/>
              </w:rPr>
              <w:t>一级指标</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789C9D74">
            <w:pPr>
              <w:jc w:val="center"/>
            </w:pPr>
            <w:r>
              <w:rPr>
                <w:rFonts w:ascii="宋体" w:hAnsi="宋体" w:eastAsia="宋体"/>
                <w:sz w:val="16"/>
              </w:rPr>
              <w:t>二级指标</w:t>
            </w:r>
          </w:p>
        </w:tc>
        <w:tc>
          <w:tcPr>
            <w:tcW w:w="766" w:type="dxa"/>
            <w:tcBorders>
              <w:top w:val="single" w:color="auto" w:sz="10" w:space="0"/>
              <w:left w:val="single" w:color="auto" w:sz="10" w:space="0"/>
              <w:bottom w:val="single" w:color="auto" w:sz="10" w:space="0"/>
              <w:right w:val="single" w:color="auto" w:sz="10" w:space="0"/>
              <w:insideV w:val="single" w:sz="10" w:space="0"/>
            </w:tcBorders>
            <w:vAlign w:val="center"/>
          </w:tcPr>
          <w:p w14:paraId="31237260">
            <w:pPr>
              <w:jc w:val="center"/>
            </w:pPr>
            <w:r>
              <w:rPr>
                <w:rFonts w:ascii="宋体" w:hAnsi="宋体" w:eastAsia="宋体"/>
                <w:sz w:val="16"/>
              </w:rPr>
              <w:t>三级指标</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73053461">
            <w:pPr>
              <w:jc w:val="center"/>
            </w:pPr>
            <w:r>
              <w:rPr>
                <w:rFonts w:ascii="宋体" w:hAnsi="宋体" w:eastAsia="宋体"/>
                <w:sz w:val="16"/>
              </w:rPr>
              <w:t>年度指标值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53E6B2">
            <w:pPr>
              <w:jc w:val="center"/>
            </w:pPr>
            <w:r>
              <w:rPr>
                <w:rFonts w:ascii="宋体" w:hAnsi="宋体" w:eastAsia="宋体"/>
                <w:sz w:val="16"/>
              </w:rPr>
              <w:t>指标值设定依据</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32FA9578">
            <w:pPr>
              <w:jc w:val="center"/>
            </w:pPr>
            <w:r>
              <w:rPr>
                <w:rFonts w:ascii="宋体" w:hAnsi="宋体" w:eastAsia="宋体"/>
                <w:sz w:val="16"/>
              </w:rPr>
              <w:t>上年完成情况</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1CD2DBC0">
            <w:pPr>
              <w:jc w:val="center"/>
            </w:pPr>
            <w:r>
              <w:rPr>
                <w:rFonts w:ascii="宋体" w:hAnsi="宋体" w:eastAsia="宋体"/>
                <w:sz w:val="16"/>
              </w:rPr>
              <w:t>权重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956DFF">
            <w:pPr>
              <w:jc w:val="center"/>
            </w:pPr>
            <w:r>
              <w:rPr>
                <w:rFonts w:ascii="宋体" w:hAnsi="宋体" w:eastAsia="宋体"/>
                <w:sz w:val="16"/>
              </w:rPr>
              <w:t>赋分规则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03C88C">
            <w:pPr>
              <w:jc w:val="center"/>
            </w:pPr>
            <w:r>
              <w:rPr>
                <w:rFonts w:ascii="宋体" w:hAnsi="宋体" w:eastAsia="宋体"/>
                <w:sz w:val="16"/>
              </w:rPr>
              <w:t>佐证资料</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37F12E36">
            <w:pPr>
              <w:jc w:val="center"/>
            </w:pPr>
            <w:r>
              <w:rPr>
                <w:rFonts w:ascii="宋体" w:hAnsi="宋体" w:eastAsia="宋体"/>
                <w:sz w:val="16"/>
              </w:rPr>
              <w:t>实际完成值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50438F">
            <w:pPr>
              <w:jc w:val="center"/>
            </w:pPr>
            <w:r>
              <w:rPr>
                <w:rFonts w:ascii="宋体" w:hAnsi="宋体" w:eastAsia="宋体"/>
                <w:sz w:val="16"/>
              </w:rPr>
              <w:t>得分</w:t>
            </w:r>
          </w:p>
        </w:tc>
        <w:tc>
          <w:tcPr>
            <w:tcW w:w="140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88F3B6">
            <w:pPr>
              <w:jc w:val="center"/>
            </w:pPr>
            <w:r>
              <w:rPr>
                <w:rFonts w:ascii="宋体" w:hAnsi="宋体" w:eastAsia="宋体"/>
                <w:sz w:val="16"/>
              </w:rPr>
              <w:t>偏差原因分析及改进措施</w:t>
            </w:r>
          </w:p>
        </w:tc>
      </w:tr>
      <w:tr w14:paraId="127C304E">
        <w:tblPrEx>
          <w:tblCellMar>
            <w:top w:w="0" w:type="dxa"/>
            <w:left w:w="108" w:type="dxa"/>
            <w:bottom w:w="0" w:type="dxa"/>
            <w:right w:w="108" w:type="dxa"/>
          </w:tblCellMar>
        </w:tblPrEx>
        <w:trPr>
          <w:trHeight w:val="90" w:hRule="atLeast"/>
        </w:trPr>
        <w:tc>
          <w:tcPr>
            <w:tcW w:w="6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64F72B">
            <w:pPr>
              <w:jc w:val="center"/>
            </w:pPr>
            <w:r>
              <w:rPr>
                <w:rFonts w:ascii="宋体" w:hAnsi="宋体" w:eastAsia="宋体"/>
                <w:sz w:val="16"/>
              </w:rPr>
              <w:t>年度绩效指标完成情况</w:t>
            </w:r>
          </w:p>
        </w:tc>
        <w:tc>
          <w:tcPr>
            <w:tcW w:w="6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E4BDE">
            <w:pPr>
              <w:jc w:val="center"/>
            </w:pPr>
            <w:r>
              <w:rPr>
                <w:rFonts w:ascii="宋体" w:hAnsi="宋体" w:eastAsia="宋体"/>
                <w:sz w:val="16"/>
              </w:rPr>
              <w:t>产出指标</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425A42CF">
            <w:pPr>
              <w:jc w:val="center"/>
            </w:pPr>
            <w:r>
              <w:rPr>
                <w:rFonts w:ascii="宋体" w:hAnsi="宋体" w:eastAsia="宋体"/>
                <w:sz w:val="16"/>
              </w:rPr>
              <w:t>数量指标</w:t>
            </w:r>
          </w:p>
        </w:tc>
        <w:tc>
          <w:tcPr>
            <w:tcW w:w="766" w:type="dxa"/>
            <w:tcBorders>
              <w:top w:val="single" w:color="auto" w:sz="10" w:space="0"/>
              <w:left w:val="single" w:color="auto" w:sz="10" w:space="0"/>
              <w:bottom w:val="single" w:color="auto" w:sz="10" w:space="0"/>
              <w:right w:val="single" w:color="auto" w:sz="10" w:space="0"/>
              <w:insideV w:val="single" w:sz="10" w:space="0"/>
            </w:tcBorders>
            <w:vAlign w:val="center"/>
          </w:tcPr>
          <w:p w14:paraId="729AF589">
            <w:pPr>
              <w:jc w:val="center"/>
            </w:pPr>
            <w:r>
              <w:rPr>
                <w:rFonts w:ascii="宋体" w:hAnsi="宋体" w:eastAsia="宋体"/>
                <w:sz w:val="16"/>
              </w:rPr>
              <w:t>补助人数（人）</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78E44715">
            <w:pPr>
              <w:jc w:val="center"/>
            </w:pPr>
            <w:r>
              <w:rPr>
                <w:rFonts w:ascii="宋体" w:hAnsi="宋体" w:eastAsia="宋体"/>
                <w:sz w:val="16"/>
              </w:rPr>
              <w:t>=33人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2782A59">
            <w:pPr>
              <w:jc w:val="center"/>
            </w:pPr>
            <w:r>
              <w:rPr>
                <w:rFonts w:ascii="宋体" w:hAnsi="宋体" w:eastAsia="宋体"/>
                <w:sz w:val="16"/>
              </w:rPr>
              <w:t>历史标准</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47597E80">
            <w:pPr>
              <w:jc w:val="center"/>
            </w:pPr>
            <w:r>
              <w:rPr>
                <w:rFonts w:ascii="宋体" w:hAnsi="宋体" w:eastAsia="宋体"/>
                <w:sz w:val="16"/>
              </w:rPr>
              <w:t>=36人</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0E21D438">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5713396">
            <w:pPr>
              <w:jc w:val="center"/>
            </w:pPr>
            <w:r>
              <w:rPr>
                <w:rFonts w:ascii="宋体" w:hAnsi="宋体" w:eastAsia="宋体"/>
                <w:sz w:val="16"/>
              </w:rPr>
              <w:t>直接赋分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A1775F2">
            <w:pPr>
              <w:jc w:val="center"/>
            </w:pPr>
            <w:r>
              <w:rPr>
                <w:rFonts w:ascii="宋体" w:hAnsi="宋体" w:eastAsia="宋体"/>
                <w:sz w:val="16"/>
              </w:rPr>
              <w:t>说明材料</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22555C86">
            <w:pPr>
              <w:jc w:val="center"/>
            </w:pPr>
            <w:r>
              <w:rPr>
                <w:rFonts w:ascii="宋体" w:hAnsi="宋体" w:eastAsia="宋体"/>
                <w:sz w:val="16"/>
              </w:rPr>
              <w:t>=33人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7491792">
            <w:pPr>
              <w:jc w:val="center"/>
            </w:pPr>
            <w:r>
              <w:rPr>
                <w:rFonts w:ascii="宋体" w:hAnsi="宋体" w:eastAsia="宋体"/>
                <w:sz w:val="16"/>
              </w:rPr>
              <w:t>10</w:t>
            </w:r>
          </w:p>
        </w:tc>
        <w:tc>
          <w:tcPr>
            <w:tcW w:w="140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E2BA35">
            <w:pPr>
              <w:jc w:val="center"/>
            </w:pPr>
          </w:p>
        </w:tc>
      </w:tr>
      <w:tr w14:paraId="68383C7C">
        <w:tblPrEx>
          <w:tblCellMar>
            <w:top w:w="0" w:type="dxa"/>
            <w:left w:w="108" w:type="dxa"/>
            <w:bottom w:w="0" w:type="dxa"/>
            <w:right w:w="108" w:type="dxa"/>
          </w:tblCellMar>
        </w:tblPrEx>
        <w:trPr>
          <w:trHeight w:val="90" w:hRule="atLeast"/>
        </w:trPr>
        <w:tc>
          <w:tcPr>
            <w:tcW w:w="696" w:type="dxa"/>
            <w:vMerge w:val="continue"/>
            <w:tcBorders>
              <w:top w:val="single" w:color="auto" w:sz="10" w:space="0"/>
              <w:left w:val="single" w:color="auto" w:sz="10" w:space="0"/>
              <w:bottom w:val="single" w:color="auto" w:sz="10" w:space="0"/>
              <w:right w:val="single" w:color="auto" w:sz="10" w:space="0"/>
              <w:insideV w:val="single" w:sz="10" w:space="0"/>
            </w:tcBorders>
          </w:tcPr>
          <w:p w14:paraId="7E78AF54"/>
        </w:tc>
        <w:tc>
          <w:tcPr>
            <w:tcW w:w="696" w:type="dxa"/>
            <w:vMerge w:val="continue"/>
            <w:tcBorders>
              <w:top w:val="single" w:color="auto" w:sz="10" w:space="0"/>
              <w:left w:val="single" w:color="auto" w:sz="10" w:space="0"/>
              <w:bottom w:val="single" w:color="auto" w:sz="10" w:space="0"/>
              <w:right w:val="single" w:color="auto" w:sz="10" w:space="0"/>
              <w:insideV w:val="single" w:sz="10" w:space="0"/>
            </w:tcBorders>
          </w:tcPr>
          <w:p w14:paraId="6812A3F9"/>
        </w:tc>
        <w:tc>
          <w:tcPr>
            <w:tcW w:w="6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B0524">
            <w:pPr>
              <w:jc w:val="center"/>
            </w:pPr>
            <w:r>
              <w:rPr>
                <w:rFonts w:ascii="宋体" w:hAnsi="宋体" w:eastAsia="宋体"/>
                <w:sz w:val="16"/>
              </w:rPr>
              <w:t>质量指标</w:t>
            </w:r>
          </w:p>
        </w:tc>
        <w:tc>
          <w:tcPr>
            <w:tcW w:w="766" w:type="dxa"/>
            <w:tcBorders>
              <w:top w:val="single" w:color="auto" w:sz="10" w:space="0"/>
              <w:left w:val="single" w:color="auto" w:sz="10" w:space="0"/>
              <w:bottom w:val="single" w:color="auto" w:sz="10" w:space="0"/>
              <w:right w:val="single" w:color="auto" w:sz="10" w:space="0"/>
              <w:insideV w:val="single" w:sz="10" w:space="0"/>
            </w:tcBorders>
            <w:vAlign w:val="center"/>
          </w:tcPr>
          <w:p w14:paraId="376B058A">
            <w:pPr>
              <w:jc w:val="center"/>
            </w:pPr>
            <w:r>
              <w:rPr>
                <w:rFonts w:ascii="宋体" w:hAnsi="宋体" w:eastAsia="宋体"/>
                <w:sz w:val="16"/>
              </w:rPr>
              <w:t>补助企业覆盖率（%）</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7FA6437A">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686143">
            <w:pPr>
              <w:jc w:val="center"/>
            </w:pPr>
            <w:r>
              <w:rPr>
                <w:rFonts w:ascii="宋体" w:hAnsi="宋体" w:eastAsia="宋体"/>
                <w:sz w:val="16"/>
              </w:rPr>
              <w:t>计划标准</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487FBBF9">
            <w:pPr>
              <w:jc w:val="center"/>
            </w:pPr>
            <w:r>
              <w:rPr>
                <w:rFonts w:ascii="宋体" w:hAnsi="宋体" w:eastAsia="宋体"/>
                <w:sz w:val="16"/>
              </w:rPr>
              <w:t>=100%</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0F503118">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BDDC66A">
            <w:pPr>
              <w:jc w:val="center"/>
            </w:pPr>
            <w:r>
              <w:rPr>
                <w:rFonts w:ascii="宋体" w:hAnsi="宋体" w:eastAsia="宋体"/>
                <w:sz w:val="16"/>
              </w:rPr>
              <w:t>直接赋分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95AD2CA">
            <w:pPr>
              <w:jc w:val="center"/>
            </w:pPr>
            <w:r>
              <w:rPr>
                <w:rFonts w:ascii="宋体" w:hAnsi="宋体" w:eastAsia="宋体"/>
                <w:sz w:val="16"/>
              </w:rPr>
              <w:t>原始凭证</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2C6E024B">
            <w:pPr>
              <w:jc w:val="center"/>
            </w:pPr>
            <w:r>
              <w:rPr>
                <w:rFonts w:ascii="宋体" w:hAnsi="宋体" w:eastAsia="宋体"/>
                <w:sz w:val="16"/>
              </w:rPr>
              <w:t>=100%</w:t>
            </w:r>
          </w:p>
        </w:tc>
        <w:tc>
          <w:tcPr>
            <w:tcW w:w="12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7A29B">
            <w:pPr>
              <w:jc w:val="center"/>
            </w:pPr>
            <w:r>
              <w:rPr>
                <w:rFonts w:ascii="宋体" w:hAnsi="宋体" w:eastAsia="宋体"/>
                <w:sz w:val="16"/>
              </w:rPr>
              <w:t>10</w:t>
            </w:r>
          </w:p>
        </w:tc>
        <w:tc>
          <w:tcPr>
            <w:tcW w:w="8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F6C2E">
            <w:pPr>
              <w:jc w:val="center"/>
            </w:pPr>
          </w:p>
        </w:tc>
      </w:tr>
      <w:tr w14:paraId="2AA9937E">
        <w:tblPrEx>
          <w:tblCellMar>
            <w:top w:w="0" w:type="dxa"/>
            <w:left w:w="108" w:type="dxa"/>
            <w:bottom w:w="0" w:type="dxa"/>
            <w:right w:w="108" w:type="dxa"/>
          </w:tblCellMar>
        </w:tblPrEx>
        <w:trPr>
          <w:trHeight w:val="90" w:hRule="atLeast"/>
        </w:trPr>
        <w:tc>
          <w:tcPr>
            <w:tcW w:w="696" w:type="dxa"/>
            <w:vMerge w:val="continue"/>
            <w:tcBorders>
              <w:top w:val="single" w:color="auto" w:sz="10" w:space="0"/>
              <w:left w:val="single" w:color="auto" w:sz="10" w:space="0"/>
              <w:bottom w:val="single" w:color="auto" w:sz="10" w:space="0"/>
              <w:right w:val="single" w:color="auto" w:sz="10" w:space="0"/>
              <w:insideV w:val="single" w:sz="10" w:space="0"/>
            </w:tcBorders>
          </w:tcPr>
          <w:p w14:paraId="2DE0D0FB"/>
        </w:tc>
        <w:tc>
          <w:tcPr>
            <w:tcW w:w="696" w:type="dxa"/>
            <w:vMerge w:val="continue"/>
            <w:tcBorders>
              <w:top w:val="single" w:color="auto" w:sz="10" w:space="0"/>
              <w:left w:val="single" w:color="auto" w:sz="10" w:space="0"/>
              <w:bottom w:val="single" w:color="auto" w:sz="10" w:space="0"/>
              <w:right w:val="single" w:color="auto" w:sz="10" w:space="0"/>
              <w:insideV w:val="single" w:sz="10" w:space="0"/>
            </w:tcBorders>
          </w:tcPr>
          <w:p w14:paraId="172D4519"/>
        </w:tc>
        <w:tc>
          <w:tcPr>
            <w:tcW w:w="698" w:type="dxa"/>
            <w:vMerge w:val="continue"/>
            <w:tcBorders>
              <w:top w:val="single" w:color="auto" w:sz="10" w:space="0"/>
              <w:left w:val="single" w:color="auto" w:sz="10" w:space="0"/>
              <w:bottom w:val="single" w:color="auto" w:sz="10" w:space="0"/>
              <w:right w:val="single" w:color="auto" w:sz="10" w:space="0"/>
              <w:insideV w:val="single" w:sz="10" w:space="0"/>
            </w:tcBorders>
          </w:tcPr>
          <w:p w14:paraId="5974700F"/>
        </w:tc>
        <w:tc>
          <w:tcPr>
            <w:tcW w:w="766" w:type="dxa"/>
            <w:tcBorders>
              <w:top w:val="single" w:color="auto" w:sz="10" w:space="0"/>
              <w:left w:val="single" w:color="auto" w:sz="10" w:space="0"/>
              <w:bottom w:val="single" w:color="auto" w:sz="10" w:space="0"/>
              <w:right w:val="single" w:color="auto" w:sz="10" w:space="0"/>
              <w:insideV w:val="single" w:sz="10" w:space="0"/>
            </w:tcBorders>
            <w:vAlign w:val="center"/>
          </w:tcPr>
          <w:p w14:paraId="2C1BF9EC">
            <w:pPr>
              <w:jc w:val="center"/>
            </w:pPr>
            <w:r>
              <w:rPr>
                <w:rFonts w:ascii="宋体" w:hAnsi="宋体" w:eastAsia="宋体"/>
                <w:sz w:val="16"/>
              </w:rPr>
              <w:t>发放补助（补助人数）次数</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64FDC27E">
            <w:pPr>
              <w:jc w:val="center"/>
            </w:pPr>
            <w:r>
              <w:rPr>
                <w:rFonts w:ascii="宋体" w:hAnsi="宋体" w:eastAsia="宋体"/>
                <w:sz w:val="16"/>
              </w:rPr>
              <w:t>=12次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48E644">
            <w:pPr>
              <w:jc w:val="center"/>
            </w:pPr>
            <w:r>
              <w:rPr>
                <w:rFonts w:ascii="宋体" w:hAnsi="宋体" w:eastAsia="宋体"/>
                <w:sz w:val="16"/>
              </w:rPr>
              <w:t>历史标准</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7BFF955C">
            <w:pPr>
              <w:jc w:val="center"/>
            </w:pPr>
            <w:r>
              <w:rPr>
                <w:rFonts w:ascii="宋体" w:hAnsi="宋体" w:eastAsia="宋体"/>
                <w:sz w:val="16"/>
              </w:rPr>
              <w:t>=12次</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5DAC2114">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6DC63F3">
            <w:pPr>
              <w:jc w:val="center"/>
            </w:pPr>
            <w:r>
              <w:rPr>
                <w:rFonts w:ascii="宋体" w:hAnsi="宋体" w:eastAsia="宋体"/>
                <w:sz w:val="16"/>
              </w:rPr>
              <w:t>直接赋分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D8D1A73">
            <w:pPr>
              <w:jc w:val="center"/>
            </w:pPr>
            <w:r>
              <w:rPr>
                <w:rFonts w:ascii="宋体" w:hAnsi="宋体" w:eastAsia="宋体"/>
                <w:sz w:val="16"/>
              </w:rPr>
              <w:t>原始凭证</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3CC2B90D">
            <w:pPr>
              <w:jc w:val="center"/>
            </w:pPr>
            <w:r>
              <w:rPr>
                <w:rFonts w:ascii="宋体" w:hAnsi="宋体" w:eastAsia="宋体"/>
                <w:sz w:val="16"/>
              </w:rPr>
              <w:t>=12次</w:t>
            </w:r>
          </w:p>
        </w:tc>
        <w:tc>
          <w:tcPr>
            <w:tcW w:w="12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0CCAC">
            <w:pPr>
              <w:jc w:val="center"/>
            </w:pPr>
            <w:r>
              <w:rPr>
                <w:rFonts w:ascii="宋体" w:hAnsi="宋体" w:eastAsia="宋体"/>
                <w:sz w:val="16"/>
              </w:rPr>
              <w:t>10</w:t>
            </w:r>
          </w:p>
        </w:tc>
        <w:tc>
          <w:tcPr>
            <w:tcW w:w="8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1A1EB">
            <w:pPr>
              <w:jc w:val="center"/>
            </w:pPr>
          </w:p>
        </w:tc>
      </w:tr>
      <w:tr w14:paraId="3C884A77">
        <w:tblPrEx>
          <w:tblCellMar>
            <w:top w:w="0" w:type="dxa"/>
            <w:left w:w="108" w:type="dxa"/>
            <w:bottom w:w="0" w:type="dxa"/>
            <w:right w:w="108" w:type="dxa"/>
          </w:tblCellMar>
        </w:tblPrEx>
        <w:trPr>
          <w:trHeight w:val="90" w:hRule="atLeast"/>
        </w:trPr>
        <w:tc>
          <w:tcPr>
            <w:tcW w:w="696" w:type="dxa"/>
            <w:vMerge w:val="continue"/>
            <w:tcBorders>
              <w:top w:val="single" w:color="auto" w:sz="10" w:space="0"/>
              <w:left w:val="single" w:color="auto" w:sz="10" w:space="0"/>
              <w:bottom w:val="single" w:color="auto" w:sz="10" w:space="0"/>
              <w:right w:val="single" w:color="auto" w:sz="10" w:space="0"/>
              <w:insideV w:val="single" w:sz="10" w:space="0"/>
            </w:tcBorders>
          </w:tcPr>
          <w:p w14:paraId="59F58FE0"/>
        </w:tc>
        <w:tc>
          <w:tcPr>
            <w:tcW w:w="696" w:type="dxa"/>
            <w:vMerge w:val="continue"/>
            <w:tcBorders>
              <w:top w:val="single" w:color="auto" w:sz="10" w:space="0"/>
              <w:left w:val="single" w:color="auto" w:sz="10" w:space="0"/>
              <w:bottom w:val="single" w:color="auto" w:sz="10" w:space="0"/>
              <w:right w:val="single" w:color="auto" w:sz="10" w:space="0"/>
              <w:insideV w:val="single" w:sz="10" w:space="0"/>
            </w:tcBorders>
          </w:tcPr>
          <w:p w14:paraId="4D26C481"/>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4994DA0D">
            <w:pPr>
              <w:jc w:val="center"/>
            </w:pPr>
            <w:r>
              <w:rPr>
                <w:rFonts w:ascii="宋体" w:hAnsi="宋体" w:eastAsia="宋体"/>
                <w:sz w:val="16"/>
              </w:rPr>
              <w:t>时效指标</w:t>
            </w:r>
          </w:p>
        </w:tc>
        <w:tc>
          <w:tcPr>
            <w:tcW w:w="766" w:type="dxa"/>
            <w:tcBorders>
              <w:top w:val="single" w:color="auto" w:sz="10" w:space="0"/>
              <w:left w:val="single" w:color="auto" w:sz="10" w:space="0"/>
              <w:bottom w:val="single" w:color="auto" w:sz="10" w:space="0"/>
              <w:right w:val="single" w:color="auto" w:sz="10" w:space="0"/>
              <w:insideV w:val="single" w:sz="10" w:space="0"/>
            </w:tcBorders>
            <w:vAlign w:val="center"/>
          </w:tcPr>
          <w:p w14:paraId="0E451EB6">
            <w:pPr>
              <w:jc w:val="center"/>
            </w:pPr>
            <w:r>
              <w:rPr>
                <w:rFonts w:ascii="宋体" w:hAnsi="宋体" w:eastAsia="宋体"/>
                <w:sz w:val="16"/>
              </w:rPr>
              <w:t>项目完成时间</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0BE43851">
            <w:pPr>
              <w:jc w:val="center"/>
            </w:pPr>
            <w:r>
              <w:rPr>
                <w:rFonts w:ascii="宋体" w:hAnsi="宋体" w:eastAsia="宋体"/>
                <w:sz w:val="16"/>
              </w:rPr>
              <w:t>=2024年12月25日前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2E33D5">
            <w:pPr>
              <w:jc w:val="center"/>
            </w:pPr>
            <w:r>
              <w:rPr>
                <w:rFonts w:ascii="宋体" w:hAnsi="宋体" w:eastAsia="宋体"/>
                <w:sz w:val="16"/>
              </w:rPr>
              <w:t>计划标准</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04EACDF1">
            <w:pPr>
              <w:jc w:val="center"/>
            </w:pPr>
            <w:r>
              <w:rPr>
                <w:rFonts w:ascii="宋体" w:hAnsi="宋体" w:eastAsia="宋体"/>
                <w:sz w:val="16"/>
              </w:rPr>
              <w:t>新增</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19BE843F">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8D2F9CB">
            <w:pPr>
              <w:jc w:val="center"/>
            </w:pPr>
            <w:r>
              <w:rPr>
                <w:rFonts w:ascii="宋体" w:hAnsi="宋体" w:eastAsia="宋体"/>
                <w:sz w:val="16"/>
              </w:rPr>
              <w:t>按照完成比例赋分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D28731">
            <w:pPr>
              <w:jc w:val="center"/>
            </w:pPr>
            <w:r>
              <w:rPr>
                <w:rFonts w:ascii="宋体" w:hAnsi="宋体" w:eastAsia="宋体"/>
                <w:sz w:val="16"/>
              </w:rPr>
              <w:t>工作资料</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5DE97201">
            <w:pPr>
              <w:jc w:val="center"/>
            </w:pPr>
            <w:r>
              <w:rPr>
                <w:rFonts w:ascii="宋体" w:hAnsi="宋体" w:eastAsia="宋体"/>
                <w:sz w:val="16"/>
              </w:rPr>
              <w:t>=2024年12月25日</w:t>
            </w:r>
          </w:p>
        </w:tc>
        <w:tc>
          <w:tcPr>
            <w:tcW w:w="12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C606C">
            <w:pPr>
              <w:jc w:val="center"/>
            </w:pPr>
            <w:r>
              <w:rPr>
                <w:rFonts w:ascii="宋体" w:hAnsi="宋体" w:eastAsia="宋体"/>
                <w:sz w:val="16"/>
              </w:rPr>
              <w:t>10</w:t>
            </w:r>
          </w:p>
        </w:tc>
        <w:tc>
          <w:tcPr>
            <w:tcW w:w="8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F81AB">
            <w:pPr>
              <w:jc w:val="center"/>
            </w:pPr>
          </w:p>
        </w:tc>
      </w:tr>
      <w:tr w14:paraId="736914F3">
        <w:tblPrEx>
          <w:tblCellMar>
            <w:top w:w="0" w:type="dxa"/>
            <w:left w:w="108" w:type="dxa"/>
            <w:bottom w:w="0" w:type="dxa"/>
            <w:right w:w="108" w:type="dxa"/>
          </w:tblCellMar>
        </w:tblPrEx>
        <w:trPr>
          <w:trHeight w:val="90" w:hRule="atLeast"/>
        </w:trPr>
        <w:tc>
          <w:tcPr>
            <w:tcW w:w="696" w:type="dxa"/>
            <w:vMerge w:val="continue"/>
            <w:tcBorders>
              <w:top w:val="single" w:color="auto" w:sz="10" w:space="0"/>
              <w:left w:val="single" w:color="auto" w:sz="10" w:space="0"/>
              <w:bottom w:val="single" w:color="auto" w:sz="10" w:space="0"/>
              <w:right w:val="single" w:color="auto" w:sz="10" w:space="0"/>
              <w:insideV w:val="single" w:sz="10" w:space="0"/>
            </w:tcBorders>
          </w:tcPr>
          <w:p w14:paraId="0C962234"/>
        </w:tc>
        <w:tc>
          <w:tcPr>
            <w:tcW w:w="6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90C798">
            <w:pPr>
              <w:jc w:val="center"/>
            </w:pPr>
            <w:r>
              <w:rPr>
                <w:rFonts w:ascii="宋体" w:hAnsi="宋体" w:eastAsia="宋体"/>
                <w:sz w:val="16"/>
              </w:rPr>
              <w:t>成本指标</w:t>
            </w:r>
          </w:p>
        </w:tc>
        <w:tc>
          <w:tcPr>
            <w:tcW w:w="6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D8C101">
            <w:pPr>
              <w:jc w:val="center"/>
            </w:pPr>
            <w:r>
              <w:rPr>
                <w:rFonts w:ascii="宋体" w:hAnsi="宋体" w:eastAsia="宋体"/>
                <w:sz w:val="16"/>
              </w:rPr>
              <w:t>经济成本指标</w:t>
            </w:r>
          </w:p>
        </w:tc>
        <w:tc>
          <w:tcPr>
            <w:tcW w:w="766" w:type="dxa"/>
            <w:tcBorders>
              <w:top w:val="single" w:color="auto" w:sz="10" w:space="0"/>
              <w:left w:val="single" w:color="auto" w:sz="10" w:space="0"/>
              <w:bottom w:val="single" w:color="auto" w:sz="10" w:space="0"/>
              <w:right w:val="single" w:color="auto" w:sz="10" w:space="0"/>
              <w:insideV w:val="single" w:sz="10" w:space="0"/>
            </w:tcBorders>
            <w:vAlign w:val="center"/>
          </w:tcPr>
          <w:p w14:paraId="61C8B4E6">
            <w:pPr>
              <w:jc w:val="center"/>
            </w:pPr>
            <w:r>
              <w:rPr>
                <w:rFonts w:ascii="宋体" w:hAnsi="宋体" w:eastAsia="宋体"/>
                <w:sz w:val="16"/>
              </w:rPr>
              <w:t>每次人员发放金额</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75BCB432">
            <w:pPr>
              <w:jc w:val="center"/>
            </w:pPr>
            <w:r>
              <w:rPr>
                <w:rFonts w:ascii="宋体" w:hAnsi="宋体" w:eastAsia="宋体"/>
                <w:sz w:val="16"/>
              </w:rPr>
              <w:t>&lt;=5.33万元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8F06239">
            <w:pPr>
              <w:jc w:val="center"/>
            </w:pPr>
            <w:r>
              <w:rPr>
                <w:rFonts w:ascii="宋体" w:hAnsi="宋体" w:eastAsia="宋体"/>
                <w:sz w:val="16"/>
              </w:rPr>
              <w:t>计划标准</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679C73B0">
            <w:pPr>
              <w:jc w:val="center"/>
            </w:pPr>
            <w:r>
              <w:rPr>
                <w:rFonts w:ascii="宋体" w:hAnsi="宋体" w:eastAsia="宋体"/>
                <w:sz w:val="16"/>
              </w:rPr>
              <w:t>=5.82万元</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0D22EACD">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1DDB19">
            <w:pPr>
              <w:jc w:val="center"/>
            </w:pPr>
            <w:r>
              <w:rPr>
                <w:rFonts w:ascii="宋体" w:hAnsi="宋体" w:eastAsia="宋体"/>
                <w:sz w:val="16"/>
              </w:rPr>
              <w:t>按照完成比例赋分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2CC2493">
            <w:pPr>
              <w:jc w:val="center"/>
            </w:pPr>
            <w:r>
              <w:rPr>
                <w:rFonts w:ascii="宋体" w:hAnsi="宋体" w:eastAsia="宋体"/>
                <w:sz w:val="16"/>
              </w:rPr>
              <w:t>原始凭证</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57711203">
            <w:pPr>
              <w:jc w:val="center"/>
            </w:pPr>
            <w:r>
              <w:rPr>
                <w:rFonts w:ascii="宋体" w:hAnsi="宋体" w:eastAsia="宋体"/>
                <w:sz w:val="16"/>
              </w:rPr>
              <w:t>=5.33万元</w:t>
            </w:r>
          </w:p>
        </w:tc>
        <w:tc>
          <w:tcPr>
            <w:tcW w:w="12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4A204">
            <w:pPr>
              <w:jc w:val="center"/>
            </w:pPr>
            <w:r>
              <w:rPr>
                <w:rFonts w:ascii="宋体" w:hAnsi="宋体" w:eastAsia="宋体"/>
                <w:sz w:val="16"/>
              </w:rPr>
              <w:t>5</w:t>
            </w:r>
          </w:p>
        </w:tc>
        <w:tc>
          <w:tcPr>
            <w:tcW w:w="8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BBF53">
            <w:pPr>
              <w:jc w:val="center"/>
            </w:pPr>
          </w:p>
        </w:tc>
      </w:tr>
      <w:tr w14:paraId="411515FD">
        <w:tblPrEx>
          <w:tblCellMar>
            <w:top w:w="0" w:type="dxa"/>
            <w:left w:w="108" w:type="dxa"/>
            <w:bottom w:w="0" w:type="dxa"/>
            <w:right w:w="108" w:type="dxa"/>
          </w:tblCellMar>
        </w:tblPrEx>
        <w:trPr>
          <w:trHeight w:val="90" w:hRule="atLeast"/>
        </w:trPr>
        <w:tc>
          <w:tcPr>
            <w:tcW w:w="696" w:type="dxa"/>
            <w:vMerge w:val="continue"/>
            <w:tcBorders>
              <w:top w:val="single" w:color="auto" w:sz="10" w:space="0"/>
              <w:left w:val="single" w:color="auto" w:sz="10" w:space="0"/>
              <w:bottom w:val="single" w:color="auto" w:sz="10" w:space="0"/>
              <w:right w:val="single" w:color="auto" w:sz="10" w:space="0"/>
              <w:insideV w:val="single" w:sz="10" w:space="0"/>
            </w:tcBorders>
          </w:tcPr>
          <w:p w14:paraId="74CB441E"/>
        </w:tc>
        <w:tc>
          <w:tcPr>
            <w:tcW w:w="696" w:type="dxa"/>
            <w:vMerge w:val="continue"/>
            <w:tcBorders>
              <w:top w:val="single" w:color="auto" w:sz="10" w:space="0"/>
              <w:left w:val="single" w:color="auto" w:sz="10" w:space="0"/>
              <w:bottom w:val="single" w:color="auto" w:sz="10" w:space="0"/>
              <w:right w:val="single" w:color="auto" w:sz="10" w:space="0"/>
              <w:insideV w:val="single" w:sz="10" w:space="0"/>
            </w:tcBorders>
          </w:tcPr>
          <w:p w14:paraId="5C32E225"/>
        </w:tc>
        <w:tc>
          <w:tcPr>
            <w:tcW w:w="698" w:type="dxa"/>
            <w:vMerge w:val="continue"/>
            <w:tcBorders>
              <w:top w:val="single" w:color="auto" w:sz="10" w:space="0"/>
              <w:left w:val="single" w:color="auto" w:sz="10" w:space="0"/>
              <w:bottom w:val="single" w:color="auto" w:sz="10" w:space="0"/>
              <w:right w:val="single" w:color="auto" w:sz="10" w:space="0"/>
              <w:insideV w:val="single" w:sz="10" w:space="0"/>
            </w:tcBorders>
          </w:tcPr>
          <w:p w14:paraId="0DBFFC9D"/>
        </w:tc>
        <w:tc>
          <w:tcPr>
            <w:tcW w:w="766" w:type="dxa"/>
            <w:tcBorders>
              <w:top w:val="single" w:color="auto" w:sz="10" w:space="0"/>
              <w:left w:val="single" w:color="auto" w:sz="10" w:space="0"/>
              <w:bottom w:val="single" w:color="auto" w:sz="10" w:space="0"/>
              <w:right w:val="single" w:color="auto" w:sz="10" w:space="0"/>
              <w:insideV w:val="single" w:sz="10" w:space="0"/>
            </w:tcBorders>
            <w:vAlign w:val="center"/>
          </w:tcPr>
          <w:p w14:paraId="449720B4">
            <w:pPr>
              <w:jc w:val="center"/>
            </w:pPr>
            <w:r>
              <w:rPr>
                <w:rFonts w:ascii="宋体" w:hAnsi="宋体" w:eastAsia="宋体"/>
                <w:sz w:val="16"/>
              </w:rPr>
              <w:t>维修（护）费用</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68297A29">
            <w:pPr>
              <w:jc w:val="center"/>
            </w:pPr>
            <w:r>
              <w:rPr>
                <w:rFonts w:ascii="宋体" w:hAnsi="宋体" w:eastAsia="宋体"/>
                <w:sz w:val="16"/>
              </w:rPr>
              <w:t>&lt;=35万元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6CB5CC9">
            <w:pPr>
              <w:jc w:val="center"/>
            </w:pPr>
            <w:r>
              <w:rPr>
                <w:rFonts w:ascii="宋体" w:hAnsi="宋体" w:eastAsia="宋体"/>
                <w:sz w:val="16"/>
              </w:rPr>
              <w:t>计划标准</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6032708B">
            <w:pPr>
              <w:jc w:val="center"/>
            </w:pPr>
            <w:r>
              <w:rPr>
                <w:rFonts w:ascii="宋体" w:hAnsi="宋体" w:eastAsia="宋体"/>
                <w:sz w:val="16"/>
              </w:rPr>
              <w:t>=35.09万元</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505D4235">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1BF8E61">
            <w:pPr>
              <w:jc w:val="center"/>
            </w:pPr>
            <w:r>
              <w:rPr>
                <w:rFonts w:ascii="宋体" w:hAnsi="宋体" w:eastAsia="宋体"/>
                <w:sz w:val="16"/>
              </w:rPr>
              <w:t>按照完成比例赋分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082DEFB">
            <w:pPr>
              <w:jc w:val="center"/>
            </w:pPr>
            <w:r>
              <w:rPr>
                <w:rFonts w:ascii="宋体" w:hAnsi="宋体" w:eastAsia="宋体"/>
                <w:sz w:val="16"/>
              </w:rPr>
              <w:t>原始凭证</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06B047B7">
            <w:pPr>
              <w:jc w:val="center"/>
            </w:pPr>
            <w:r>
              <w:rPr>
                <w:rFonts w:ascii="宋体" w:hAnsi="宋体" w:eastAsia="宋体"/>
                <w:sz w:val="16"/>
              </w:rPr>
              <w:t>=35万元</w:t>
            </w:r>
          </w:p>
        </w:tc>
        <w:tc>
          <w:tcPr>
            <w:tcW w:w="12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96F52">
            <w:pPr>
              <w:jc w:val="center"/>
            </w:pPr>
            <w:r>
              <w:rPr>
                <w:rFonts w:ascii="宋体" w:hAnsi="宋体" w:eastAsia="宋体"/>
                <w:sz w:val="16"/>
              </w:rPr>
              <w:t>5</w:t>
            </w:r>
          </w:p>
        </w:tc>
        <w:tc>
          <w:tcPr>
            <w:tcW w:w="8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171B1">
            <w:pPr>
              <w:jc w:val="center"/>
            </w:pPr>
          </w:p>
        </w:tc>
      </w:tr>
      <w:tr w14:paraId="27F18273">
        <w:tblPrEx>
          <w:tblCellMar>
            <w:top w:w="0" w:type="dxa"/>
            <w:left w:w="108" w:type="dxa"/>
            <w:bottom w:w="0" w:type="dxa"/>
            <w:right w:w="108" w:type="dxa"/>
          </w:tblCellMar>
        </w:tblPrEx>
        <w:trPr>
          <w:trHeight w:val="90" w:hRule="atLeast"/>
        </w:trPr>
        <w:tc>
          <w:tcPr>
            <w:tcW w:w="696" w:type="dxa"/>
            <w:vMerge w:val="continue"/>
            <w:tcBorders>
              <w:top w:val="single" w:color="auto" w:sz="10" w:space="0"/>
              <w:left w:val="single" w:color="auto" w:sz="10" w:space="0"/>
              <w:bottom w:val="single" w:color="auto" w:sz="10" w:space="0"/>
              <w:right w:val="single" w:color="auto" w:sz="10" w:space="0"/>
              <w:insideV w:val="single" w:sz="10" w:space="0"/>
            </w:tcBorders>
          </w:tcPr>
          <w:p w14:paraId="40767857"/>
        </w:tc>
        <w:tc>
          <w:tcPr>
            <w:tcW w:w="696" w:type="dxa"/>
            <w:vMerge w:val="continue"/>
            <w:tcBorders>
              <w:top w:val="single" w:color="auto" w:sz="10" w:space="0"/>
              <w:left w:val="single" w:color="auto" w:sz="10" w:space="0"/>
              <w:bottom w:val="single" w:color="auto" w:sz="10" w:space="0"/>
              <w:right w:val="single" w:color="auto" w:sz="10" w:space="0"/>
              <w:insideV w:val="single" w:sz="10" w:space="0"/>
            </w:tcBorders>
          </w:tcPr>
          <w:p w14:paraId="2F1CDC2D"/>
        </w:tc>
        <w:tc>
          <w:tcPr>
            <w:tcW w:w="698" w:type="dxa"/>
            <w:vMerge w:val="continue"/>
            <w:tcBorders>
              <w:top w:val="single" w:color="auto" w:sz="10" w:space="0"/>
              <w:left w:val="single" w:color="auto" w:sz="10" w:space="0"/>
              <w:bottom w:val="single" w:color="auto" w:sz="10" w:space="0"/>
              <w:right w:val="single" w:color="auto" w:sz="10" w:space="0"/>
              <w:insideV w:val="single" w:sz="10" w:space="0"/>
            </w:tcBorders>
          </w:tcPr>
          <w:p w14:paraId="146C4641"/>
        </w:tc>
        <w:tc>
          <w:tcPr>
            <w:tcW w:w="766" w:type="dxa"/>
            <w:tcBorders>
              <w:top w:val="single" w:color="auto" w:sz="10" w:space="0"/>
              <w:left w:val="single" w:color="auto" w:sz="10" w:space="0"/>
              <w:bottom w:val="single" w:color="auto" w:sz="10" w:space="0"/>
              <w:right w:val="single" w:color="auto" w:sz="10" w:space="0"/>
              <w:insideV w:val="single" w:sz="10" w:space="0"/>
            </w:tcBorders>
            <w:vAlign w:val="center"/>
          </w:tcPr>
          <w:p w14:paraId="4AB9560C">
            <w:pPr>
              <w:jc w:val="center"/>
            </w:pPr>
            <w:r>
              <w:rPr>
                <w:rFonts w:ascii="宋体" w:hAnsi="宋体" w:eastAsia="宋体"/>
                <w:sz w:val="16"/>
              </w:rPr>
              <w:t>被装费</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709292C3">
            <w:pPr>
              <w:jc w:val="center"/>
            </w:pPr>
            <w:r>
              <w:rPr>
                <w:rFonts w:ascii="宋体" w:hAnsi="宋体" w:eastAsia="宋体"/>
                <w:sz w:val="16"/>
              </w:rPr>
              <w:t>&lt;=15万元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9F3E787">
            <w:pPr>
              <w:jc w:val="center"/>
            </w:pPr>
            <w:r>
              <w:rPr>
                <w:rFonts w:ascii="宋体" w:hAnsi="宋体" w:eastAsia="宋体"/>
                <w:sz w:val="16"/>
              </w:rPr>
              <w:t>计划标准</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3754A69A">
            <w:pPr>
              <w:jc w:val="center"/>
            </w:pPr>
            <w:r>
              <w:rPr>
                <w:rFonts w:ascii="宋体" w:hAnsi="宋体" w:eastAsia="宋体"/>
                <w:sz w:val="16"/>
              </w:rPr>
              <w:t>新增</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42170EA0">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3D1A53">
            <w:pPr>
              <w:jc w:val="center"/>
            </w:pPr>
            <w:r>
              <w:rPr>
                <w:rFonts w:ascii="宋体" w:hAnsi="宋体" w:eastAsia="宋体"/>
                <w:sz w:val="16"/>
              </w:rPr>
              <w:t>按照完成比例赋分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8F1A63">
            <w:pPr>
              <w:jc w:val="center"/>
            </w:pPr>
            <w:r>
              <w:rPr>
                <w:rFonts w:ascii="宋体" w:hAnsi="宋体" w:eastAsia="宋体"/>
                <w:sz w:val="16"/>
              </w:rPr>
              <w:t>原始凭证</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796CA303">
            <w:pPr>
              <w:jc w:val="center"/>
            </w:pPr>
            <w:r>
              <w:rPr>
                <w:rFonts w:ascii="宋体" w:hAnsi="宋体" w:eastAsia="宋体"/>
                <w:sz w:val="16"/>
              </w:rPr>
              <w:t>=15万元</w:t>
            </w:r>
          </w:p>
        </w:tc>
        <w:tc>
          <w:tcPr>
            <w:tcW w:w="12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388B4">
            <w:pPr>
              <w:jc w:val="center"/>
            </w:pPr>
            <w:r>
              <w:rPr>
                <w:rFonts w:ascii="宋体" w:hAnsi="宋体" w:eastAsia="宋体"/>
                <w:sz w:val="16"/>
              </w:rPr>
              <w:t>5</w:t>
            </w:r>
          </w:p>
        </w:tc>
        <w:tc>
          <w:tcPr>
            <w:tcW w:w="8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D4746">
            <w:pPr>
              <w:jc w:val="center"/>
            </w:pPr>
          </w:p>
        </w:tc>
      </w:tr>
      <w:tr w14:paraId="0D37794B">
        <w:tblPrEx>
          <w:tblCellMar>
            <w:top w:w="0" w:type="dxa"/>
            <w:left w:w="108" w:type="dxa"/>
            <w:bottom w:w="0" w:type="dxa"/>
            <w:right w:w="108" w:type="dxa"/>
          </w:tblCellMar>
        </w:tblPrEx>
        <w:trPr>
          <w:trHeight w:val="90" w:hRule="atLeast"/>
        </w:trPr>
        <w:tc>
          <w:tcPr>
            <w:tcW w:w="696" w:type="dxa"/>
            <w:vMerge w:val="continue"/>
            <w:tcBorders>
              <w:top w:val="single" w:color="auto" w:sz="10" w:space="0"/>
              <w:left w:val="single" w:color="auto" w:sz="10" w:space="0"/>
              <w:bottom w:val="single" w:color="auto" w:sz="10" w:space="0"/>
              <w:right w:val="single" w:color="auto" w:sz="10" w:space="0"/>
              <w:insideV w:val="single" w:sz="10" w:space="0"/>
            </w:tcBorders>
          </w:tcPr>
          <w:p w14:paraId="69440D61"/>
        </w:tc>
        <w:tc>
          <w:tcPr>
            <w:tcW w:w="696" w:type="dxa"/>
            <w:vMerge w:val="continue"/>
            <w:tcBorders>
              <w:top w:val="single" w:color="auto" w:sz="10" w:space="0"/>
              <w:left w:val="single" w:color="auto" w:sz="10" w:space="0"/>
              <w:bottom w:val="single" w:color="auto" w:sz="10" w:space="0"/>
              <w:right w:val="single" w:color="auto" w:sz="10" w:space="0"/>
              <w:insideV w:val="single" w:sz="10" w:space="0"/>
            </w:tcBorders>
          </w:tcPr>
          <w:p w14:paraId="7F40EF13"/>
        </w:tc>
        <w:tc>
          <w:tcPr>
            <w:tcW w:w="698" w:type="dxa"/>
            <w:vMerge w:val="continue"/>
            <w:tcBorders>
              <w:top w:val="single" w:color="auto" w:sz="10" w:space="0"/>
              <w:left w:val="single" w:color="auto" w:sz="10" w:space="0"/>
              <w:bottom w:val="single" w:color="auto" w:sz="10" w:space="0"/>
              <w:right w:val="single" w:color="auto" w:sz="10" w:space="0"/>
              <w:insideV w:val="single" w:sz="10" w:space="0"/>
            </w:tcBorders>
          </w:tcPr>
          <w:p w14:paraId="4CFF3B38"/>
        </w:tc>
        <w:tc>
          <w:tcPr>
            <w:tcW w:w="766" w:type="dxa"/>
            <w:tcBorders>
              <w:top w:val="single" w:color="auto" w:sz="10" w:space="0"/>
              <w:left w:val="single" w:color="auto" w:sz="10" w:space="0"/>
              <w:bottom w:val="single" w:color="auto" w:sz="10" w:space="0"/>
              <w:right w:val="single" w:color="auto" w:sz="10" w:space="0"/>
              <w:insideV w:val="single" w:sz="10" w:space="0"/>
            </w:tcBorders>
            <w:vAlign w:val="center"/>
          </w:tcPr>
          <w:p w14:paraId="2BBF23FC">
            <w:pPr>
              <w:jc w:val="center"/>
            </w:pPr>
            <w:r>
              <w:rPr>
                <w:rFonts w:ascii="宋体" w:hAnsi="宋体" w:eastAsia="宋体"/>
                <w:sz w:val="16"/>
              </w:rPr>
              <w:t>印刷费</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3873443C">
            <w:pPr>
              <w:jc w:val="center"/>
            </w:pPr>
            <w:r>
              <w:rPr>
                <w:rFonts w:ascii="宋体" w:hAnsi="宋体" w:eastAsia="宋体"/>
                <w:sz w:val="16"/>
              </w:rPr>
              <w:t>&lt;=3.2万元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D4510F9">
            <w:pPr>
              <w:jc w:val="center"/>
            </w:pPr>
            <w:r>
              <w:rPr>
                <w:rFonts w:ascii="宋体" w:hAnsi="宋体" w:eastAsia="宋体"/>
                <w:sz w:val="16"/>
              </w:rPr>
              <w:t>计划标准</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3CDC0846">
            <w:pPr>
              <w:jc w:val="center"/>
            </w:pPr>
            <w:r>
              <w:rPr>
                <w:rFonts w:ascii="宋体" w:hAnsi="宋体" w:eastAsia="宋体"/>
                <w:sz w:val="16"/>
              </w:rPr>
              <w:t>新增</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02FF85DE">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909CA87">
            <w:pPr>
              <w:jc w:val="center"/>
            </w:pPr>
            <w:r>
              <w:rPr>
                <w:rFonts w:ascii="宋体" w:hAnsi="宋体" w:eastAsia="宋体"/>
                <w:sz w:val="16"/>
              </w:rPr>
              <w:t>按照完成比例赋分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2776891">
            <w:pPr>
              <w:jc w:val="center"/>
            </w:pPr>
            <w:r>
              <w:rPr>
                <w:rFonts w:ascii="宋体" w:hAnsi="宋体" w:eastAsia="宋体"/>
                <w:sz w:val="16"/>
              </w:rPr>
              <w:t>原始凭证</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542A130A">
            <w:pPr>
              <w:jc w:val="center"/>
            </w:pPr>
            <w:r>
              <w:rPr>
                <w:rFonts w:ascii="宋体" w:hAnsi="宋体" w:eastAsia="宋体"/>
                <w:sz w:val="16"/>
              </w:rPr>
              <w:t>=3.2万元</w:t>
            </w:r>
          </w:p>
        </w:tc>
        <w:tc>
          <w:tcPr>
            <w:tcW w:w="12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44533">
            <w:pPr>
              <w:jc w:val="center"/>
            </w:pPr>
            <w:r>
              <w:rPr>
                <w:rFonts w:ascii="宋体" w:hAnsi="宋体" w:eastAsia="宋体"/>
                <w:sz w:val="16"/>
              </w:rPr>
              <w:t>5</w:t>
            </w:r>
          </w:p>
        </w:tc>
        <w:tc>
          <w:tcPr>
            <w:tcW w:w="8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804F9">
            <w:pPr>
              <w:jc w:val="center"/>
            </w:pPr>
          </w:p>
        </w:tc>
      </w:tr>
      <w:tr w14:paraId="325E9B9C">
        <w:tblPrEx>
          <w:tblCellMar>
            <w:top w:w="0" w:type="dxa"/>
            <w:left w:w="108" w:type="dxa"/>
            <w:bottom w:w="0" w:type="dxa"/>
            <w:right w:w="108" w:type="dxa"/>
          </w:tblCellMar>
        </w:tblPrEx>
        <w:trPr>
          <w:trHeight w:val="90" w:hRule="atLeast"/>
        </w:trPr>
        <w:tc>
          <w:tcPr>
            <w:tcW w:w="696" w:type="dxa"/>
            <w:vMerge w:val="continue"/>
            <w:tcBorders>
              <w:top w:val="single" w:color="auto" w:sz="10" w:space="0"/>
              <w:left w:val="single" w:color="auto" w:sz="10" w:space="0"/>
              <w:bottom w:val="single" w:color="auto" w:sz="10" w:space="0"/>
              <w:right w:val="single" w:color="auto" w:sz="10" w:space="0"/>
              <w:insideV w:val="single" w:sz="10" w:space="0"/>
            </w:tcBorders>
          </w:tcPr>
          <w:p w14:paraId="1C9FB2EF"/>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8EB3A63">
            <w:pPr>
              <w:jc w:val="center"/>
            </w:pPr>
            <w:r>
              <w:rPr>
                <w:rFonts w:ascii="宋体" w:hAnsi="宋体" w:eastAsia="宋体"/>
                <w:sz w:val="16"/>
              </w:rPr>
              <w:t>效益指标</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0704CB11">
            <w:pPr>
              <w:jc w:val="center"/>
            </w:pPr>
            <w:r>
              <w:rPr>
                <w:rFonts w:ascii="宋体" w:hAnsi="宋体" w:eastAsia="宋体"/>
                <w:sz w:val="16"/>
              </w:rPr>
              <w:t>社会效益指标</w:t>
            </w:r>
          </w:p>
        </w:tc>
        <w:tc>
          <w:tcPr>
            <w:tcW w:w="766" w:type="dxa"/>
            <w:tcBorders>
              <w:top w:val="single" w:color="auto" w:sz="10" w:space="0"/>
              <w:left w:val="single" w:color="auto" w:sz="10" w:space="0"/>
              <w:bottom w:val="single" w:color="auto" w:sz="10" w:space="0"/>
              <w:right w:val="single" w:color="auto" w:sz="10" w:space="0"/>
              <w:insideV w:val="single" w:sz="10" w:space="0"/>
            </w:tcBorders>
            <w:vAlign w:val="center"/>
          </w:tcPr>
          <w:p w14:paraId="485D4D19">
            <w:pPr>
              <w:jc w:val="center"/>
            </w:pPr>
            <w:r>
              <w:rPr>
                <w:rFonts w:ascii="宋体" w:hAnsi="宋体" w:eastAsia="宋体"/>
                <w:sz w:val="16"/>
              </w:rPr>
              <w:t>补助人群生活改善</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77669240">
            <w:pPr>
              <w:jc w:val="center"/>
            </w:pPr>
            <w:r>
              <w:rPr>
                <w:rFonts w:ascii="宋体" w:hAnsi="宋体" w:eastAsia="宋体"/>
                <w:sz w:val="16"/>
              </w:rPr>
              <w:t>提高</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F368E59">
            <w:pPr>
              <w:jc w:val="center"/>
            </w:pPr>
            <w:r>
              <w:rPr>
                <w:rFonts w:ascii="宋体" w:hAnsi="宋体" w:eastAsia="宋体"/>
                <w:sz w:val="16"/>
              </w:rPr>
              <w:t>其他标准</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2B5E1890">
            <w:pPr>
              <w:jc w:val="center"/>
            </w:pPr>
            <w:r>
              <w:rPr>
                <w:rFonts w:ascii="宋体" w:hAnsi="宋体" w:eastAsia="宋体"/>
                <w:sz w:val="16"/>
              </w:rPr>
              <w:t>提高</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360F1C26">
            <w:pPr>
              <w:jc w:val="center"/>
            </w:pPr>
            <w:r>
              <w:rPr>
                <w:rFonts w:ascii="宋体" w:hAnsi="宋体" w:eastAsia="宋体"/>
                <w:sz w:val="16"/>
              </w:rPr>
              <w:t>20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1CE52A2">
            <w:pPr>
              <w:jc w:val="center"/>
            </w:pPr>
            <w:r>
              <w:rPr>
                <w:rFonts w:ascii="宋体" w:hAnsi="宋体" w:eastAsia="宋体"/>
                <w:sz w:val="16"/>
              </w:rPr>
              <w:t>按评判等级赋分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8857D2">
            <w:pPr>
              <w:jc w:val="center"/>
            </w:pPr>
            <w:r>
              <w:rPr>
                <w:rFonts w:ascii="宋体" w:hAnsi="宋体" w:eastAsia="宋体"/>
                <w:sz w:val="16"/>
              </w:rPr>
              <w:t>说明材料</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6D8700BD">
            <w:pPr>
              <w:jc w:val="center"/>
            </w:pPr>
            <w:r>
              <w:rPr>
                <w:rFonts w:ascii="宋体" w:hAnsi="宋体" w:eastAsia="宋体"/>
                <w:sz w:val="16"/>
              </w:rPr>
              <w:t>提高</w:t>
            </w:r>
          </w:p>
        </w:tc>
        <w:tc>
          <w:tcPr>
            <w:tcW w:w="12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57E27">
            <w:pPr>
              <w:jc w:val="center"/>
            </w:pPr>
            <w:r>
              <w:rPr>
                <w:rFonts w:ascii="宋体" w:hAnsi="宋体" w:eastAsia="宋体"/>
                <w:sz w:val="16"/>
              </w:rPr>
              <w:t>20</w:t>
            </w:r>
          </w:p>
        </w:tc>
        <w:tc>
          <w:tcPr>
            <w:tcW w:w="8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9A1CB">
            <w:pPr>
              <w:jc w:val="center"/>
            </w:pPr>
          </w:p>
        </w:tc>
      </w:tr>
      <w:tr w14:paraId="771CF1B0">
        <w:tblPrEx>
          <w:tblCellMar>
            <w:top w:w="0" w:type="dxa"/>
            <w:left w:w="108" w:type="dxa"/>
            <w:bottom w:w="0" w:type="dxa"/>
            <w:right w:w="108" w:type="dxa"/>
          </w:tblCellMar>
        </w:tblPrEx>
        <w:trPr>
          <w:trHeight w:val="90" w:hRule="atLeast"/>
        </w:trPr>
        <w:tc>
          <w:tcPr>
            <w:tcW w:w="696" w:type="dxa"/>
            <w:vMerge w:val="continue"/>
            <w:tcBorders>
              <w:top w:val="single" w:color="auto" w:sz="10" w:space="0"/>
              <w:left w:val="single" w:color="auto" w:sz="10" w:space="0"/>
              <w:bottom w:val="single" w:color="auto" w:sz="10" w:space="0"/>
              <w:right w:val="single" w:color="auto" w:sz="10" w:space="0"/>
              <w:insideV w:val="single" w:sz="10" w:space="0"/>
            </w:tcBorders>
          </w:tcPr>
          <w:p w14:paraId="5FD7517B"/>
        </w:tc>
        <w:tc>
          <w:tcPr>
            <w:tcW w:w="6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BFA3C">
            <w:pPr>
              <w:jc w:val="center"/>
            </w:pPr>
            <w:r>
              <w:rPr>
                <w:rFonts w:ascii="宋体" w:hAnsi="宋体" w:eastAsia="宋体"/>
                <w:sz w:val="16"/>
              </w:rPr>
              <w:t>满意度指标</w:t>
            </w:r>
          </w:p>
        </w:tc>
        <w:tc>
          <w:tcPr>
            <w:tcW w:w="6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8CA614">
            <w:pPr>
              <w:jc w:val="center"/>
            </w:pPr>
            <w:r>
              <w:rPr>
                <w:rFonts w:ascii="宋体" w:hAnsi="宋体" w:eastAsia="宋体"/>
                <w:sz w:val="16"/>
              </w:rPr>
              <w:t>满意度指标</w:t>
            </w:r>
          </w:p>
        </w:tc>
        <w:tc>
          <w:tcPr>
            <w:tcW w:w="766" w:type="dxa"/>
            <w:tcBorders>
              <w:top w:val="single" w:color="auto" w:sz="10" w:space="0"/>
              <w:left w:val="single" w:color="auto" w:sz="10" w:space="0"/>
              <w:bottom w:val="single" w:color="auto" w:sz="10" w:space="0"/>
              <w:right w:val="single" w:color="auto" w:sz="10" w:space="0"/>
              <w:insideV w:val="single" w:sz="10" w:space="0"/>
            </w:tcBorders>
            <w:vAlign w:val="center"/>
          </w:tcPr>
          <w:p w14:paraId="404A16D6">
            <w:pPr>
              <w:jc w:val="center"/>
            </w:pPr>
            <w:r>
              <w:rPr>
                <w:rFonts w:ascii="宋体" w:hAnsi="宋体" w:eastAsia="宋体"/>
                <w:sz w:val="16"/>
              </w:rPr>
              <w:t>移交人员满意度</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525F063F">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12657B">
            <w:pPr>
              <w:jc w:val="center"/>
            </w:pPr>
            <w:r>
              <w:rPr>
                <w:rFonts w:ascii="宋体" w:hAnsi="宋体" w:eastAsia="宋体"/>
                <w:sz w:val="16"/>
              </w:rPr>
              <w:t>历史标准</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43BE68F9">
            <w:pPr>
              <w:jc w:val="center"/>
            </w:pPr>
            <w:r>
              <w:rPr>
                <w:rFonts w:ascii="宋体" w:hAnsi="宋体" w:eastAsia="宋体"/>
                <w:sz w:val="16"/>
              </w:rPr>
              <w:t>=100%</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51A4C0DD">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96F1D55">
            <w:pPr>
              <w:jc w:val="center"/>
            </w:pPr>
            <w:r>
              <w:rPr>
                <w:rFonts w:ascii="宋体" w:hAnsi="宋体" w:eastAsia="宋体"/>
                <w:sz w:val="16"/>
              </w:rPr>
              <w:t>满意度赋分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DE71EEF">
            <w:pPr>
              <w:jc w:val="center"/>
            </w:pPr>
            <w:r>
              <w:rPr>
                <w:rFonts w:ascii="宋体" w:hAnsi="宋体" w:eastAsia="宋体"/>
                <w:sz w:val="16"/>
              </w:rPr>
              <w:t>工作资料</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7379B079">
            <w:pPr>
              <w:jc w:val="center"/>
            </w:pPr>
            <w:r>
              <w:rPr>
                <w:rFonts w:ascii="宋体" w:hAnsi="宋体" w:eastAsia="宋体"/>
                <w:sz w:val="16"/>
              </w:rPr>
              <w:t>=100%</w:t>
            </w:r>
          </w:p>
        </w:tc>
        <w:tc>
          <w:tcPr>
            <w:tcW w:w="12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944AA">
            <w:pPr>
              <w:jc w:val="center"/>
            </w:pPr>
            <w:r>
              <w:rPr>
                <w:rFonts w:ascii="宋体" w:hAnsi="宋体" w:eastAsia="宋体"/>
                <w:sz w:val="16"/>
              </w:rPr>
              <w:t>5</w:t>
            </w:r>
          </w:p>
        </w:tc>
        <w:tc>
          <w:tcPr>
            <w:tcW w:w="8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340C6">
            <w:pPr>
              <w:jc w:val="center"/>
            </w:pPr>
          </w:p>
        </w:tc>
      </w:tr>
      <w:tr w14:paraId="110FED8A">
        <w:tblPrEx>
          <w:tblCellMar>
            <w:top w:w="0" w:type="dxa"/>
            <w:left w:w="108" w:type="dxa"/>
            <w:bottom w:w="0" w:type="dxa"/>
            <w:right w:w="108" w:type="dxa"/>
          </w:tblCellMar>
        </w:tblPrEx>
        <w:trPr>
          <w:trHeight w:val="90" w:hRule="atLeast"/>
        </w:trPr>
        <w:tc>
          <w:tcPr>
            <w:tcW w:w="696" w:type="dxa"/>
            <w:vMerge w:val="continue"/>
            <w:tcBorders>
              <w:top w:val="single" w:color="auto" w:sz="10" w:space="0"/>
              <w:left w:val="single" w:color="auto" w:sz="10" w:space="0"/>
              <w:bottom w:val="single" w:color="auto" w:sz="10" w:space="0"/>
              <w:right w:val="single" w:color="auto" w:sz="10" w:space="0"/>
              <w:insideV w:val="single" w:sz="10" w:space="0"/>
            </w:tcBorders>
          </w:tcPr>
          <w:p w14:paraId="1552903C"/>
        </w:tc>
        <w:tc>
          <w:tcPr>
            <w:tcW w:w="696" w:type="dxa"/>
            <w:vMerge w:val="continue"/>
            <w:tcBorders>
              <w:top w:val="single" w:color="auto" w:sz="10" w:space="0"/>
              <w:left w:val="single" w:color="auto" w:sz="10" w:space="0"/>
              <w:bottom w:val="single" w:color="auto" w:sz="10" w:space="0"/>
              <w:right w:val="single" w:color="auto" w:sz="10" w:space="0"/>
              <w:insideV w:val="single" w:sz="10" w:space="0"/>
            </w:tcBorders>
          </w:tcPr>
          <w:p w14:paraId="00DD9553"/>
        </w:tc>
        <w:tc>
          <w:tcPr>
            <w:tcW w:w="698" w:type="dxa"/>
            <w:vMerge w:val="continue"/>
            <w:tcBorders>
              <w:top w:val="single" w:color="auto" w:sz="10" w:space="0"/>
              <w:left w:val="single" w:color="auto" w:sz="10" w:space="0"/>
              <w:bottom w:val="single" w:color="auto" w:sz="10" w:space="0"/>
              <w:right w:val="single" w:color="auto" w:sz="10" w:space="0"/>
              <w:insideV w:val="single" w:sz="10" w:space="0"/>
            </w:tcBorders>
          </w:tcPr>
          <w:p w14:paraId="37766BFA"/>
        </w:tc>
        <w:tc>
          <w:tcPr>
            <w:tcW w:w="766" w:type="dxa"/>
            <w:tcBorders>
              <w:top w:val="single" w:color="auto" w:sz="10" w:space="0"/>
              <w:left w:val="single" w:color="auto" w:sz="10" w:space="0"/>
              <w:bottom w:val="single" w:color="auto" w:sz="10" w:space="0"/>
              <w:right w:val="single" w:color="auto" w:sz="10" w:space="0"/>
              <w:insideV w:val="single" w:sz="10" w:space="0"/>
            </w:tcBorders>
            <w:vAlign w:val="center"/>
          </w:tcPr>
          <w:p w14:paraId="1E14EBD6">
            <w:pPr>
              <w:jc w:val="center"/>
            </w:pPr>
            <w:r>
              <w:rPr>
                <w:rFonts w:ascii="宋体" w:hAnsi="宋体" w:eastAsia="宋体"/>
                <w:sz w:val="16"/>
              </w:rPr>
              <w:t>移交人员家庭对项目满意度</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306817E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BD66E15">
            <w:pPr>
              <w:jc w:val="center"/>
            </w:pPr>
            <w:r>
              <w:rPr>
                <w:rFonts w:ascii="宋体" w:hAnsi="宋体" w:eastAsia="宋体"/>
                <w:sz w:val="16"/>
              </w:rPr>
              <w:t>历史标准</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5E571260">
            <w:pPr>
              <w:jc w:val="center"/>
            </w:pPr>
            <w:r>
              <w:rPr>
                <w:rFonts w:ascii="宋体" w:hAnsi="宋体" w:eastAsia="宋体"/>
                <w:sz w:val="16"/>
              </w:rPr>
              <w:t>=100%</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6F39AE5C">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5EBAF3">
            <w:pPr>
              <w:jc w:val="center"/>
            </w:pPr>
            <w:r>
              <w:rPr>
                <w:rFonts w:ascii="宋体" w:hAnsi="宋体" w:eastAsia="宋体"/>
                <w:sz w:val="16"/>
              </w:rPr>
              <w:t>满意度赋分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6ED001B">
            <w:pPr>
              <w:jc w:val="center"/>
            </w:pPr>
            <w:r>
              <w:rPr>
                <w:rFonts w:ascii="宋体" w:hAnsi="宋体" w:eastAsia="宋体"/>
                <w:sz w:val="16"/>
              </w:rPr>
              <w:t>工作资料</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1388AE5B">
            <w:pPr>
              <w:jc w:val="center"/>
            </w:pPr>
            <w:r>
              <w:rPr>
                <w:rFonts w:ascii="宋体" w:hAnsi="宋体" w:eastAsia="宋体"/>
                <w:sz w:val="16"/>
              </w:rPr>
              <w:t>=100%</w:t>
            </w:r>
          </w:p>
        </w:tc>
        <w:tc>
          <w:tcPr>
            <w:tcW w:w="12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DC2CA">
            <w:pPr>
              <w:jc w:val="center"/>
            </w:pPr>
            <w:r>
              <w:rPr>
                <w:rFonts w:ascii="宋体" w:hAnsi="宋体" w:eastAsia="宋体"/>
                <w:sz w:val="16"/>
              </w:rPr>
              <w:t>5</w:t>
            </w:r>
          </w:p>
        </w:tc>
        <w:tc>
          <w:tcPr>
            <w:tcW w:w="8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3D439">
            <w:pPr>
              <w:jc w:val="center"/>
            </w:pPr>
          </w:p>
        </w:tc>
      </w:tr>
      <w:tr w14:paraId="121079C9">
        <w:tblPrEx>
          <w:tblCellMar>
            <w:top w:w="0" w:type="dxa"/>
            <w:left w:w="108" w:type="dxa"/>
            <w:bottom w:w="0" w:type="dxa"/>
            <w:right w:w="108" w:type="dxa"/>
          </w:tblCellMar>
        </w:tblPrEx>
        <w:trPr>
          <w:trHeight w:val="90" w:hRule="atLeast"/>
        </w:trPr>
        <w:tc>
          <w:tcPr>
            <w:tcW w:w="50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7D4FDA">
            <w:pPr>
              <w:jc w:val="center"/>
            </w:pPr>
            <w:r>
              <w:rPr>
                <w:rFonts w:ascii="宋体" w:hAnsi="宋体" w:eastAsia="宋体"/>
                <w:sz w:val="16"/>
              </w:rPr>
              <w:t>总分</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6DA632D5">
            <w:pPr>
              <w:jc w:val="center"/>
            </w:pPr>
            <w:r>
              <w:rPr>
                <w:rFonts w:ascii="宋体" w:hAnsi="宋体" w:eastAsia="宋体"/>
                <w:sz w:val="16"/>
              </w:rPr>
              <w:t>100</w:t>
            </w:r>
          </w:p>
        </w:tc>
        <w:tc>
          <w:tcPr>
            <w:tcW w:w="2090" w:type="dxa"/>
            <w:gridSpan w:val="3"/>
            <w:tcBorders>
              <w:top w:val="single" w:color="auto" w:sz="10" w:space="0"/>
              <w:left w:val="single" w:color="auto" w:sz="10" w:space="0"/>
              <w:bottom w:val="single" w:color="auto" w:sz="10" w:space="0"/>
              <w:right w:val="single" w:color="auto" w:sz="10" w:space="0"/>
              <w:insideV w:val="single" w:sz="10" w:space="0"/>
            </w:tcBorders>
          </w:tcPr>
          <w:p w14:paraId="751F908C"/>
        </w:tc>
        <w:tc>
          <w:tcPr>
            <w:tcW w:w="12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9A462">
            <w:pPr>
              <w:jc w:val="center"/>
            </w:pPr>
            <w:r>
              <w:rPr>
                <w:rFonts w:ascii="宋体" w:hAnsi="宋体" w:eastAsia="宋体"/>
                <w:sz w:val="16"/>
              </w:rPr>
              <w:t>100分</w:t>
            </w:r>
          </w:p>
        </w:tc>
        <w:tc>
          <w:tcPr>
            <w:tcW w:w="810" w:type="dxa"/>
            <w:gridSpan w:val="2"/>
            <w:tcBorders>
              <w:top w:val="single" w:color="auto" w:sz="10" w:space="0"/>
              <w:left w:val="single" w:color="auto" w:sz="10" w:space="0"/>
              <w:bottom w:val="single" w:color="auto" w:sz="10" w:space="0"/>
              <w:right w:val="single" w:color="auto" w:sz="10" w:space="0"/>
              <w:insideV w:val="single" w:sz="10" w:space="0"/>
            </w:tcBorders>
          </w:tcPr>
          <w:p w14:paraId="56B386BE"/>
        </w:tc>
      </w:tr>
    </w:tbl>
    <w:p w14:paraId="28AFEAE3">
      <w:r>
        <w:br w:type="page"/>
      </w:r>
    </w:p>
    <w:p w14:paraId="0C8749EA">
      <w:pPr>
        <w:spacing w:line="640" w:lineRule="exact"/>
        <w:ind w:firstLine="640"/>
        <w:jc w:val="both"/>
        <w:outlineLvl w:val="2"/>
      </w:pPr>
      <w:r>
        <w:rPr>
          <w:rFonts w:ascii="黑体" w:hAnsi="黑体" w:eastAsia="黑体"/>
          <w:sz w:val="32"/>
        </w:rPr>
        <w:t>十二、其他需说明的事项</w:t>
      </w:r>
    </w:p>
    <w:p w14:paraId="37BB0E88">
      <w:pPr>
        <w:spacing w:line="580" w:lineRule="exact"/>
        <w:ind w:firstLine="640"/>
        <w:jc w:val="both"/>
      </w:pPr>
      <w:r>
        <w:rPr>
          <w:rFonts w:ascii="仿宋_GB2312" w:hAnsi="仿宋_GB2312" w:eastAsia="仿宋_GB2312"/>
          <w:b w:val="0"/>
          <w:sz w:val="32"/>
        </w:rPr>
        <w:t>本年度本部门整体绩效自评表不予公开。</w:t>
      </w:r>
    </w:p>
    <w:p w14:paraId="7EE05618">
      <w:r>
        <w:br w:type="page"/>
      </w:r>
    </w:p>
    <w:p w14:paraId="61B8797C">
      <w:pPr>
        <w:spacing w:line="240" w:lineRule="auto"/>
        <w:jc w:val="center"/>
        <w:outlineLvl w:val="1"/>
      </w:pPr>
      <w:r>
        <w:rPr>
          <w:rFonts w:ascii="黑体" w:hAnsi="黑体" w:eastAsia="黑体"/>
          <w:sz w:val="32"/>
        </w:rPr>
        <w:t>第三部分 专业名词解释</w:t>
      </w:r>
    </w:p>
    <w:p w14:paraId="073B889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27B768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DD8585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973D29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0DC022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769A0C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812E01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A8D286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C467AF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53B514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C2C9A2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70CC37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5C7B66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22DCB1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E3F9073">
      <w:r>
        <w:br w:type="page"/>
      </w:r>
    </w:p>
    <w:p w14:paraId="4CC201F9">
      <w:pPr>
        <w:spacing w:line="240" w:lineRule="auto"/>
        <w:jc w:val="center"/>
        <w:outlineLvl w:val="1"/>
      </w:pPr>
      <w:r>
        <w:rPr>
          <w:rFonts w:ascii="黑体" w:hAnsi="黑体" w:eastAsia="黑体"/>
          <w:sz w:val="32"/>
        </w:rPr>
        <w:t>第四部分 部门决算报表（见附表）</w:t>
      </w:r>
    </w:p>
    <w:p w14:paraId="3608A0C1">
      <w:pPr>
        <w:spacing w:line="240" w:lineRule="auto"/>
        <w:ind w:firstLine="640"/>
        <w:jc w:val="both"/>
      </w:pPr>
      <w:r>
        <w:rPr>
          <w:rFonts w:ascii="仿宋_GB2312" w:hAnsi="仿宋_GB2312" w:eastAsia="仿宋_GB2312"/>
          <w:b w:val="0"/>
          <w:sz w:val="32"/>
        </w:rPr>
        <w:t>一、《收入支出决算总表》</w:t>
      </w:r>
    </w:p>
    <w:p w14:paraId="28D9D4CE">
      <w:pPr>
        <w:spacing w:line="240" w:lineRule="auto"/>
        <w:ind w:firstLine="640"/>
        <w:jc w:val="both"/>
      </w:pPr>
      <w:r>
        <w:rPr>
          <w:rFonts w:ascii="仿宋_GB2312" w:hAnsi="仿宋_GB2312" w:eastAsia="仿宋_GB2312"/>
          <w:b w:val="0"/>
          <w:sz w:val="32"/>
        </w:rPr>
        <w:t>二、《收入决算表》</w:t>
      </w:r>
    </w:p>
    <w:p w14:paraId="4D6C6996">
      <w:pPr>
        <w:spacing w:line="240" w:lineRule="auto"/>
        <w:ind w:firstLine="640"/>
        <w:jc w:val="both"/>
      </w:pPr>
      <w:r>
        <w:rPr>
          <w:rFonts w:ascii="仿宋_GB2312" w:hAnsi="仿宋_GB2312" w:eastAsia="仿宋_GB2312"/>
          <w:b w:val="0"/>
          <w:sz w:val="32"/>
        </w:rPr>
        <w:t>三、《支出决算表》</w:t>
      </w:r>
    </w:p>
    <w:p w14:paraId="640A0FD0">
      <w:pPr>
        <w:spacing w:line="240" w:lineRule="auto"/>
        <w:ind w:firstLine="640"/>
        <w:jc w:val="both"/>
      </w:pPr>
      <w:r>
        <w:rPr>
          <w:rFonts w:ascii="仿宋_GB2312" w:hAnsi="仿宋_GB2312" w:eastAsia="仿宋_GB2312"/>
          <w:b w:val="0"/>
          <w:sz w:val="32"/>
        </w:rPr>
        <w:t>四、《财政拨款收入支出决算总表》</w:t>
      </w:r>
    </w:p>
    <w:p w14:paraId="5F1A3ECA">
      <w:pPr>
        <w:spacing w:line="240" w:lineRule="auto"/>
        <w:ind w:firstLine="640"/>
        <w:jc w:val="both"/>
      </w:pPr>
      <w:r>
        <w:rPr>
          <w:rFonts w:ascii="仿宋_GB2312" w:hAnsi="仿宋_GB2312" w:eastAsia="仿宋_GB2312"/>
          <w:b w:val="0"/>
          <w:sz w:val="32"/>
        </w:rPr>
        <w:t>五、《一般公共预算财政拨款支出决算表》</w:t>
      </w:r>
    </w:p>
    <w:p w14:paraId="6794FF0D">
      <w:pPr>
        <w:spacing w:line="240" w:lineRule="auto"/>
        <w:ind w:firstLine="640"/>
        <w:jc w:val="both"/>
      </w:pPr>
      <w:r>
        <w:rPr>
          <w:rFonts w:ascii="仿宋_GB2312" w:hAnsi="仿宋_GB2312" w:eastAsia="仿宋_GB2312"/>
          <w:b w:val="0"/>
          <w:sz w:val="32"/>
        </w:rPr>
        <w:t>六、《一般公共预算财政拨款基本支出决算表》</w:t>
      </w:r>
    </w:p>
    <w:p w14:paraId="66E6E002">
      <w:pPr>
        <w:spacing w:line="240" w:lineRule="auto"/>
        <w:ind w:firstLine="640"/>
        <w:jc w:val="both"/>
      </w:pPr>
      <w:r>
        <w:rPr>
          <w:rFonts w:ascii="仿宋_GB2312" w:hAnsi="仿宋_GB2312" w:eastAsia="仿宋_GB2312"/>
          <w:b w:val="0"/>
          <w:sz w:val="32"/>
        </w:rPr>
        <w:t>七、《政府性基金预算财政拨款收入支出决算表》</w:t>
      </w:r>
    </w:p>
    <w:p w14:paraId="63C02EC3">
      <w:pPr>
        <w:spacing w:line="240" w:lineRule="auto"/>
        <w:ind w:firstLine="640"/>
        <w:jc w:val="both"/>
      </w:pPr>
      <w:r>
        <w:rPr>
          <w:rFonts w:ascii="仿宋_GB2312" w:hAnsi="仿宋_GB2312" w:eastAsia="仿宋_GB2312"/>
          <w:b w:val="0"/>
          <w:sz w:val="32"/>
        </w:rPr>
        <w:t>八、《国有资本经营预算财政拨款收入支出决算表》</w:t>
      </w:r>
    </w:p>
    <w:p w14:paraId="0D647AFA">
      <w:pPr>
        <w:spacing w:line="240" w:lineRule="auto"/>
        <w:ind w:firstLine="640"/>
        <w:jc w:val="both"/>
      </w:pPr>
      <w:r>
        <w:rPr>
          <w:rFonts w:ascii="仿宋_GB2312" w:hAnsi="仿宋_GB2312" w:eastAsia="仿宋_GB2312"/>
          <w:b w:val="0"/>
          <w:sz w:val="32"/>
        </w:rPr>
        <w:t>九、《财政拨款“三公”经费支出决算表》</w:t>
      </w:r>
    </w:p>
    <w:p w14:paraId="1CF6B20A">
      <w:pPr>
        <w:spacing w:line="240" w:lineRule="auto"/>
        <w:ind w:firstLine="640"/>
        <w:jc w:val="both"/>
      </w:pPr>
    </w:p>
    <w:p w14:paraId="1F050469">
      <w:pPr>
        <w:spacing w:line="240" w:lineRule="auto"/>
        <w:ind w:firstLine="640"/>
        <w:jc w:val="both"/>
      </w:pPr>
    </w:p>
    <w:p w14:paraId="170C7372">
      <w:pPr>
        <w:spacing w:line="240" w:lineRule="auto"/>
        <w:ind w:firstLine="640"/>
        <w:jc w:val="both"/>
      </w:pPr>
    </w:p>
    <w:p w14:paraId="70E72213">
      <w:pPr>
        <w:spacing w:line="240" w:lineRule="auto"/>
        <w:ind w:firstLine="640"/>
        <w:jc w:val="both"/>
      </w:pPr>
    </w:p>
    <w:p w14:paraId="7785E8B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9B2234D-9C01-490B-9D61-6A963682648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41EF58A8-C854-479E-BF75-0C7DF2BE6521}"/>
  </w:font>
  <w:font w:name="方正小标宋_GBK">
    <w:panose1 w:val="02000000000000000000"/>
    <w:charset w:val="86"/>
    <w:family w:val="script"/>
    <w:pitch w:val="default"/>
    <w:sig w:usb0="A00002BF" w:usb1="38CF7CFA" w:usb2="00082016" w:usb3="00000000" w:csb0="00040001" w:csb1="00000000"/>
    <w:embedRegular r:id="rId3" w:fontKey="{359AF872-A423-430E-B957-8957FA45A21D}"/>
  </w:font>
  <w:font w:name="楷体_GB2312">
    <w:panose1 w:val="02010609030101010101"/>
    <w:charset w:val="86"/>
    <w:family w:val="auto"/>
    <w:pitch w:val="default"/>
    <w:sig w:usb0="00000001" w:usb1="080E0000" w:usb2="00000000" w:usb3="00000000" w:csb0="00040000" w:csb1="00000000"/>
    <w:embedRegular r:id="rId4" w:fontKey="{E886E248-AF22-40D5-B051-0FC43DA01937}"/>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5A9392E"/>
    <w:rsid w:val="06792773"/>
    <w:rsid w:val="09A729D8"/>
    <w:rsid w:val="0A3C58E8"/>
    <w:rsid w:val="0A7B4867"/>
    <w:rsid w:val="0B8C3ECC"/>
    <w:rsid w:val="0C3613A3"/>
    <w:rsid w:val="0C7227A7"/>
    <w:rsid w:val="0DCA6EF7"/>
    <w:rsid w:val="0E4B1576"/>
    <w:rsid w:val="0EA04331"/>
    <w:rsid w:val="0F9811B3"/>
    <w:rsid w:val="111042AD"/>
    <w:rsid w:val="11E15093"/>
    <w:rsid w:val="120E0809"/>
    <w:rsid w:val="142A0F18"/>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5ED5E94"/>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6133</Words>
  <Characters>7052</Characters>
  <Lines>0</Lines>
  <Paragraphs>0</Paragraphs>
  <TotalTime>4</TotalTime>
  <ScaleCrop>false</ScaleCrop>
  <LinksUpToDate>false</LinksUpToDate>
  <CharactersWithSpaces>7067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2025-09-29T03:27:50Z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