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both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ascii="方正小标宋_GBK" w:eastAsia="方正小标宋_GBK" w:hAnsi="华文中宋" w:cs="宋体"/>
          <w:b/>
          <w:kern w:val="0"/>
          <w:sz w:val="44"/>
          <w:szCs w:val="44"/>
        </w:rPr>
      </w:pPr>
      <w:r>
        <w:rPr>
          <w:rFonts w:ascii="方正小标宋_GBK" w:eastAsia="方正小标宋_GBK" w:hAnsi="华文中宋" w:cs="宋体" w:hint="eastAsia"/>
          <w:b/>
          <w:kern w:val="0"/>
          <w:sz w:val="44"/>
          <w:szCs w:val="44"/>
        </w:rPr>
        <w:t xml:space="preserve"> 部门单位项目支出绩效评价报告</w:t>
      </w:r>
    </w:p>
    <w:p>
      <w:pPr>
        <w:spacing w:line="570" w:lineRule="exact"/>
        <w:jc w:val="center"/>
        <w:rPr>
          <w:rFonts w:ascii="华文中宋" w:eastAsia="华文中宋" w:hAnsi="华文中宋" w:cs="宋体"/>
          <w:b/>
          <w:kern w:val="0"/>
          <w:sz w:val="52"/>
          <w:szCs w:val="52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6"/>
          <w:szCs w:val="36"/>
        </w:rPr>
      </w:pPr>
      <w:r>
        <w:rPr>
          <w:rFonts w:eastAsia="仿宋_GB2312" w:hAnsi="宋体" w:cs="宋体" w:hint="eastAsia"/>
          <w:kern w:val="0"/>
          <w:sz w:val="36"/>
          <w:szCs w:val="36"/>
        </w:rPr>
        <w:t xml:space="preserve">（  </w:t>
      </w:r>
      <w:r>
        <w:rPr>
          <w:rStyle w:val="Strong"/>
          <w:rFonts w:ascii="仿宋_GB2312" w:eastAsia="仿宋_GB2312" w:hAnsi="楷体" w:hint="eastAsia"/>
          <w:spacing w:val="-4"/>
          <w:sz w:val="32"/>
          <w:szCs w:val="32"/>
        </w:rPr>
        <w:t xml:space="preserve">2024</w:t>
      </w:r>
      <w:r>
        <w:rPr>
          <w:rFonts w:ascii="方正仿宋_GBK" w:eastAsia="方正仿宋_GBK" w:hAnsi="宋体" w:cs="宋体" w:hint="eastAsia"/>
          <w:kern w:val="0"/>
          <w:sz w:val="36"/>
          <w:szCs w:val="36"/>
        </w:rPr>
        <w:t xml:space="preserve"> </w:t>
      </w:r>
      <w:r>
        <w:rPr>
          <w:rFonts w:eastAsia="仿宋_GB2312" w:hAnsi="宋体" w:cs="宋体" w:hint="eastAsia"/>
          <w:kern w:val="0"/>
          <w:sz w:val="36"/>
          <w:szCs w:val="36"/>
        </w:rPr>
        <w:t xml:space="preserve"> 年度）</w:t>
      </w: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570" w:lineRule="exact"/>
        <w:jc w:val="center"/>
        <w:rPr>
          <w:rFonts w:eastAsia="仿宋_GB2312" w:hAnsi="宋体" w:cs="宋体"/>
          <w:kern w:val="0"/>
          <w:sz w:val="30"/>
          <w:szCs w:val="30"/>
        </w:rPr>
      </w:pPr>
    </w:p>
    <w:p>
      <w:pPr>
        <w:spacing w:line="70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项目名称：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妇联“石榴花·追梦女孩”2024年自治区青少年女子足球邀请赛项目</w:t>
      </w:r>
    </w:p>
    <w:p>
      <w:pPr>
        <w:spacing w:line="570" w:lineRule="exact"/>
        <w:ind w:firstLine="360" w:firstLineChars="100"/>
        <w:jc w:val="left"/>
        <w:rPr>
          <w:rFonts w:ascii="仿宋" w:eastAsia="仿宋" w:hAnsi="仿宋" w:cs="仿宋"/>
          <w:kern w:val="0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实施单位（公章）：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新疆维吾尔自治区喀什地区妇女联合会</w:t>
      </w:r>
    </w:p>
    <w:p>
      <w:pPr>
        <w:spacing w:line="540" w:lineRule="exact"/>
        <w:ind w:firstLine="360" w:firstLineChars="100"/>
        <w:rPr>
          <w:rFonts w:ascii="仿宋" w:eastAsia="仿宋" w:hAnsi="仿宋" w:cs="仿宋" w:hint="eastAsia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主管部门（公章）：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新疆维吾尔自治区喀什地区妇女联合会</w:t>
      </w:r>
    </w:p>
    <w:p>
      <w:pPr>
        <w:spacing w:line="570" w:lineRule="exact"/>
        <w:ind w:firstLine="360" w:firstLineChars="100"/>
        <w:rPr>
          <w:rFonts w:ascii="仿宋" w:eastAsia="仿宋" w:hAnsi="仿宋" w:cs="仿宋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项目负责人（签章）：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依丽努尔·依力哈木</w:t>
      </w:r>
    </w:p>
    <w:p>
      <w:pPr>
        <w:spacing w:line="540" w:lineRule="exact"/>
        <w:ind w:firstLine="360" w:firstLineChars="100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Fonts w:ascii="仿宋" w:eastAsia="仿宋" w:hAnsi="仿宋" w:cs="仿宋" w:hint="eastAsia"/>
          <w:kern w:val="0"/>
          <w:sz w:val="36"/>
          <w:szCs w:val="36"/>
        </w:rPr>
        <w:t xml:space="preserve">填报时间：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2025年04月16日</w:t>
      </w:r>
    </w:p>
    <w:p>
      <w:pP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br w:type="page"/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一、基本情况</w:t>
      </w:r>
    </w:p>
    <w:p>
      <w:pPr>
        <w:spacing w:line="570" w:lineRule="exact"/>
        <w:ind w:firstLine="640" w:firstLineChars="200"/>
        <w:rPr>
          <w:rStyle w:val="Strong"/>
          <w:rFonts w:ascii="方正楷体_GBK" w:eastAsia="方正楷体_GBK" w:hAnsi="方正楷体_GBK" w:cs="方正楷体_GBK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（一）项目概况。包括项目背景、主要内容及实施情况、资金投入和使用情况等。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项目背景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遵循财政部《项目支出绩效评价管理办法》（财预〔2020〕10号）和自治区财政厅《自治区财政支出绩效评价管理暂行办法》（新财预〔2018〕189号）《关于举办“石榴花·追梦女孩”2024年自治区青少年女子足球邀请赛的通知》（新妇字【2024】18号）等相关政策文件与规定，旨在为提升喀什地区青少年女子足球运动水平，发现、选拔和培养足球运动人才，全力推动喀什地区女子足球工作持续快速发展。通过该项目的实施，保障了参赛队员顺利参加本次足球比赛，有效地促进了青少年足球的推广与普及，推动了足球运动普及发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主要内容及实施情况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根据《关于举办“石榴花·追梦女孩”2024年自治区青少年女子足球邀请赛的通知》（新妇字【2024】18号）文件精神，地区妇联与地区体育局、教育局沟通和联系，精心筛选出1名领队、2名教练员和15名运动员参加本次比赛，力争获得比赛名次。本项目主要为保障参赛人员正常顺利参加足球比赛，用于采购参赛人员的参赛服装、足球赛必需用品，支付参赛人员往返交通、差旅费、医药费、体检、保险及集训费等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通过政府采购为18名参赛人员采购一批2.507万元参赛服装、足球赛必需用品、支付参赛人员往返交通费用2.52万元、15名参赛队员保险费用0.15万元、发放18人赛前集训补助1.08万元，有效保障了参赛队员顺利参加本次足球比赛，有效地促进了青少年足球的推广与普及，推动了足球运动普及发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3.项目实施主体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喀什地区妇女联合会为行政单位，纳入2024年部门决算编制范围的有2个科级科室及2个事业编部门，由喀什地区妇女联合会办公室具体实施。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编制人数16人，其中：行政人员编制7人、机关工勤1人、事业人员编制8人。实有在职人数16人，其中：行政在职7人、机关工勤1人、事业人员8人。退休人员9人。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 资金投入和使用情况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根据《关于举办“石榴花·追梦女孩”2024年自治区青少年女子足球邀请赛的通知》（新妇字【2024】18号，地区妇联向财经领导小组申请年中追加预算，财政共安排下达资金6.96万元，为本级财政资金，最终确定项目资金总数为6.96万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截至2024年12月31日，实际支出6.26万元，预算执行率89.89%，用于为18名参赛人员通过政府采购采购一批2.51万元参赛服装、足球赛必需用品，支付参赛人员往返交通费用2.52万元、15名参赛队员保险费用0.15万元、发放18人赛前集训补助1.08万元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（二）项目绩效目标。包括总体目标和阶段性目标。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（二）项目绩效目标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项目绩效目标包括项目绩效总目标和阶段性目标。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1.项目绩效总目标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据2024年自治区青少年女子足球邀请赛的通知》（新妇字【2024】18号）文件精神，地区妇联与地区体育局、教育局沟通和联系，精心筛选出1名领队、2名教练员和15名运动员参加本次比赛，力争获得比赛名次。本项目主要为保障本次参赛人员正常比赛，用于采购参赛人员必需参赛用品，支付参赛人员往返交通、差旅费、医药费、体检、保险及集训费等共计6.957万元。通过比赛，提升足球运动普及发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2.阶段性目标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实施的前期准备工作：一是筛选参赛人选。地区妇联与地区体育局、教育局沟通和联系，精心筛选出1名领队、2名教练员和15名运动员参加本次比赛。二是委托并通过体育局等部门组织参赛人员做好赛前集训；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具体实施工作：一是加强部门沟通，确定参赛所需各用品及数量，开展参赛服装及用品的政府采购及时验收、供货，发放送达至参赛人员本人；二是及时组织队员开展体检，并做好往返交通费保障，及时安排相关人员为参赛人员购买车票，保证参赛队员按时参加比赛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验收阶段的具体工作：此项目除购买参赛服装及比赛必需用品采购外，其他不涉及验收工作。采购物品均组织人员对通过政府采购的各服装、参赛用品进行清点、验收，验收合格后，发放给参赛人员签收。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二、绩效评价工作开展情况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（一）绩效评价目的、对象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  <w:lang w:eastAsia="zh-CN"/>
        </w:rPr>
        <w:t xml:space="preserve">、时间和</w:t>
      </w: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范围。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（一）绩效评价目的、对象和范围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 绩效评价目的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本次绩效评价遵循财政部《项目支出绩效评价管理办法》（财预〔2020〕10号）、《关于印发〈中央部门项目支出核心绩效目标和指标设置及取值指引（试行）〉的通知》（财预〔2021〕101号）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以及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自治区财政厅《关于印发〈自治区项目支出绩效目标设置指引〉的通知》（新财预〔2022〕42号）、《喀什地区财政支出绩效评价管理暂行办法》（喀地财预〔2019〕18号〔2018〕189号）等相关政策文件与规定，旨在评价妇联“石榴花·追梦女孩”2024年自治区青少年女子足球邀请赛项目实施前期、过程及效果，评价财政预算资金使用的效率及效益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 绩效评价对象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绩效评价遵循财政部《项目支出绩效评价管理办法》（财预〔2020〕10号）和《自治区财政支出绩效评价管理暂行办法》（新财预〔2018〕189号）等政策文件规定，以妇联“石榴花·追梦女孩”2024年自治区青少年女子足球邀请赛项目为评价对象，对该项目资金决策、项目实施过程，以及项目实施所带来的产出和效果为主要内容，促进预算单位完成特定工作任务目标而组织开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 绩效评价范围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范围涵盖项目总体绩效目标、各项绩效指标完成情况以及预算执行情况。覆盖项目预算资金支出的所有内容进行评价。包括项目决策、项目实施和项目成果验收流程等。本次绩效评价对项目进行现场调研，评价小组对项目资金的到位、使用、绩效管理和项目管理等情况进行检查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（二）绩效评价原则、评价指标体系（附表说明）、评价方法、评价标准等。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（二）绩效评价原则、评价指标体系、评价方法评价标准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1.绩效评价原则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华人民共和国预算法》《中共中央国务院关于全面实施预算绩效管理的意见》（中发〔2018〕34号）、《项目支出绩效评价管理办法》（财预〔2020〕10号）、《自治区党委自治区人民政府关于全面实施预算绩效管理的实施意见》（新党发〔2018〕30号）、《自治区财政支出绩效评价管理暂行办法》（新财预〔2018〕189号）、《关于印发&lt;自治区项目支出绩效目标设置指引&gt;的通知》（新财预〔2022〕42号）等要求，绩效评价应遵循如下原则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（1）科学公正。绩效评价应当运用科学合理的方法，按照规范的程序，对项目绩效进行客观、公正的反映。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（3）激励约束。绩效评价结果应与预算安排、政策调整、改进管理实质性挂钩，体现奖优罚劣和激励相容导向，有效要安排、低效要压减、无效要问责。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（4）公开透明。绩效评价结果应依法依规公开，并自觉接受社会监督。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2.绩效评价指标体系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绩效评价体系根据《关于印发〈项目支出绩效评价管理办法〉的通知》（财预﹝2020﹞10号）文件中共性指标及个性化指标设置，主要分为共性指标和个性指标两大类。共性指标下设决策与过程2个一级指标，其中：项目决策下设项目立项、绩效目标、资金投入3个二级指标；过程下设资金管理和组织实施2个二级指标。个性指标下设产出、效益满意度3个一级指标，其中：产出下设产出数量、产出质量、产出时效、产出成本4个2级指标，效益下设项目效益1个二级指标，满意度下设项满意度1个二级指标。项目绩效评价体系详见附件1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妇联“石榴花·追梦女孩”2024年自治区青少年女子足球邀请赛项目综合评分表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二级指标   三级指标               得分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决策（15分） 项目立项（5分）   立项依据充分性（3分）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立项程序（2分）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绩效目标（5分）   绩效目标合理性（3分）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绩效指标明确性（2分）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资金投入（5分）   预算编制（3分）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资金分配合理性（2分）         2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过程（20分） 资金管理（10分）  资金到位率（3分）  3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预算执行率（3分）  2.7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资金使用合规性（4分）  4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组织实施（10分）  管理制度健全性（5分）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制度执行（5分）  5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产出（45分） 产出数量（10分）  实际完成率（10分）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产出质量（10分）  质量达标率（10分）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产出时效（10分）  完成及时性（10分）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产出成本（15分）  成本节约率（15分）  13.48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效益（10分） 项目效益（10分）  实施效益（10分）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满意度（10分） 满意度（10分）   满意度（10分）  10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                权重分值：100分</w:t>
        <w:tab/>
        <w:t xml:space="preserve">  总得分    </w:t>
        <w:tab/>
        <w:t xml:space="preserve">                98.18 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3.绩效评价方法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本次评价采用定量与定性评价相结合的比较法和公众评判法，总分由各项指标得分汇总形成。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比较法：是指通过对绩效目标与实施效果、历史与当期情况、不同部门和地区同类支出的比较，综合分析绩效目标实现程度。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公众评判法：是指通过专家评估、公众问卷及抽样调查等对财政支出效果进行评判，评价绩效目标实现程度。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4.绩效评价标准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绩效评价标准通常包括计划标准、行业标准、历史标准等，用于对绩效指标完成情况进行比较、分析、评价。本次评价主要采用了计划标准。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计划标准：指以预先制定的目标、计划、预算、定额等作为评价标准。</w:t>
      </w:r>
    </w:p>
    <w:p>
      <w:pPr>
        <w:spacing w:line="570" w:lineRule="exact"/>
        <w:ind w:firstLine="640" w:firstLineChars="200"/>
        <w:rPr>
          <w:rStyle w:val="Strong"/>
          <w:rFonts w:ascii="楷体" w:eastAsia="楷体" w:hAnsi="楷体" w:cs="楷体"/>
          <w:bCs w:val="0"/>
          <w:spacing w:val="-4"/>
          <w:sz w:val="32"/>
          <w:szCs w:val="32"/>
        </w:rPr>
      </w:pPr>
      <w:r>
        <w:rPr>
          <w:rStyle w:val="Strong"/>
          <w:rFonts w:ascii="楷体" w:eastAsia="楷体" w:hAnsi="楷体" w:cs="楷体" w:hint="eastAsia"/>
          <w:bCs w:val="0"/>
          <w:spacing w:val="-4"/>
          <w:sz w:val="32"/>
          <w:szCs w:val="32"/>
        </w:rPr>
        <w:t xml:space="preserve">（三）绩效评价工作过程。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（三）绩效评价工作过程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第一阶段：前期准备。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我单位绩效评价人员根据《项目支出绩效评价管理办法》（财预〔2020〕10号）文件精神认真学习相关要求与规定，成立绩效评价工作组，作为绩效评价工作具体实施机构。成员构成如下：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马新华任评价组组长，绩效评价工作职责为负责全盘工作。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依明姑丽·亚森任评价组副组长，绩效评价工作职责为为对项目实施情况进行实地调查。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李静任评价组成员，绩效评价工作职责为负责资料审核等工作。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第二阶段：组织实施。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经评价组通过实地调研、查阅资料等方式，采用综合分析法对项目的决策、管理、绩效进行的综合评价分析。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第三阶段：分析评价。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首先按照指标体系进行定量、定性分析。其次开展量化打分、综合评价工作，形成初步评价结论。最后归纳整体项目情况与存在问题，撰写部门绩效评价报告。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三、综合评价情况及评价结论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（一）综合评价情况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通过实施妇联“石榴花·追梦女孩”2024年自治区青少年女子足球邀请赛项目，有效保障了参赛队员顺利参加足球比赛，有效地促进了青少年足球的推广与普及，推动了足球运动普及发展。项目实施主要通过项目决策、项目过程、项目产出以及项目效益等方面进行评价，其中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：该项目主要通过《关于举办“石榴花·追梦女孩”2024年自治区青少年女子足球邀请赛的通知》（新妇字【2024】18号）文件精神立项，项目实施符合国家对足球运动普及发展要求，项目立项依据充分，立项程序规范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：妇联“石榴花·追梦女孩”2024年自治区青少年女子足球邀请赛项目预算安排6.96万元，实际支出6.26万元，预算执行率89.89%。项目资金使用合规，项目财务管理制度健全，财务监控到位，所有资金支付均按照国库集中支付制度严格执行，现有项目管理制度执行情况良好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项目产出：参赛次数1次，参赛人数18人，参赛服装、设备采购数量1批次，参赛服装、装备等均已验收合格，完成比赛及时率达100%。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项目效益：通过实施妇联“石榴花·追梦女孩”2024年自治区青少年女子足球邀请赛项目，有效保障了参赛队员顺利参加足球比赛，有效地促进了青少年足球的推广与普及，推动了足球运动普及发展。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（二）综合评价结论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依据《中共中央国务院关于全面实施预算绩效管理的意见》《项目支出绩效评价管理办法》（财预〔2020〕10号）以及《关于进一步加强和规范喀什地区项目支出“全过程”预算绩效管理结果应用的通知》（喀地财绩〔2022〕2号）文件，绩效评价总分设置为100分，划分为四档：90（含）-100分为“优”、80（含）-90分为“良”、70（含）-80分为“中”、70分以下为“差”。经对妇联“石榴花·追梦女孩”2024年自治区青少年女子足球邀请赛项目进行客观评价，最终评分结果：评价总分98.18分，绩效等级为“优”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一级指标 标准分值 得分 得分率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决策指标       15 15   100.00%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过程指标       20 19.7   98.50%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产出指标       45 43.48   96.62%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效益指标       20 20   100.00%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              100 98.18   98.18%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四、绩效评价指标分析 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（一）项目决策情况。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（一）项目决策情况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项目决策类指标包括项目立项、绩效目标和资金投入三方面的内容，由6个三级指标构成，权重分为15分，实际得分15分，得分率为100%。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立项依据充分性：依据《喀什地区妇联财务管理规程》、《喀什地区妇联预算绩效管理工作实施办法》及2024年自治区青少年女子足球邀请赛的通知》（新妇字【2024】18号）文件精神要求，编制妇联“石榴花·追梦女孩”2024年自治区青少年女子足球邀请赛项目工作计划及经费预算，符合行业发展规划和政策要求；本项目立项符合《喀什地区妇联单位配置内设机构和人员编制规定》中职责范围中的“维护妇女儿童合法权益”、”促进性别平等“”参与社会管理与公共服务“等，属于我单位履职所需；根据《财政资金直接支付申请书》，本项目资金性质为“公共财政预算”，属于公共财政支持范围，符合中央、地方事权支出责任划分原则；经检查我单位财政管理一体化信息系统，本项目不存在重复。结合妇联组织工作职责，并组织实施该项目。围绕2024年度自治区工作重点和工作计划制定项目预算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立项程序规范性：根据《喀什地区“阳光心态”健康心理指导骨干培训方案》及财政批复为决策依据，编制工作计划和项目预算，经过与地区妇联分管领导进行沟通、筛选确定经费预算计划，上党组会研究确定最终预算方案，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（3）绩效目标合理性：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①该项目已设置年度绩效目标，具体内容为“地区妇联与地区体育局、教育局沟通和联系，计划精心筛选出1名领队、2名教练员和15名运动员参加自治区青少年女子足球邀请赛。本项目主要为保障本次参赛人员正常比赛，用于采购参赛人员必需参赛用品，支付参赛人员往返交通、差旅费、医药费、体检、保险及集训费等共计6.957万元。通过比赛，提升足球运动普及发展。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该项目实际工作内容为：项目实际选出1名领队、2名教练员和15名运动员，共计18名人员参加本次比赛。本项目主要为保障参赛人员正常顺利参加足球比赛，用于采购1批次参赛人员所需的参赛服装、足球赛必需用品等，支付参赛人员往返交通、差旅费、保险及集训费等。绩效目标与实际工作内容一致，两者具有相关性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按照绩效目标完成数量指标、质量指标、时效指标、成本指标，完成了参赛次数1次，参赛人数18人，参赛服装、设备采购数量1批次，参赛服装、装备等合格率100%，完成比赛及时率100%。有效推动了青少年足球运动普及发展。预期产出效益和效果符合正常的业绩水平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④该项目批复的预算金额为6.96万元，《项目支出绩效目标表》中预算金额为6.96万元，预算确定的项目资金人均3866.67万元与预算确定的项目投资额相匹配。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⑤本单位制定了妇联“石榴花·追梦女孩”2024年自治区青少年女子足球邀请赛项目实施方案，明确了总体思路及目标、并对参加2024年自治区青少年女子足球邀请赛等相关任务进行了详细分解，对绩效目标进行了细化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绩效指标明确性：经检查我单位年初设置的《项目支出绩效目标表》，得出如下结论：本项目已将年度绩效目标进行细化为绩效指标体系，共设置一级指标4个，二级指标6个，三级指标8个，定量指标7个，定性指标1个，指标量化率为87.5%，量化率达70.0%以上，将项目绩效目标细化分解为具体的绩效指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该《项目绩效目标申报表》中，数量指标指标值为参赛次数1次，参赛人数18人，参赛服装、设备采购数量1批次，三级指标的年度指标值与年度绩效目标中任务数一致，已设置时效指标“完成比赛及时率=100%”。已设置的绩效目标具备明确性、可衡量性、可实现性、相关性、时限性。根据评分标准，该指标不扣分，得2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预算编制科学性：本项目由地区妇联负责实施，地区妇联加强与地区体育局、教育局沟通和联系，通过征得地区体育局同意，由其从历次参赛的实际必需的人员配置及参赛装备配置种类及数量，地区妇联以此为据，通过政采云平台逐一精确询价，为本项目预算编制提供了较科学、详实的数据，即预算编制较科学且经过论证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预算申请内容为采购参赛人员的参赛服装、足球赛必需用品，支付参赛人员往返交通、差旅费、保险及集训费等。项目实际内容为采购参赛人员的参赛服装、足球赛必需用品，支付参赛人员往返交通、差旅费、保险及集训费等，预算申请与《妇联“石榴花·追梦女孩”2024年自治区青少年女子足球邀请赛项目实施方案》中涉及的项目内容匹配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本项目预算申请资金6.96万元，我单位在预算申请中严格按照项目实施内容及测算标准进行核算，其中：参赛人员服装及装备采购费用2.507万元、参赛人员往返交通费用2.863万元、保险费用0.225万元、体检费0.225万元、医药费0.06万元，集训补助1.08万元。预算确定资金量与实际工作任务相匹配。本项目预算额度测算依据充分，严格按照标准编制，预算确定资金量与实际工作任务相匹配；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6）资金分配合理性：本项目实际分配资金以《关于申请妇联“石榴花·追梦女孩”2024年自治区青少年女子足球邀请赛项目资金的请示》和《妇联“石榴花·追梦女孩”2024年自治区青少年女子足球邀请赛项目实施方案》为依据进行资金分配，预算资金分配依据充分。根据《妇联“石榴花·追梦女孩”2024年自治区青少年女子足球邀请赛项目资金批复》，本项目实际到位资金6.96万元，实际支出6.23万元，资金分配额度合理，与我单位实际需求相适应，资金分配参赛人员服装及装备采购费用2.507万元、参赛人员往返交通费用2.863万元、保险费用0.225万元、体检费0.225万元、医药费0.06万元，集训补助1.08万元与实际相不适应，其中参赛过程中未产生医药费0.06万元支出，以及因与上一个比赛接近无需重复体检因此体检0.225万元费用未支付，虽然项目金额未支出完毕，但项目实际已完成，根据评分标准，该指标不扣分，得2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（二）项目过程情况。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（二）项目过程情况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项目过程类指标包括资金管理和组织实施两方面的内容，由5个三级指标构成，权重分为20分，实际得分19.7分，得分率为98.5%。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资金到位率：本项目预算资金为6.96万元，其中：财政安排资金6.96万元，其他资金0万元，实际到位资金6.96万元，资金到位率=100%；通过分析可知，该项目财政资金足额拨付到位，能够及时足额支付给实施单位。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预算执行率：本项目实际支出资金6.26万元，预算执行率=（实际支出资金/实际到位资金）×100.0%=89.89%；通过分析可知，该项目预算编制较为详细，项目资金支出总体能够按照预算执行，根据评分标准，该指标扣0.3分，得2.7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资金使用合规性：通过检查项目资金申请文件、国库支付凭证等财务资料，得出本项目资金支出符合国家财经法规、《政府会计制度》《喀什地区妇联资金管理办法》《喀什地区妇联专项资金管理办法》，资金的拨付有完整的审批程序和手续，资金实际使用方向与预算批复用途一致，不存在截留、挤占、挪用、虚列支出的情况。我单位制定了相关的制度和管理规定对经费使用进行规范管理，财务制度健全、执行严格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管理制度健全性：我单位已制定《地区妇联资金管理办法》《地区妇联收支业务管理制度》《地区妇联政府采购业务管理制度》《地区妇联合同管理制度》，相关制度均符合行政事业单位内控管理要求，财务和业务管理制度合法、合规、完整，本项目执行符合上述制度规定。根据评分标准，该指标不扣分，得5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5）制度执行有效性：①该项目的实施符合《地区妇联项目管理制度》《喀什地区妇联采购业务管理制度》《喀什地区妇联合同管理制度》等相关法律法规及管理规定，项目具备完整规范的立项程序；经查证项目实施过程资料，项目采购、实施、验收等过程均按照采购管理办法和合同管理办法等相关制度执行，基本完成既定目标；经查证党委会议纪要、项目资金支付审批表、记账凭证等资金拨付流程资料，项目资金拨付流程完整、手续齐全。综上分析，项目执行遵守相关法律法规和相关管理规定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②经现场查证妇联“石榴花·追梦女孩”2024年自治区青少年女子足球邀请赛项目项目《关于护腿的网上超市合同》、验收表、财务支付凭证等资料齐全并及时归档。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③该项目实施过程中不存在调整事项。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④该项目实施所需要的项目人员和场地设备均已落实到位，具体涉及内容包括：项目资金支出严格按照自治区、地区以及本单位资金管理办法执行，项目启动实施后，为了加快本项目的实施，成立了喀什地区妇联项目工作领导小组，由马新华任组长，负责项目的组织工作；依明姑丽·亚森任副组长，负责项目的实施工作；组员包括：依丽努尔·依力哈木和李静，主要负责项目监督管理、验收以及资金核拨等工作。根据评分标准，该指标不扣分，得5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（三）项目产出情况。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（三）项目产出情况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项目产出类指标包括产出数量、产出质量、产出时效、产出成本四方面的内容，由6个三级指标构成，权重分为45分，实际得分43.48分，得分率为96.62%。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（1）对于“产出数量”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参赛次数，预期指标值为不少于1次，实际完成值为1次，指标完成率为100%，与预期目标一致，根据评分标准，该指标不扣分，得3分。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参赛人数，预期指标值为不少于18人，实际完成值为18人，指标完成率为100%，与预期目标一致，根据评分标准，该指标不扣分，得3分。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参赛服装、设备采购数量，预期指标值为不少于1批次，实际完成值为1批次，指标完成率为100%，与预期目标一致，根据评分标准，该指标不扣分，得4分。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合计得10分。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（2）对于“产出质量”：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参赛服装、装备等合格率，预期指标值为100%，实际完成值为100%，指标完成率为100%，与预期目标一致，根据评分标准，该指标不扣分，得10分。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（3）对于“产出时效”：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完成比赛及时率，预期指标值为100%，实际完成值为100%，指标完成率为100%，与预期目标一致，根据评分标准，该指标不扣分，得10分。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（4）对于“产出成本”：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人均比赛费用，预期指标值为不高于3866.67元/人，实际完成值为3475.83元/人，指标完成率为89.89%，偏差原因：项目预算6.96万元，实际支出6.26万元，其中医疗费以及体检费因实际情况无需支付，资金结余，改进措施：发生的相关费用应报尽报，无需发生的费用不报，节约项目资金，项目经费都能控制绩效目标范围内，根据评分标准，该指标扣1.52分，得13.48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（四）项目效益情况。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（四）项目效益情况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项目效益类指标包括项目效益1个方面的内容，由1个三级指标构成，权重分为10分，实际得分10分，得分率为100%。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对于“社会效益指标”：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提升足球运动项目普及与发展，该指标预期指标值为提升，实际完成值为提升，指标完成率为100%，与预期指标一致，根据评分标准，该指标不扣分，得10分。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实施效益指标合计得10分。</w:t>
      </w:r>
    </w:p>
    <w:p>
      <w:pPr>
        <w:spacing w:line="570" w:lineRule="exact"/>
        <w:ind w:firstLine="640" w:firstLineChars="200"/>
        <w:rPr>
          <w:rFonts w:ascii="楷体" w:eastAsia="楷体" w:hAnsi="楷体" w:cs="楷体"/>
          <w:b/>
          <w:spacing w:val="-4"/>
          <w:sz w:val="32"/>
          <w:szCs w:val="32"/>
        </w:rPr>
      </w:pP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（</w:t>
      </w:r>
      <w:r>
        <w:rPr>
          <w:rFonts w:ascii="楷体" w:eastAsia="楷体" w:hAnsi="楷体" w:cs="楷体" w:hint="eastAsia"/>
          <w:b/>
          <w:spacing w:val="-4"/>
          <w:sz w:val="32"/>
          <w:szCs w:val="32"/>
          <w:lang w:val="en-US" w:eastAsia="zh-CN"/>
        </w:rPr>
        <w:t xml:space="preserve">五</w:t>
      </w:r>
      <w:r>
        <w:rPr>
          <w:rFonts w:ascii="楷体" w:eastAsia="楷体" w:hAnsi="楷体" w:cs="楷体" w:hint="eastAsia"/>
          <w:b/>
          <w:spacing w:val="-4"/>
          <w:sz w:val="32"/>
          <w:szCs w:val="32"/>
        </w:rPr>
        <w:t xml:space="preserve">）满意度指标完成情况分析。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（五）项目满意度情况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项目满意类指标包括项目满意度1个方面的内容，由1个三级指标构成，权重分为10分，实际得分10分，得分率为100%。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满意度指标分析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对于“满意度指标：参赛人员满意度，该指标预期指标值为98%，实际完成值为100，指标完成率为102.04%，与预期目标一致，根据评分标准，该指标不扣分，得10分。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bookmarkStart w:id="0" w:name="_GoBack"/>
      <w:bookmarkEnd w:id="0"/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五、预算执行进度与绩效指标偏差</w:t>
      </w:r>
    </w:p>
    <w:p>
      <w:pPr>
        <w:spacing w:line="540" w:lineRule="exact"/>
        <w:ind w:firstLine="567"/>
        <w:rPr>
          <w:rFonts w:ascii="仿宋" w:eastAsia="仿宋" w:hAnsi="仿宋" w:cs="仿宋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妇联“石榴花·追梦女孩”2024年自治区青少年女子足球邀请赛项目预算6.96万元，到位6.96万元，实际支出6.26万元，预算执行率为89.89%，项目绩效指标总体完成率为99%，偏差率为9.11%，偏差原因：由于该参赛队队员于此次比赛前在阿克苏比赛，参赛前期已参加过体检，本比赛前不再进行体检，参赛队员医药费、体检费实际未发生，保险费实际采购较预算节约等因素，导致实际支出较预算数少0.7万元。采取的措施：根据项目实际情况科学化测算项目预算，精准设置绩效目标，并在项目执行过程中实时跟进，及时调整绩效目标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六、主要经验及做法、存在的问题及原因分析</w:t>
      </w: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  <w:lang w:eastAsia="zh-CN"/>
        </w:rPr>
        <w:t xml:space="preserve">、下一步改进措施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（一）主要经验及做法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本项目能够严格按照《妇联“石榴花·追梦女孩”2024年自治区青少年女子足球邀请赛项目实施方案》执行，项目执行情况较好。二是加强组织领导，本项目绩效评价工作，有主要领导亲自负责，分管领导具体负责，从项目到资金，均能够很好的执行。三是加强沟通协调，我单位及时向领导汇报项目进度，加强与地区体育局、教育局的沟通，确保项目按期完成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（二）存在问题及原因分析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项目预算资金测算和规划不够科学精准，绩效目标设置不够精准；二是没有跟进项目进度，未及时督促项目负责人按照实施方案开展工作，导致项目进展慢，未能按照绩效监控节点进度实施项目；三是项目实施后，对后续效益评价具体措施和方法较少。对今后同类项目实施缺少借鉴作用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（三）下一步措施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一是深入了解项目实施内容及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涉及</w:t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的费用产生来源和依据，科学精准测算规划项目预算资金，精准设置绩效目标；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二是建立项目进度跟踪机制，跟进项目进度，及时督促项目负责人按方案开展工作，入时发现并解决进度滞后的问题；三是制定详细的后续效益评价计划，明确具体的评价指标和方法，定期开展项目效益后续评估和分析，对实施好同类项目提供好的经验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七、有关建议</w:t>
      </w:r>
    </w:p>
    <w:p>
      <w:pPr>
        <w:spacing w:line="540" w:lineRule="exact"/>
        <w:ind w:firstLine="567"/>
        <w:rPr>
          <w:rStyle w:val="Strong"/>
          <w:rFonts w:ascii="仿宋" w:eastAsia="仿宋" w:hAnsi="仿宋" w:cs="仿宋"/>
          <w:b w:val="0"/>
          <w:bCs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1.项目实施前，充分做好调查论证工作，制定完善的实施方案，根据项目实施方案，科学测算项目预算并精准设置项目绩效目标。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2.跟进项目序时进度，及时督促项目负责人按照工作计划开展相关工作，加快执行进度，及时支付资金。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3.项目评价资料有待进一步完善。项目启动时同步做好档案的归纳与整理，及时整理、收集、汇总，健全档案资料。项目后续工作进一步加强管理和跟踪。</w:t>
      </w:r>
      <w:r>
        <w:rPr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br/>
      </w: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4.通过绩效管理，发现实施中存在漏洞，以后加强管理，及时掌握与之相关的各类信息，减少成本，使资金效益最大化。</w:t>
      </w:r>
    </w:p>
    <w:p>
      <w:pPr>
        <w:spacing w:line="570" w:lineRule="exact"/>
        <w:ind w:firstLine="640" w:firstLineChars="200"/>
        <w:rPr>
          <w:rStyle w:val="Strong"/>
          <w:rFonts w:ascii="黑体" w:eastAsia="黑体" w:hAnsi="黑体" w:cs="黑体"/>
          <w:b w:val="0"/>
          <w:spacing w:val="-4"/>
          <w:sz w:val="32"/>
          <w:szCs w:val="32"/>
        </w:rPr>
      </w:pPr>
      <w:r>
        <w:rPr>
          <w:rStyle w:val="Strong"/>
          <w:rFonts w:ascii="黑体" w:eastAsia="黑体" w:hAnsi="黑体" w:cs="黑体" w:hint="eastAsia"/>
          <w:b w:val="0"/>
          <w:spacing w:val="-4"/>
          <w:sz w:val="32"/>
          <w:szCs w:val="32"/>
        </w:rPr>
        <w:t xml:space="preserve">八、其他需要说明的问题</w:t>
      </w:r>
    </w:p>
    <w:p>
      <w:pPr>
        <w:spacing w:line="540" w:lineRule="exact"/>
        <w:ind w:firstLine="567"/>
        <w:rPr>
          <w:rStyle w:val="Strong"/>
          <w:rFonts w:ascii="仿宋" w:eastAsia="仿宋" w:hAnsi="仿宋"/>
          <w:b w:val="0"/>
          <w:spacing w:val="-4"/>
          <w:sz w:val="32"/>
          <w:szCs w:val="32"/>
        </w:rPr>
      </w:pPr>
      <w:r>
        <w:rPr>
          <w:rStyle w:val="Strong"/>
          <w:rFonts w:ascii="仿宋" w:eastAsia="仿宋" w:hAnsi="仿宋" w:cs="仿宋" w:hint="eastAsia"/>
          <w:b w:val="0"/>
          <w:bCs w:val="0"/>
          <w:spacing w:val="-4"/>
          <w:sz w:val="32"/>
          <w:szCs w:val="32"/>
        </w:rPr>
        <w:t xml:space="preserve">我单位对上述项目支出绩效评价报告内反映内容的真实性、完整性负责，接受上级部门及社会公众监督。</w:t>
      </w:r>
    </w:p>
    <w:sectPr>
      <w:footerReference w:type="default" r:id="rId2"/>
      <w:pgSz w:w="11906" w:h="16838" w:orient="portrait"/>
      <w:pgMar w:top="1440" w:right="1558" w:bottom="1440" w:left="1800" w:header="851" w:footer="992" w:gutter="0"/>
      <w:pgBorders/>
      <w:cols w:num="1" w:space="425">
        <w:col w:w="8548" w:space="425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仿宋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楷体_GBK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pc="http://schemas.microsoft.com/office/word/2010/wordprocessingCanvas" xmlns:w="http://schemas.openxmlformats.org/wordprocessingml/2006/main">
  <w:sdt>
    <w:sdtPr>
      <w:id w:val="422003363"/>
    </w:sdtPr>
    <w:sdtContent>
      <w:p>
        <w:pPr>
          <w:pStyle w:val="Footer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 xml:space="preserve">1</w:t>
        </w:r>
        <w:r>
          <w:fldChar w:fldCharType="end"/>
        </w:r>
      </w:p>
    </w:sdtContent>
  </w:sdt>
  <w:p>
    <w:pPr>
      <w:pStyle w:val="Footer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13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4"/>
  </w:compat>
  <w:docVars>
    <w:docVar w:name="commondata" w:val="eyJoZGlkIjoiOTc0ZGFmZGVlMTU2YmFlODYzODJmYzUzZGI2NmMwNGEifQ=="/>
  </w:docVars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asciiTheme="minorHAnsi" w:eastAsiaTheme="minorEastAsia" w:hAnsiTheme="minorHAnsi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0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paragraph" w:styleId="Heading1">
    <w:name w:val="Heading 1"/>
    <w:basedOn w:val="Normal"/>
    <w:next w:val="Normal"/>
    <w:link w:val="标题1字符"/>
    <w:uiPriority w:val="9"/>
    <w:qFormat/>
    <w:pPr>
      <w:keepNext/>
      <w:widowControl/>
      <w:spacing w:before="240" w:after="60"/>
      <w:jc w:val="left"/>
      <w:outlineLvl w:val="0"/>
    </w:pPr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标题2字符"/>
    <w:uiPriority w:val="9"/>
    <w:semiHidden/>
    <w:unhideWhenUsed/>
    <w:qFormat/>
    <w:pPr>
      <w:keepNext/>
      <w:widowControl/>
      <w:spacing w:before="240" w:after="60"/>
      <w:jc w:val="left"/>
      <w:outlineLvl w:val="1"/>
    </w:pPr>
    <w:rPr>
      <w:rFonts w:ascii="Cambria" w:eastAsia="宋体" w:hAnsi="Cambria"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Heading3">
    <w:name w:val="Heading 3"/>
    <w:basedOn w:val="Normal"/>
    <w:next w:val="Normal"/>
    <w:link w:val="标题3字符"/>
    <w:uiPriority w:val="9"/>
    <w:semiHidden/>
    <w:unhideWhenUsed/>
    <w:qFormat/>
    <w:pPr>
      <w:keepNext/>
      <w:widowControl/>
      <w:spacing w:before="240" w:after="60"/>
      <w:jc w:val="left"/>
      <w:outlineLvl w:val="2"/>
    </w:pPr>
    <w:rPr>
      <w:rFonts w:ascii="Cambria" w:eastAsia="宋体" w:hAnsi="Cambria" w:asciiTheme="majorHAnsi" w:eastAsiaTheme="majorEastAsia" w:hAnsiTheme="majorHAnsi"/>
      <w:b/>
      <w:bCs/>
      <w:kern w:val="0"/>
      <w:sz w:val="26"/>
      <w:szCs w:val="26"/>
    </w:rPr>
  </w:style>
  <w:style w:type="paragraph" w:styleId="Heading4">
    <w:name w:val="Heading 4"/>
    <w:basedOn w:val="Normal"/>
    <w:next w:val="Normal"/>
    <w:link w:val="标题4字符"/>
    <w:uiPriority w:val="9"/>
    <w:unhideWhenUsed/>
    <w:qFormat/>
    <w:pPr>
      <w:keepNext/>
      <w:widowControl/>
      <w:spacing w:before="240" w:after="60"/>
      <w:jc w:val="left"/>
      <w:outlineLvl w:val="3"/>
    </w:pPr>
    <w:rPr>
      <w:rFonts w:ascii="Calibri" w:eastAsia="宋体" w:hAnsi="Calibri" w:asciiTheme="minorHAnsi" w:eastAsiaTheme="minorEastAsia" w:hAnsiTheme="minorHAnsi"/>
      <w:b/>
      <w:bCs/>
      <w:kern w:val="0"/>
      <w:sz w:val="28"/>
      <w:szCs w:val="28"/>
    </w:rPr>
  </w:style>
  <w:style w:type="paragraph" w:styleId="Heading5">
    <w:name w:val="Heading 5"/>
    <w:basedOn w:val="Normal"/>
    <w:next w:val="Normal"/>
    <w:link w:val="标题5字符"/>
    <w:uiPriority w:val="9"/>
    <w:semiHidden/>
    <w:unhideWhenUsed/>
    <w:qFormat/>
    <w:pPr>
      <w:widowControl/>
      <w:spacing w:before="240" w:after="60"/>
      <w:jc w:val="left"/>
      <w:outlineLvl w:val="4"/>
    </w:pPr>
    <w:rPr>
      <w:rFonts w:ascii="Calibri" w:eastAsia="宋体" w:hAnsi="Calibri"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Heading6">
    <w:name w:val="Heading 6"/>
    <w:basedOn w:val="Normal"/>
    <w:next w:val="Normal"/>
    <w:link w:val="标题6字符"/>
    <w:uiPriority w:val="9"/>
    <w:semiHidden/>
    <w:unhideWhenUsed/>
    <w:qFormat/>
    <w:pPr>
      <w:widowControl/>
      <w:spacing w:before="240" w:after="60"/>
      <w:jc w:val="left"/>
      <w:outlineLvl w:val="5"/>
    </w:pPr>
    <w:rPr>
      <w:rFonts w:ascii="Calibri" w:eastAsia="宋体" w:hAnsi="Calibri" w:asciiTheme="minorHAnsi" w:eastAsiaTheme="minorEastAsia" w:hAnsiTheme="minorHAnsi"/>
      <w:b/>
      <w:bCs/>
      <w:kern w:val="0"/>
      <w:sz w:val="22"/>
      <w:szCs w:val="22"/>
    </w:rPr>
  </w:style>
  <w:style w:type="paragraph" w:styleId="Heading7">
    <w:name w:val="Heading 7"/>
    <w:basedOn w:val="Normal"/>
    <w:next w:val="Normal"/>
    <w:link w:val="标题7字符"/>
    <w:uiPriority w:val="9"/>
    <w:semiHidden/>
    <w:unhideWhenUsed/>
    <w:qFormat/>
    <w:pPr>
      <w:widowControl/>
      <w:spacing w:before="240" w:after="60"/>
      <w:jc w:val="left"/>
      <w:outlineLvl w:val="6"/>
    </w:pPr>
    <w:rPr>
      <w:rFonts w:ascii="Calibri" w:eastAsia="宋体" w:hAnsi="Calibri" w:asciiTheme="minorHAnsi" w:eastAsiaTheme="minorEastAsia" w:hAnsiTheme="minorHAnsi"/>
      <w:kern w:val="0"/>
      <w:sz w:val="24"/>
    </w:rPr>
  </w:style>
  <w:style w:type="paragraph" w:styleId="Heading8">
    <w:name w:val="Heading 8"/>
    <w:basedOn w:val="Normal"/>
    <w:next w:val="Normal"/>
    <w:link w:val="标题8字符"/>
    <w:uiPriority w:val="9"/>
    <w:semiHidden/>
    <w:unhideWhenUsed/>
    <w:qFormat/>
    <w:pPr>
      <w:widowControl/>
      <w:spacing w:before="240" w:after="60"/>
      <w:jc w:val="left"/>
      <w:outlineLvl w:val="7"/>
    </w:pPr>
    <w:rPr>
      <w:rFonts w:ascii="Calibri" w:eastAsia="宋体" w:hAnsi="Calibri" w:asciiTheme="minorHAnsi" w:eastAsiaTheme="minorEastAsia" w:hAnsiTheme="minorHAnsi"/>
      <w:i/>
      <w:iCs/>
      <w:kern w:val="0"/>
      <w:sz w:val="24"/>
    </w:rPr>
  </w:style>
  <w:style w:type="paragraph" w:styleId="Heading9">
    <w:name w:val="Heading 9"/>
    <w:basedOn w:val="Normal"/>
    <w:next w:val="Normal"/>
    <w:link w:val="标题9字符"/>
    <w:uiPriority w:val="9"/>
    <w:semiHidden/>
    <w:unhideWhenUsed/>
    <w:qFormat/>
    <w:pPr>
      <w:widowControl/>
      <w:spacing w:before="240" w:after="60"/>
      <w:jc w:val="left"/>
      <w:outlineLvl w:val="8"/>
    </w:pPr>
    <w:rPr>
      <w:rFonts w:ascii="Cambria" w:eastAsia="宋体" w:hAnsi="Cambria" w:asciiTheme="majorHAnsi" w:eastAsiaTheme="majorEastAsia" w:hAnsiTheme="majorHAnsi"/>
      <w:kern w:val="0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NormalTable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批注框文本字符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页脚字符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Header">
    <w:name w:val="Header"/>
    <w:basedOn w:val="Normal"/>
    <w:link w:val="页眉字符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Subtitle">
    <w:name w:val="Subtitle"/>
    <w:basedOn w:val="Normal"/>
    <w:next w:val="Normal"/>
    <w:link w:val="副标题字符"/>
    <w:uiPriority w:val="11"/>
    <w:qFormat/>
    <w:pPr>
      <w:widowControl/>
      <w:spacing w:after="60"/>
      <w:jc w:val="center"/>
      <w:outlineLvl w:val="1"/>
    </w:pPr>
    <w:rPr>
      <w:rFonts w:ascii="Cambria" w:eastAsia="宋体" w:hAnsi="Cambria" w:asciiTheme="majorHAnsi" w:eastAsiaTheme="majorEastAsia" w:hAnsiTheme="majorHAnsi"/>
      <w:kern w:val="0"/>
      <w:sz w:val="24"/>
    </w:rPr>
  </w:style>
  <w:style w:type="paragraph" w:styleId="Title">
    <w:name w:val="Title"/>
    <w:basedOn w:val="Normal"/>
    <w:next w:val="Normal"/>
    <w:link w:val="标题字符"/>
    <w:uiPriority w:val="10"/>
    <w:qFormat/>
    <w:pPr>
      <w:widowControl/>
      <w:spacing w:before="240" w:after="60"/>
      <w:jc w:val="center"/>
      <w:outlineLvl w:val="0"/>
    </w:pPr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styleId="Strong">
    <w:name w:val="Strong"/>
    <w:basedOn w:val="DefaultParagraphFont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rFonts w:ascii="Calibri" w:hAnsi="Calibri" w:asciiTheme="minorHAnsi" w:hAnsiTheme="minorHAnsi"/>
      <w:b/>
      <w:i/>
      <w:iCs/>
    </w:rPr>
  </w:style>
  <w:style w:type="character" w:customStyle="1" w:styleId="标题1字符">
    <w:name w:val="标题 1 字符"/>
    <w:basedOn w:val="DefaultParagraphFont"/>
    <w:link w:val="Heading1"/>
    <w:uiPriority w:val="9"/>
    <w:qFormat/>
    <w:rPr>
      <w:rFonts w:ascii="Cambria" w:eastAsia="宋体" w:hAnsi="Cambria" w:asciiTheme="majorHAnsi" w:eastAsiaTheme="majorEastAsia" w:hAnsiTheme="majorHAnsi"/>
      <w:b/>
      <w:bCs/>
      <w:kern w:val="32"/>
      <w:sz w:val="32"/>
      <w:szCs w:val="32"/>
    </w:rPr>
  </w:style>
  <w:style w:type="character" w:customStyle="1" w:styleId="标题2字符">
    <w:name w:val="标题 2 字符"/>
    <w:basedOn w:val="DefaultParagraphFont"/>
    <w:link w:val="Heading2"/>
    <w:uiPriority w:val="9"/>
    <w:semiHidden/>
    <w:qFormat/>
    <w:rPr>
      <w:rFonts w:ascii="Cambria" w:eastAsia="宋体" w:hAnsi="Cambria"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标题3字符">
    <w:name w:val="标题 3 字符"/>
    <w:basedOn w:val="DefaultParagraphFont"/>
    <w:link w:val="Heading3"/>
    <w:uiPriority w:val="9"/>
    <w:semiHidden/>
    <w:qFormat/>
    <w:rPr>
      <w:rFonts w:ascii="Cambria" w:eastAsia="宋体" w:hAnsi="Cambria" w:asciiTheme="majorHAnsi" w:eastAsiaTheme="majorEastAsia" w:hAnsiTheme="majorHAnsi"/>
      <w:b/>
      <w:bCs/>
      <w:sz w:val="26"/>
      <w:szCs w:val="26"/>
    </w:rPr>
  </w:style>
  <w:style w:type="character" w:customStyle="1" w:styleId="标题4字符">
    <w:name w:val="标题 4 字符"/>
    <w:basedOn w:val="DefaultParagraphFont"/>
    <w:link w:val="Heading4"/>
    <w:uiPriority w:val="9"/>
    <w:qFormat/>
    <w:rPr>
      <w:b/>
      <w:bCs/>
      <w:sz w:val="28"/>
      <w:szCs w:val="28"/>
    </w:rPr>
  </w:style>
  <w:style w:type="character" w:customStyle="1" w:styleId="标题5字符">
    <w:name w:val="标题 5 字符"/>
    <w:basedOn w:val="DefaultParagraphFont"/>
    <w:link w:val="Heading5"/>
    <w:uiPriority w:val="9"/>
    <w:semiHidden/>
    <w:qFormat/>
    <w:rPr>
      <w:b/>
      <w:bCs/>
      <w:i/>
      <w:iCs/>
      <w:sz w:val="26"/>
      <w:szCs w:val="26"/>
    </w:rPr>
  </w:style>
  <w:style w:type="character" w:customStyle="1" w:styleId="标题6字符">
    <w:name w:val="标题 6 字符"/>
    <w:basedOn w:val="DefaultParagraphFont"/>
    <w:link w:val="Heading6"/>
    <w:uiPriority w:val="9"/>
    <w:semiHidden/>
    <w:qFormat/>
    <w:rPr>
      <w:b/>
      <w:bCs/>
    </w:rPr>
  </w:style>
  <w:style w:type="character" w:customStyle="1" w:styleId="标题7字符">
    <w:name w:val="标题 7 字符"/>
    <w:basedOn w:val="DefaultParagraphFont"/>
    <w:link w:val="Heading7"/>
    <w:uiPriority w:val="9"/>
    <w:semiHidden/>
    <w:qFormat/>
    <w:rPr>
      <w:sz w:val="24"/>
      <w:szCs w:val="24"/>
    </w:rPr>
  </w:style>
  <w:style w:type="character" w:customStyle="1" w:styleId="标题8字符">
    <w:name w:val="标题 8 字符"/>
    <w:basedOn w:val="DefaultParagraphFont"/>
    <w:link w:val="Heading8"/>
    <w:uiPriority w:val="9"/>
    <w:semiHidden/>
    <w:qFormat/>
    <w:rPr>
      <w:i/>
      <w:iCs/>
      <w:sz w:val="24"/>
      <w:szCs w:val="24"/>
    </w:rPr>
  </w:style>
  <w:style w:type="character" w:customStyle="1" w:styleId="标题9字符">
    <w:name w:val="标题 9 字符"/>
    <w:basedOn w:val="DefaultParagraphFont"/>
    <w:link w:val="Heading9"/>
    <w:uiPriority w:val="9"/>
    <w:semiHidden/>
    <w:qFormat/>
    <w:rPr>
      <w:rFonts w:ascii="Cambria" w:eastAsia="宋体" w:hAnsi="Cambria" w:asciiTheme="majorHAnsi" w:eastAsiaTheme="majorEastAsia" w:hAnsiTheme="majorHAnsi"/>
    </w:rPr>
  </w:style>
  <w:style w:type="character" w:customStyle="1" w:styleId="标题字符">
    <w:name w:val="标题 字符"/>
    <w:basedOn w:val="DefaultParagraphFont"/>
    <w:link w:val="Title"/>
    <w:uiPriority w:val="10"/>
    <w:qFormat/>
    <w:rPr>
      <w:rFonts w:ascii="Cambria" w:eastAsia="宋体" w:hAnsi="Cambria" w:asciiTheme="majorHAnsi" w:eastAsiaTheme="majorEastAsia" w:hAnsiTheme="majorHAnsi"/>
      <w:b/>
      <w:bCs/>
      <w:kern w:val="28"/>
      <w:sz w:val="32"/>
      <w:szCs w:val="32"/>
    </w:rPr>
  </w:style>
  <w:style w:type="character" w:customStyle="1" w:styleId="副标题字符">
    <w:name w:val="副标题 字符"/>
    <w:basedOn w:val="DefaultParagraphFont"/>
    <w:link w:val="Subtitle"/>
    <w:uiPriority w:val="11"/>
    <w:qFormat/>
    <w:rPr>
      <w:rFonts w:ascii="Cambria" w:eastAsia="宋体" w:hAnsi="Cambria" w:asciiTheme="majorHAnsi" w:eastAsiaTheme="majorEastAsia" w:hAnsiTheme="majorHAnsi"/>
      <w:sz w:val="24"/>
      <w:szCs w:val="24"/>
    </w:rPr>
  </w:style>
  <w:style w:type="paragraph" w:styleId="NoSpacing">
    <w:name w:val="No Spacing"/>
    <w:basedOn w:val="Normal"/>
    <w:uiPriority w:val="1"/>
    <w:qFormat/>
    <w:pPr>
      <w:widowControl/>
      <w:jc w:val="left"/>
    </w:pPr>
    <w:rPr>
      <w:rFonts w:ascii="Calibri" w:eastAsia="宋体" w:hAnsi="Calibri"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ListParagraph">
    <w:name w:val="List Paragraph"/>
    <w:basedOn w:val="Normal"/>
    <w:uiPriority w:val="34"/>
    <w:qFormat/>
    <w:pPr>
      <w:widowControl/>
      <w:ind w:left="720"/>
      <w:contextualSpacing/>
      <w:jc w:val="left"/>
    </w:pPr>
    <w:rPr>
      <w:rFonts w:ascii="Calibri" w:eastAsia="宋体" w:hAnsi="Calibri" w:asciiTheme="minorHAnsi" w:eastAsiaTheme="minorEastAsia" w:hAnsiTheme="minorHAnsi"/>
      <w:kern w:val="0"/>
      <w:sz w:val="24"/>
      <w:lang w:eastAsia="en-US" w:bidi="en-US"/>
    </w:rPr>
  </w:style>
  <w:style w:type="paragraph" w:styleId="Quote">
    <w:name w:val="Quote"/>
    <w:basedOn w:val="Normal"/>
    <w:next w:val="Normal"/>
    <w:link w:val="引用字符"/>
    <w:uiPriority w:val="29"/>
    <w:qFormat/>
    <w:pPr>
      <w:widowControl/>
      <w:jc w:val="left"/>
    </w:pPr>
    <w:rPr>
      <w:rFonts w:ascii="Calibri" w:eastAsia="宋体" w:hAnsi="Calibri" w:asciiTheme="minorHAnsi" w:eastAsiaTheme="minorEastAsia" w:hAnsiTheme="minorHAnsi"/>
      <w:i/>
      <w:kern w:val="0"/>
      <w:sz w:val="24"/>
    </w:rPr>
  </w:style>
  <w:style w:type="character" w:customStyle="1" w:styleId="引用字符">
    <w:name w:val="引用 字符"/>
    <w:basedOn w:val="DefaultParagraphFont"/>
    <w:link w:val="Quote"/>
    <w:uiPriority w:val="29"/>
    <w:qFormat/>
    <w:rPr>
      <w:i/>
      <w:sz w:val="24"/>
      <w:szCs w:val="24"/>
    </w:rPr>
  </w:style>
  <w:style w:type="paragraph" w:styleId="IntenseQuote">
    <w:name w:val="Intense Quote"/>
    <w:basedOn w:val="Normal"/>
    <w:next w:val="Normal"/>
    <w:link w:val="明显引用字符"/>
    <w:uiPriority w:val="30"/>
    <w:qFormat/>
    <w:pPr>
      <w:widowControl/>
      <w:ind w:left="720" w:right="720"/>
      <w:jc w:val="left"/>
    </w:pPr>
    <w:rPr>
      <w:rFonts w:ascii="Calibri" w:eastAsia="宋体" w:hAnsi="Calibri" w:asciiTheme="minorHAnsi" w:eastAsiaTheme="minorEastAsia" w:hAnsiTheme="minorHAnsi"/>
      <w:b/>
      <w:i/>
      <w:kern w:val="0"/>
      <w:sz w:val="24"/>
      <w:szCs w:val="22"/>
    </w:rPr>
  </w:style>
  <w:style w:type="character" w:customStyle="1" w:styleId="明显引用字符">
    <w:name w:val="明显引用 字符"/>
    <w:basedOn w:val="DefaultParagraphFont"/>
    <w:link w:val="IntenseQuote"/>
    <w:uiPriority w:val="30"/>
    <w:qFormat/>
    <w:rPr>
      <w:b/>
      <w:i/>
      <w:sz w:val="24"/>
    </w:rPr>
  </w:style>
  <w:style w:type="character" w:customStyle="1" w:styleId="不明显强调1">
    <w:name w:val="不明显强调1"/>
    <w:uiPriority w:val="19"/>
    <w:qFormat/>
    <w:rPr>
      <w:i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明显强调1">
    <w:name w:val="明显强调1"/>
    <w:basedOn w:val="DefaultParagraphFont"/>
    <w:uiPriority w:val="21"/>
    <w:qFormat/>
    <w:rPr>
      <w:b/>
      <w:i/>
      <w:sz w:val="24"/>
      <w:szCs w:val="24"/>
      <w:u w:val="single"/>
    </w:rPr>
  </w:style>
  <w:style w:type="character" w:customStyle="1" w:styleId="不明显参考1">
    <w:name w:val="不明显参考1"/>
    <w:basedOn w:val="DefaultParagraphFont"/>
    <w:uiPriority w:val="31"/>
    <w:qFormat/>
    <w:rPr>
      <w:sz w:val="24"/>
      <w:szCs w:val="24"/>
      <w:u w:val="single"/>
    </w:rPr>
  </w:style>
  <w:style w:type="character" w:customStyle="1" w:styleId="明显参考1">
    <w:name w:val="明显参考1"/>
    <w:basedOn w:val="DefaultParagraphFont"/>
    <w:uiPriority w:val="32"/>
    <w:qFormat/>
    <w:rPr>
      <w:b/>
      <w:sz w:val="24"/>
      <w:u w:val="single"/>
    </w:rPr>
  </w:style>
  <w:style w:type="character" w:customStyle="1" w:styleId="书籍标题1">
    <w:name w:val="书籍标题1"/>
    <w:basedOn w:val="DefaultParagraphFont"/>
    <w:uiPriority w:val="33"/>
    <w:qFormat/>
    <w:rPr>
      <w:rFonts w:ascii="Cambria" w:eastAsia="宋体" w:hAnsi="Cambria" w:asciiTheme="majorHAnsi" w:eastAsiaTheme="majorEastAsia" w:hAnsiTheme="majorHAnsi"/>
      <w:b/>
      <w:i/>
      <w:sz w:val="24"/>
      <w:szCs w:val="24"/>
    </w:rPr>
  </w:style>
  <w:style w:type="paragraph" w:customStyle="1" w:styleId="TOC标题1">
    <w:name w:val="TOC 标题1"/>
    <w:basedOn w:val="Heading1"/>
    <w:next w:val="Normal"/>
    <w:uiPriority w:val="39"/>
    <w:semiHidden/>
    <w:unhideWhenUsed/>
    <w:qFormat/>
    <w:pPr>
      <w:outlineLvl w:val="9"/>
    </w:pPr>
    <w:rPr>
      <w:lang w:eastAsia="en-US" w:bidi="en-US"/>
    </w:rPr>
  </w:style>
  <w:style w:type="character" w:customStyle="1" w:styleId="页眉字符">
    <w:name w:val="页眉 字符"/>
    <w:basedOn w:val="DefaultParagraphFont"/>
    <w:link w:val="Head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页脚字符">
    <w:name w:val="页脚 字符"/>
    <w:basedOn w:val="DefaultParagraphFont"/>
    <w:link w:val="Footer"/>
    <w:uiPriority w:val="99"/>
    <w:qFormat/>
    <w:rPr>
      <w:rFonts w:ascii="Calibri" w:eastAsia="宋体" w:hAnsi="Calibri"/>
      <w:kern w:val="2"/>
      <w:sz w:val="18"/>
      <w:szCs w:val="18"/>
    </w:rPr>
  </w:style>
  <w:style w:type="character" w:customStyle="1" w:styleId="批注框文本字符">
    <w:name w:val="批注框文本 字符"/>
    <w:basedOn w:val="DefaultParagraphFont"/>
    <w:link w:val="BalloonText"/>
    <w:uiPriority w:val="99"/>
    <w:semiHidden/>
    <w:qFormat/>
    <w:rPr>
      <w:rFonts w:ascii="Times New Roman" w:eastAsia="宋体" w:hAnsi="Times New Roman"/>
      <w:kern w:val="2"/>
      <w:sz w:val="18"/>
      <w:szCs w:val="18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footer" Target="footer1.xml"/><Relationship Id="rId3" Type="http://schemas.openxmlformats.org/officeDocument/2006/relationships/theme" Target="theme/theme1.xml"/><Relationship Id="rId4" Type="http://schemas.openxmlformats.org/officeDocument/2006/relationships/styles" Target="style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</Template>
  <TotalTime>0</TotalTime>
  <Pages>3</Pages>
  <Words>341</Words>
  <Characters>646</Characters>
  <Application>WPS Office_11.1.0.14036_F1E327BC-269C-435d-A152-05C5408002CA</Application>
  <DocSecurity>0</DocSecurity>
  <Lines>5</Lines>
  <Paragraphs>1</Paragraphs>
  <Company>Microsoft</Company>
  <CharactersWithSpaces>652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恺_xFF08_预算处_xFF09_</dc:creator>
  <cp:lastModifiedBy>ksjx-admin</cp:lastModifiedBy>
  <cp:revision>19</cp:revision>
  <cp:lastPrinted>2018-12-31T10:56:00Z</cp:lastPrinted>
  <dcterms:created xsi:type="dcterms:W3CDTF">2022-01-14T05:11:00Z</dcterms:created>
  <dcterms:modified xsi:type="dcterms:W3CDTF">2025-03-26T11:27:46Z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2052-11.1.0.14036</vt:lpwstr>
  </property>
  <property fmtid="{D5CDD505-2E9C-101B-9397-08002B2CF9AE}" pid="3" name="ICV">
    <vt:lpwstr>299A846E7742483FADE25949A45A48D3_12</vt:lpwstr>
  </property>
</Properties>
</file>