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新疆维吾尔自治区喀什地区工商业联合会2024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D56F10">
      <w:r>
        <w:br w:type="page"/>
      </w:r>
    </w:p>
    <w:p w14:paraId="175F5216">
      <w:pPr>
        <w:spacing w:line="640" w:lineRule="exact"/>
        <w:jc w:val="center"/>
        <w:outlineLvl w:val="1"/>
      </w:pPr>
      <w:r>
        <w:rPr>
          <w:rFonts w:ascii="黑体" w:hAnsi="黑体" w:eastAsia="黑体"/>
          <w:sz w:val="32"/>
        </w:rPr>
        <w:t>第一部分 单位概况</w:t>
      </w:r>
    </w:p>
    <w:p w14:paraId="24C19B48">
      <w:pPr>
        <w:spacing w:line="640" w:lineRule="exact"/>
        <w:ind w:firstLine="640"/>
        <w:jc w:val="both"/>
        <w:outlineLvl w:val="2"/>
      </w:pPr>
      <w:r>
        <w:rPr>
          <w:rFonts w:ascii="黑体" w:hAnsi="黑体" w:eastAsia="黑体"/>
          <w:sz w:val="32"/>
        </w:rPr>
        <w:t>一、主要职能</w:t>
      </w:r>
    </w:p>
    <w:p w14:paraId="3C32A9AD">
      <w:pPr>
        <w:spacing w:line="580" w:lineRule="exact"/>
        <w:ind w:firstLine="640"/>
        <w:jc w:val="both"/>
      </w:pPr>
      <w:r>
        <w:rPr>
          <w:rFonts w:ascii="仿宋_GB2312" w:hAnsi="仿宋_GB2312" w:eastAsia="仿宋_GB2312"/>
          <w:sz w:val="32"/>
        </w:rPr>
        <w:t>喀什地区工商业联合会（喀什地区工商联）是中共喀什地委领导的，具有统一战线性质的人民团体和民间商会。工商联具有统战性、经济性、民间性，是党联系非公有制经济人士的桥梁和政府管理非公有制经济的助手。</w:t>
      </w:r>
    </w:p>
    <w:p w14:paraId="56A1EC14">
      <w:pPr>
        <w:spacing w:line="640" w:lineRule="exact"/>
        <w:ind w:firstLine="640"/>
        <w:jc w:val="both"/>
        <w:outlineLvl w:val="2"/>
      </w:pPr>
      <w:r>
        <w:rPr>
          <w:rFonts w:ascii="黑体" w:hAnsi="黑体" w:eastAsia="黑体"/>
          <w:sz w:val="32"/>
        </w:rPr>
        <w:t>二、机构设置及人员情况</w:t>
      </w:r>
    </w:p>
    <w:p w14:paraId="48F566F8">
      <w:pPr>
        <w:spacing w:line="580" w:lineRule="exact"/>
        <w:ind w:firstLine="640"/>
        <w:jc w:val="both"/>
      </w:pPr>
      <w:r>
        <w:rPr>
          <w:rFonts w:ascii="仿宋_GB2312" w:hAnsi="仿宋_GB2312" w:eastAsia="仿宋_GB2312"/>
          <w:sz w:val="32"/>
        </w:rPr>
        <w:t>新疆维吾尔自治区喀什地区工商业联合会2024年度，实有人数21人，其中：在职人员9人，增加0人；离休人员0人，增加0人；退休人员12人,增加1人。</w:t>
      </w:r>
    </w:p>
    <w:p w14:paraId="1D2CBD3F">
      <w:pPr>
        <w:spacing w:line="580" w:lineRule="exact"/>
        <w:ind w:firstLine="640"/>
        <w:jc w:val="both"/>
      </w:pPr>
      <w:r>
        <w:rPr>
          <w:rFonts w:ascii="仿宋_GB2312" w:hAnsi="仿宋_GB2312" w:eastAsia="仿宋_GB2312"/>
          <w:sz w:val="32"/>
        </w:rPr>
        <w:t>新疆维吾尔自治区喀什地区工商业联合会无下属预算单位，下设3个科室，分别是：办公室、经济联络部、宣传咨询部。</w:t>
      </w:r>
    </w:p>
    <w:p w14:paraId="21CC1CEF">
      <w:r>
        <w:br w:type="page"/>
      </w:r>
    </w:p>
    <w:p w14:paraId="31786EA8">
      <w:pPr>
        <w:spacing w:line="240" w:lineRule="auto"/>
        <w:jc w:val="center"/>
        <w:outlineLvl w:val="1"/>
      </w:pPr>
      <w:r>
        <w:rPr>
          <w:rFonts w:ascii="黑体" w:hAnsi="黑体" w:eastAsia="黑体"/>
          <w:sz w:val="32"/>
        </w:rPr>
        <w:t>第二部分 部门决算情况说明</w:t>
      </w:r>
    </w:p>
    <w:p w14:paraId="674F2FE2">
      <w:pPr>
        <w:spacing w:line="640" w:lineRule="exact"/>
        <w:ind w:firstLine="640"/>
        <w:jc w:val="both"/>
        <w:outlineLvl w:val="2"/>
      </w:pPr>
      <w:r>
        <w:rPr>
          <w:rFonts w:ascii="黑体" w:hAnsi="黑体" w:eastAsia="黑体"/>
          <w:sz w:val="32"/>
        </w:rPr>
        <w:t>一、收入支出决算总体情况说明</w:t>
      </w:r>
    </w:p>
    <w:p w14:paraId="4FCC8C94">
      <w:pPr>
        <w:spacing w:line="580" w:lineRule="exact"/>
        <w:ind w:firstLine="640"/>
        <w:jc w:val="both"/>
      </w:pPr>
      <w:r>
        <w:rPr>
          <w:rFonts w:ascii="仿宋_GB2312" w:hAnsi="仿宋_GB2312" w:eastAsia="仿宋_GB2312"/>
          <w:b/>
          <w:sz w:val="32"/>
        </w:rPr>
        <w:t>2024年度收入总计280.47万元，</w:t>
      </w:r>
      <w:r>
        <w:rPr>
          <w:rFonts w:ascii="仿宋_GB2312" w:hAnsi="仿宋_GB2312" w:eastAsia="仿宋_GB2312"/>
          <w:b w:val="0"/>
          <w:sz w:val="32"/>
        </w:rPr>
        <w:t>其中：本年收入合计254.22万元，使用非财政拨款结余（含专用结余）0.00万元，年初结转和结余26.25万元。</w:t>
      </w:r>
    </w:p>
    <w:p w14:paraId="06ADA238">
      <w:pPr>
        <w:spacing w:line="580" w:lineRule="exact"/>
        <w:ind w:firstLine="640"/>
        <w:jc w:val="both"/>
      </w:pPr>
      <w:r>
        <w:rPr>
          <w:rFonts w:ascii="仿宋_GB2312" w:hAnsi="仿宋_GB2312" w:eastAsia="仿宋_GB2312"/>
          <w:b/>
          <w:sz w:val="32"/>
        </w:rPr>
        <w:t>2024年度支出总计280.47万元，</w:t>
      </w:r>
      <w:r>
        <w:rPr>
          <w:rFonts w:ascii="仿宋_GB2312" w:hAnsi="仿宋_GB2312" w:eastAsia="仿宋_GB2312"/>
          <w:b w:val="0"/>
          <w:sz w:val="32"/>
        </w:rPr>
        <w:t>其中：本年支出合计280.36万元，结余分配0.00万元，年末结转和结余0.12万元。</w:t>
      </w:r>
    </w:p>
    <w:p w14:paraId="6C2F9DD3">
      <w:pPr>
        <w:spacing w:line="580" w:lineRule="exact"/>
        <w:ind w:firstLine="640"/>
        <w:jc w:val="both"/>
        <w:rPr>
          <w:rFonts w:hint="eastAsia" w:eastAsia="仿宋_GB2312"/>
          <w:lang w:val="en-US" w:eastAsia="zh-CN"/>
        </w:rPr>
      </w:pPr>
      <w:r>
        <w:rPr>
          <w:rFonts w:ascii="仿宋_GB2312" w:hAnsi="仿宋_GB2312" w:eastAsia="仿宋_GB2312"/>
          <w:b w:val="0"/>
          <w:sz w:val="32"/>
        </w:rPr>
        <w:t>收入支出总体与上年相比，减少22.67万元，下降7.48%，主要原因是：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本年度减少人员类补助、其他工作经费，以及严格把控工会经费支出，节约公务用车维修费，因此公用经费减少。</w:t>
      </w:r>
      <w:r>
        <w:rPr>
          <w:rFonts w:hint="eastAsia" w:ascii="仿宋_GB2312" w:hAnsi="仿宋_GB2312" w:eastAsia="仿宋_GB2312"/>
          <w:b w:val="0"/>
          <w:sz w:val="32"/>
          <w:lang w:val="en-US" w:eastAsia="zh-CN"/>
        </w:rPr>
        <w:t>二是</w:t>
      </w:r>
      <w:r>
        <w:rPr>
          <w:rFonts w:ascii="仿宋_GB2312" w:hAnsi="仿宋_GB2312" w:eastAsia="仿宋_GB2312"/>
          <w:b w:val="0"/>
          <w:sz w:val="32"/>
        </w:rPr>
        <w:t>本年无新增死亡人员，死亡抚恤支出较上年减少</w:t>
      </w:r>
      <w:r>
        <w:rPr>
          <w:rFonts w:hint="eastAsia" w:ascii="仿宋_GB2312" w:hAnsi="仿宋_GB2312" w:eastAsia="仿宋_GB2312"/>
          <w:b w:val="0"/>
          <w:sz w:val="32"/>
          <w:lang w:eastAsia="zh-CN"/>
        </w:rPr>
        <w:t>。</w:t>
      </w:r>
    </w:p>
    <w:p w14:paraId="405B7346">
      <w:pPr>
        <w:spacing w:line="640" w:lineRule="exact"/>
        <w:ind w:firstLine="640"/>
        <w:jc w:val="both"/>
        <w:outlineLvl w:val="2"/>
      </w:pPr>
      <w:r>
        <w:rPr>
          <w:rFonts w:ascii="黑体" w:hAnsi="黑体" w:eastAsia="黑体"/>
          <w:sz w:val="32"/>
        </w:rPr>
        <w:t>二、收入决算情况说明</w:t>
      </w:r>
    </w:p>
    <w:p w14:paraId="06E3E173">
      <w:pPr>
        <w:spacing w:line="580" w:lineRule="exact"/>
        <w:ind w:firstLine="640"/>
        <w:jc w:val="both"/>
      </w:pPr>
      <w:r>
        <w:rPr>
          <w:rFonts w:ascii="仿宋_GB2312" w:hAnsi="仿宋_GB2312" w:eastAsia="仿宋_GB2312"/>
          <w:b/>
          <w:sz w:val="32"/>
        </w:rPr>
        <w:t>本年收入254.22万元，</w:t>
      </w:r>
      <w:r>
        <w:rPr>
          <w:rFonts w:ascii="仿宋_GB2312" w:hAnsi="仿宋_GB2312" w:eastAsia="仿宋_GB2312"/>
          <w:b w:val="0"/>
          <w:sz w:val="32"/>
        </w:rPr>
        <w:t>其中：财政拨款收入254.22万元，占100.00%；上级补助收入0.00万元，占0.00%；事业收入0.00万元，占0.00%；经营收入0.00万元，占0.00%；附属单位上缴收入0.00万元，占0.00%；其他收入0.00万元，占0.00%。</w:t>
      </w:r>
    </w:p>
    <w:p w14:paraId="0E531CCC">
      <w:pPr>
        <w:spacing w:line="640" w:lineRule="exact"/>
        <w:ind w:firstLine="640"/>
        <w:jc w:val="both"/>
        <w:outlineLvl w:val="2"/>
      </w:pPr>
      <w:r>
        <w:rPr>
          <w:rFonts w:ascii="黑体" w:hAnsi="黑体" w:eastAsia="黑体"/>
          <w:sz w:val="32"/>
        </w:rPr>
        <w:t>三、支出决算情况说明</w:t>
      </w:r>
    </w:p>
    <w:p w14:paraId="6CB1DD34">
      <w:pPr>
        <w:spacing w:line="580" w:lineRule="exact"/>
        <w:ind w:firstLine="640"/>
        <w:jc w:val="both"/>
      </w:pPr>
      <w:r>
        <w:rPr>
          <w:rFonts w:ascii="仿宋_GB2312" w:hAnsi="仿宋_GB2312" w:eastAsia="仿宋_GB2312"/>
          <w:b/>
          <w:sz w:val="32"/>
        </w:rPr>
        <w:t>本年支出280.36万元，</w:t>
      </w:r>
      <w:r>
        <w:rPr>
          <w:rFonts w:ascii="仿宋_GB2312" w:hAnsi="仿宋_GB2312" w:eastAsia="仿宋_GB2312"/>
          <w:b w:val="0"/>
          <w:sz w:val="32"/>
        </w:rPr>
        <w:t>其中：基本支出242.31万元，占86.43%；项目支出38.04万元，占13.57%；上缴上级支出0.00万元，占0.00%；经营支出0.00万元，占0.00%；对附属单位补助支出0.00万元，占0.00%。</w:t>
      </w:r>
    </w:p>
    <w:p w14:paraId="74A68CBF">
      <w:pPr>
        <w:spacing w:line="640" w:lineRule="exact"/>
        <w:ind w:firstLine="640"/>
        <w:jc w:val="both"/>
        <w:outlineLvl w:val="2"/>
      </w:pPr>
      <w:r>
        <w:rPr>
          <w:rFonts w:ascii="黑体" w:hAnsi="黑体" w:eastAsia="黑体"/>
          <w:sz w:val="32"/>
        </w:rPr>
        <w:t>四、财政拨款收入支出决算总体情况说明</w:t>
      </w:r>
    </w:p>
    <w:p w14:paraId="67E5AA2B">
      <w:pPr>
        <w:spacing w:line="580" w:lineRule="exact"/>
        <w:ind w:firstLine="640"/>
        <w:jc w:val="both"/>
      </w:pPr>
      <w:r>
        <w:rPr>
          <w:rFonts w:ascii="仿宋_GB2312" w:hAnsi="仿宋_GB2312" w:eastAsia="仿宋_GB2312"/>
          <w:b/>
          <w:sz w:val="32"/>
        </w:rPr>
        <w:t>2024年度财政拨款收入总计254.22万元，</w:t>
      </w:r>
      <w:r>
        <w:rPr>
          <w:rFonts w:ascii="仿宋_GB2312" w:hAnsi="仿宋_GB2312" w:eastAsia="仿宋_GB2312"/>
          <w:b w:val="0"/>
          <w:sz w:val="32"/>
        </w:rPr>
        <w:t>其中：年初财政拨款结转和结余0.00万元，本年财政拨款收入254.22万元。</w:t>
      </w:r>
      <w:r>
        <w:rPr>
          <w:rFonts w:ascii="仿宋_GB2312" w:hAnsi="仿宋_GB2312" w:eastAsia="仿宋_GB2312"/>
          <w:b/>
          <w:sz w:val="32"/>
        </w:rPr>
        <w:t>财政拨款支出总计254.22万元，</w:t>
      </w:r>
      <w:r>
        <w:rPr>
          <w:rFonts w:ascii="仿宋_GB2312" w:hAnsi="仿宋_GB2312" w:eastAsia="仿宋_GB2312"/>
          <w:b w:val="0"/>
          <w:sz w:val="32"/>
        </w:rPr>
        <w:t>其中：年末财政拨款结转和结余0.00万元，本年财政拨款支出254.22万元。</w:t>
      </w:r>
    </w:p>
    <w:p w14:paraId="2C1CCB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减少22.67万元，下降8.19%，主要原因是：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本年度减少人员类补助、其他工作经费，以及严格把控工会经费支出，节约公务用车维修费，因此公用经费减少。</w:t>
      </w:r>
      <w:r>
        <w:rPr>
          <w:rFonts w:hint="eastAsia" w:ascii="仿宋_GB2312" w:hAnsi="仿宋_GB2312" w:eastAsia="仿宋_GB2312"/>
          <w:b w:val="0"/>
          <w:sz w:val="32"/>
          <w:lang w:val="en-US" w:eastAsia="zh-CN"/>
        </w:rPr>
        <w:t>二是</w:t>
      </w:r>
      <w:r>
        <w:rPr>
          <w:rFonts w:ascii="仿宋_GB2312" w:hAnsi="仿宋_GB2312" w:eastAsia="仿宋_GB2312"/>
          <w:b w:val="0"/>
          <w:sz w:val="32"/>
        </w:rPr>
        <w:t>本年无新增死亡人员，死亡抚恤支出较上年减少。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年初预算数245.28万元，决算数254.22万元，预决算差异率3.64%，主要原因是：年中</w:t>
      </w:r>
      <w:r>
        <w:rPr>
          <w:rFonts w:hint="eastAsia" w:ascii="仿宋_GB2312" w:hAnsi="仿宋_GB2312" w:eastAsia="仿宋_GB2312"/>
          <w:b w:val="0"/>
          <w:sz w:val="32"/>
          <w:lang w:val="en-US" w:eastAsia="zh-CN"/>
        </w:rPr>
        <w:t>追加退休人员职业年金，导致预决算存在差异</w:t>
      </w:r>
      <w:r>
        <w:rPr>
          <w:rFonts w:ascii="仿宋_GB2312" w:hAnsi="仿宋_GB2312" w:eastAsia="仿宋_GB2312"/>
          <w:b w:val="0"/>
          <w:sz w:val="32"/>
        </w:rPr>
        <w:t>。</w:t>
      </w:r>
    </w:p>
    <w:p w14:paraId="648AEC5E">
      <w:pPr>
        <w:spacing w:line="640" w:lineRule="exact"/>
        <w:ind w:firstLine="640"/>
        <w:jc w:val="both"/>
        <w:outlineLvl w:val="2"/>
      </w:pPr>
      <w:r>
        <w:rPr>
          <w:rFonts w:ascii="黑体" w:hAnsi="黑体" w:eastAsia="黑体"/>
          <w:sz w:val="32"/>
        </w:rPr>
        <w:t>五、一般公共预算财政拨款支出决算情况说明</w:t>
      </w:r>
    </w:p>
    <w:p w14:paraId="2DFBB2D8">
      <w:pPr>
        <w:spacing w:line="640" w:lineRule="exact"/>
        <w:ind w:firstLine="640"/>
        <w:jc w:val="both"/>
        <w:outlineLvl w:val="3"/>
      </w:pPr>
      <w:r>
        <w:rPr>
          <w:rFonts w:ascii="楷体_GB2312" w:hAnsi="楷体_GB2312" w:eastAsia="楷体_GB2312"/>
          <w:b/>
          <w:sz w:val="32"/>
        </w:rPr>
        <w:t>（一）一般公共预算财政拨款支出决算总体情况</w:t>
      </w:r>
    </w:p>
    <w:p w14:paraId="53D0E934">
      <w:pPr>
        <w:spacing w:line="580" w:lineRule="exact"/>
        <w:ind w:firstLine="640"/>
        <w:jc w:val="both"/>
      </w:pPr>
      <w:r>
        <w:rPr>
          <w:rFonts w:ascii="仿宋_GB2312" w:hAnsi="仿宋_GB2312" w:eastAsia="仿宋_GB2312"/>
          <w:b/>
          <w:sz w:val="32"/>
        </w:rPr>
        <w:t>2024年度一般公共预算财政拨款支出254.22万元，</w:t>
      </w:r>
      <w:r>
        <w:rPr>
          <w:rFonts w:ascii="仿宋_GB2312" w:hAnsi="仿宋_GB2312" w:eastAsia="仿宋_GB2312"/>
          <w:b w:val="0"/>
          <w:sz w:val="32"/>
        </w:rPr>
        <w:t>占本年支出合计的90.68%。</w:t>
      </w:r>
      <w:r>
        <w:rPr>
          <w:rFonts w:ascii="仿宋_GB2312" w:hAnsi="仿宋_GB2312" w:eastAsia="仿宋_GB2312"/>
          <w:b/>
          <w:sz w:val="32"/>
        </w:rPr>
        <w:t>与上年相比，</w:t>
      </w:r>
      <w:r>
        <w:rPr>
          <w:rFonts w:ascii="仿宋_GB2312" w:hAnsi="仿宋_GB2312" w:eastAsia="仿宋_GB2312"/>
          <w:b w:val="0"/>
          <w:sz w:val="32"/>
        </w:rPr>
        <w:t>减少22.67万元，下降8.19%，主要原因是：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本年度减少人员类补助、其他工作经费，以及严格把控工会经费支出，节约公务用车维修费，因此公用经费减少。</w:t>
      </w:r>
      <w:r>
        <w:rPr>
          <w:rFonts w:hint="eastAsia" w:ascii="仿宋_GB2312" w:hAnsi="仿宋_GB2312" w:eastAsia="仿宋_GB2312"/>
          <w:b w:val="0"/>
          <w:sz w:val="32"/>
          <w:lang w:val="en-US" w:eastAsia="zh-CN"/>
        </w:rPr>
        <w:t>二是</w:t>
      </w:r>
      <w:r>
        <w:rPr>
          <w:rFonts w:ascii="仿宋_GB2312" w:hAnsi="仿宋_GB2312" w:eastAsia="仿宋_GB2312"/>
          <w:b w:val="0"/>
          <w:sz w:val="32"/>
        </w:rPr>
        <w:t>本年无新增死亡人员，死亡抚恤支出较上年减少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年初预算数245.28万元，决算数254.22万元，预决算差异率3.64%，主要原因是：年中</w:t>
      </w:r>
      <w:r>
        <w:rPr>
          <w:rFonts w:hint="eastAsia" w:ascii="仿宋_GB2312" w:hAnsi="仿宋_GB2312" w:eastAsia="仿宋_GB2312"/>
          <w:b w:val="0"/>
          <w:sz w:val="32"/>
          <w:lang w:val="en-US" w:eastAsia="zh-CN"/>
        </w:rPr>
        <w:t>追加退休人员职业年金，导致预决算存在差异</w:t>
      </w:r>
      <w:r>
        <w:rPr>
          <w:rFonts w:ascii="仿宋_GB2312" w:hAnsi="仿宋_GB2312" w:eastAsia="仿宋_GB2312"/>
          <w:b w:val="0"/>
          <w:sz w:val="32"/>
        </w:rPr>
        <w:t>。</w:t>
      </w:r>
    </w:p>
    <w:p w14:paraId="2E469C7A">
      <w:pPr>
        <w:spacing w:line="640" w:lineRule="exact"/>
        <w:ind w:firstLine="640"/>
        <w:jc w:val="both"/>
        <w:outlineLvl w:val="3"/>
      </w:pPr>
      <w:r>
        <w:rPr>
          <w:rFonts w:ascii="楷体_GB2312" w:hAnsi="楷体_GB2312" w:eastAsia="楷体_GB2312"/>
          <w:b/>
          <w:sz w:val="32"/>
        </w:rPr>
        <w:t>（二）一般公共预算财政拨款支出决算结构情况</w:t>
      </w:r>
    </w:p>
    <w:p w14:paraId="0B60DE83">
      <w:pPr>
        <w:spacing w:line="580" w:lineRule="exact"/>
        <w:ind w:firstLine="640"/>
        <w:jc w:val="both"/>
      </w:pPr>
      <w:r>
        <w:rPr>
          <w:rFonts w:ascii="仿宋_GB2312" w:hAnsi="仿宋_GB2312" w:eastAsia="仿宋_GB2312"/>
          <w:b w:val="0"/>
          <w:sz w:val="32"/>
        </w:rPr>
        <w:t>1.一般公共服务支出(类)180.50万元,占71.00%。</w:t>
      </w:r>
    </w:p>
    <w:p w14:paraId="0C2E080F">
      <w:pPr>
        <w:spacing w:line="580" w:lineRule="exact"/>
        <w:ind w:firstLine="640"/>
        <w:jc w:val="both"/>
      </w:pPr>
      <w:r>
        <w:rPr>
          <w:rFonts w:ascii="仿宋_GB2312" w:hAnsi="仿宋_GB2312" w:eastAsia="仿宋_GB2312"/>
          <w:b w:val="0"/>
          <w:sz w:val="32"/>
        </w:rPr>
        <w:t>2.社会保障和就业支出(类)46.92万元,占18.46%。</w:t>
      </w:r>
    </w:p>
    <w:p w14:paraId="7DC2C0C4">
      <w:pPr>
        <w:spacing w:line="580" w:lineRule="exact"/>
        <w:ind w:firstLine="640"/>
        <w:jc w:val="both"/>
      </w:pPr>
      <w:r>
        <w:rPr>
          <w:rFonts w:ascii="仿宋_GB2312" w:hAnsi="仿宋_GB2312" w:eastAsia="仿宋_GB2312"/>
          <w:b w:val="0"/>
          <w:sz w:val="32"/>
        </w:rPr>
        <w:t>3.卫生健康支出(类)10.27万元,占4.04%。</w:t>
      </w:r>
    </w:p>
    <w:p w14:paraId="0EBF8105">
      <w:pPr>
        <w:spacing w:line="580" w:lineRule="exact"/>
        <w:ind w:firstLine="640"/>
        <w:jc w:val="both"/>
      </w:pPr>
      <w:r>
        <w:rPr>
          <w:rFonts w:ascii="仿宋_GB2312" w:hAnsi="仿宋_GB2312" w:eastAsia="仿宋_GB2312"/>
          <w:b w:val="0"/>
          <w:sz w:val="32"/>
        </w:rPr>
        <w:t>4.住房保障支出(类)16.53万元,占6.50%。</w:t>
      </w:r>
    </w:p>
    <w:p w14:paraId="27A2955A">
      <w:pPr>
        <w:spacing w:line="640" w:lineRule="exact"/>
        <w:ind w:firstLine="640"/>
        <w:jc w:val="both"/>
        <w:outlineLvl w:val="3"/>
      </w:pPr>
      <w:r>
        <w:rPr>
          <w:rFonts w:ascii="楷体_GB2312" w:hAnsi="楷体_GB2312" w:eastAsia="楷体_GB2312"/>
          <w:b/>
          <w:sz w:val="32"/>
        </w:rPr>
        <w:t>（三）一般公共预算财政拨款支出决算具体情况</w:t>
      </w:r>
    </w:p>
    <w:p w14:paraId="2E3B35D8">
      <w:pPr>
        <w:spacing w:line="580" w:lineRule="exact"/>
        <w:ind w:firstLine="640"/>
        <w:jc w:val="both"/>
      </w:pPr>
      <w:r>
        <w:rPr>
          <w:rFonts w:ascii="仿宋_GB2312" w:hAnsi="仿宋_GB2312" w:eastAsia="仿宋_GB2312"/>
          <w:b w:val="0"/>
          <w:sz w:val="32"/>
        </w:rPr>
        <w:t>1.一般公共服务支出(类)民主党派及工商联事务(款)行政运行(项):支出决算数为168.59万元，比上年决算减少4.26万元，下降2.46%,主要原因是：本年在职转退休人员增加，相关人员经费减少。</w:t>
      </w:r>
    </w:p>
    <w:p w14:paraId="0B2F17E9">
      <w:pPr>
        <w:spacing w:line="580" w:lineRule="exact"/>
        <w:ind w:firstLine="640"/>
        <w:jc w:val="both"/>
      </w:pPr>
      <w:r>
        <w:rPr>
          <w:rFonts w:ascii="仿宋_GB2312" w:hAnsi="仿宋_GB2312" w:eastAsia="仿宋_GB2312"/>
          <w:b w:val="0"/>
          <w:sz w:val="32"/>
        </w:rPr>
        <w:t>2.一般公共服务支出(类)民主党派及工商联事务(款)一般行政管理事务(项):支出决算数为11.78万元，比上年决算减少2.56万元，下降17.85%,主要原因是：本年节约公务用车维修费，因此公用经费减少。</w:t>
      </w:r>
    </w:p>
    <w:p w14:paraId="49178CEB">
      <w:pPr>
        <w:spacing w:line="580" w:lineRule="exact"/>
        <w:ind w:firstLine="640"/>
        <w:jc w:val="both"/>
      </w:pPr>
      <w:r>
        <w:rPr>
          <w:rFonts w:ascii="仿宋_GB2312" w:hAnsi="仿宋_GB2312" w:eastAsia="仿宋_GB2312"/>
          <w:b w:val="0"/>
          <w:sz w:val="32"/>
        </w:rPr>
        <w:t>3.一般公共服务支出(类)民主党派及工商联事务(款)其他民主党派及工商联事务支出(项):支出决算数为0.13万元，比上年决算增加0.13万元，增长100.00%,主要原因是：本年度功能科目调整，专项项目上年在其他支出(项）科目列支，本年调整至其他民主党派及工商联事务支出(项)列支，导致经费支出增加。</w:t>
      </w:r>
    </w:p>
    <w:p w14:paraId="1E5BF255">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4.社会保障和就业支出(类)行政事业单位养老支出(款)行政单位离退休(项):支出决算数为19.59万元，比上年决算增加3.85万元，增长24.46%,主要原因是：本年退休人员增加，退休费支出增加。</w:t>
      </w:r>
    </w:p>
    <w:p w14:paraId="49413C5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19.33万元，比上年决算增加0.13万元，增长0.68%,主要原因是：本年在职人员工资基数调增，养老缴费基数上涨，相应支出增加。</w:t>
      </w:r>
    </w:p>
    <w:p w14:paraId="7CC06DA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6.社会保障和就业支出(类)行政事业单位养老支出(款)机关事业单位职业年金缴费支出(项):支出决算数为8.00万元，比上年决算增加8.00万元，增长100.00%,主要原因是：本年新增退休人员，职业年金缴费支出增加。</w:t>
      </w:r>
    </w:p>
    <w:p w14:paraId="42EA8DEC">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7.社会保障和就业支出(类)抚恤(款)死亡抚恤(项):支出决算数为0.00万元，比上年决算减少27.54万元，下降100.00%,主要原因是：本年无新增死亡人员，死亡抚恤支出较上年减少。</w:t>
      </w:r>
    </w:p>
    <w:p w14:paraId="41CC3D74">
      <w:pPr>
        <w:spacing w:line="580" w:lineRule="exact"/>
        <w:ind w:firstLine="640"/>
        <w:jc w:val="both"/>
      </w:pPr>
      <w:r>
        <w:rPr>
          <w:rFonts w:ascii="仿宋_GB2312" w:hAnsi="仿宋_GB2312" w:eastAsia="仿宋_GB2312"/>
          <w:b w:val="0"/>
          <w:sz w:val="32"/>
        </w:rPr>
        <w:t>8.卫生健康支出(类)行政事业单位医疗(款)行政单位医疗(项):支出决算数为8.22万元，比上年决算减少0.09万元，下降1.08%,主要原因是：本年在职人员转退休人员，行政单位医疗支出较上年减少。</w:t>
      </w:r>
    </w:p>
    <w:p w14:paraId="224E0696">
      <w:pPr>
        <w:spacing w:line="580" w:lineRule="exact"/>
        <w:ind w:firstLine="640"/>
        <w:jc w:val="both"/>
      </w:pPr>
      <w:r>
        <w:rPr>
          <w:rFonts w:ascii="仿宋_GB2312" w:hAnsi="仿宋_GB2312" w:eastAsia="仿宋_GB2312"/>
          <w:b w:val="0"/>
          <w:sz w:val="32"/>
        </w:rPr>
        <w:t>9.卫生健康支出(类)行政事业单位医疗(款)公务员医疗补助(项):支出决算数为2.06万元，比上年决算减少0.06万元，下降2.83%,主要原因是：本年在职人员转退休人员，公务员医疗补助支出较上年减少。</w:t>
      </w:r>
    </w:p>
    <w:p w14:paraId="45600D80">
      <w:pPr>
        <w:spacing w:line="580" w:lineRule="exact"/>
        <w:ind w:firstLine="640"/>
        <w:jc w:val="both"/>
      </w:pPr>
      <w:r>
        <w:rPr>
          <w:rFonts w:ascii="仿宋_GB2312" w:hAnsi="仿宋_GB2312" w:eastAsia="仿宋_GB2312"/>
          <w:b w:val="0"/>
          <w:sz w:val="32"/>
        </w:rPr>
        <w:t>10.住房保障支出(类)住房改革支出(款)住房公积金(项):支出决算数为16.53万元，比上年决算增加0.60万元，增长3.77%,主要原因是：本年在职人员工资基数调增，公积金缴费基数上涨，相应支出增加。</w:t>
      </w:r>
    </w:p>
    <w:p w14:paraId="3534AAC5">
      <w:pPr>
        <w:spacing w:line="580" w:lineRule="exact"/>
        <w:ind w:firstLine="640"/>
        <w:jc w:val="both"/>
      </w:pPr>
      <w:r>
        <w:rPr>
          <w:rFonts w:ascii="仿宋_GB2312" w:hAnsi="仿宋_GB2312" w:eastAsia="仿宋_GB2312"/>
          <w:b w:val="0"/>
          <w:sz w:val="32"/>
        </w:rPr>
        <w:t>11.其他支出(类)其他支出(款)其他支出(项):支出决算数为0.00万元，比上年决算减少0.85万元，下降100.00%,主要原因是：本年度功能科目调整，专项项目上年在其他支出(项）科目列支，本年调整至其他民主党派及工商联事务支出(项)列支，导致经费支出减少。</w:t>
      </w:r>
    </w:p>
    <w:p w14:paraId="257C6C70">
      <w:pPr>
        <w:spacing w:line="640" w:lineRule="exact"/>
        <w:ind w:firstLine="640"/>
        <w:jc w:val="both"/>
        <w:outlineLvl w:val="2"/>
      </w:pPr>
      <w:r>
        <w:rPr>
          <w:rFonts w:ascii="黑体" w:hAnsi="黑体" w:eastAsia="黑体"/>
          <w:sz w:val="32"/>
        </w:rPr>
        <w:t>六、一般公共预算财政拨款基本支出决算情况说明</w:t>
      </w:r>
    </w:p>
    <w:p w14:paraId="241D5590">
      <w:pPr>
        <w:spacing w:line="580" w:lineRule="exact"/>
        <w:ind w:firstLine="640"/>
        <w:jc w:val="both"/>
      </w:pPr>
      <w:r>
        <w:rPr>
          <w:rFonts w:ascii="仿宋_GB2312" w:hAnsi="仿宋_GB2312" w:eastAsia="仿宋_GB2312"/>
          <w:b w:val="0"/>
          <w:sz w:val="32"/>
        </w:rPr>
        <w:t>2024年度一般公共预算财政拨款基本支出242.31万元，其中：</w:t>
      </w:r>
      <w:r>
        <w:rPr>
          <w:rFonts w:ascii="仿宋_GB2312" w:hAnsi="仿宋_GB2312" w:eastAsia="仿宋_GB2312"/>
          <w:b/>
          <w:sz w:val="32"/>
        </w:rPr>
        <w:t>人员经费228.72万元，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2CC15476">
      <w:pPr>
        <w:spacing w:line="580" w:lineRule="exact"/>
        <w:ind w:firstLine="640"/>
        <w:jc w:val="both"/>
      </w:pPr>
      <w:r>
        <w:rPr>
          <w:rFonts w:ascii="仿宋_GB2312" w:hAnsi="仿宋_GB2312" w:eastAsia="仿宋_GB2312"/>
          <w:b/>
          <w:sz w:val="32"/>
        </w:rPr>
        <w:t>公用经费13.59万元，</w:t>
      </w:r>
      <w:r>
        <w:rPr>
          <w:rFonts w:ascii="仿宋_GB2312" w:hAnsi="仿宋_GB2312" w:eastAsia="仿宋_GB2312"/>
          <w:b w:val="0"/>
          <w:sz w:val="32"/>
        </w:rPr>
        <w:t>包括：办公费、邮电费、差旅费、专用材料费、委托业务费、工会经费、公务用车运行维护费、其他商品和服务支出。</w:t>
      </w:r>
    </w:p>
    <w:p w14:paraId="4F646674">
      <w:pPr>
        <w:spacing w:line="640" w:lineRule="exact"/>
        <w:ind w:firstLine="640"/>
        <w:jc w:val="both"/>
        <w:outlineLvl w:val="2"/>
      </w:pPr>
      <w:r>
        <w:rPr>
          <w:rFonts w:ascii="黑体" w:hAnsi="黑体" w:eastAsia="黑体"/>
          <w:sz w:val="32"/>
        </w:rPr>
        <w:t>七、政府性基金预算财政拨款收入支出决算情况说明</w:t>
      </w:r>
    </w:p>
    <w:p w14:paraId="40C728D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DBE3185">
      <w:pPr>
        <w:spacing w:line="640" w:lineRule="exact"/>
        <w:ind w:firstLine="640"/>
        <w:jc w:val="both"/>
        <w:outlineLvl w:val="2"/>
      </w:pPr>
      <w:r>
        <w:rPr>
          <w:rFonts w:ascii="黑体" w:hAnsi="黑体" w:eastAsia="黑体"/>
          <w:sz w:val="32"/>
        </w:rPr>
        <w:t>八、国有资本经营预算财政拨款收入支出决算情况说明</w:t>
      </w:r>
    </w:p>
    <w:p w14:paraId="13EF502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51F4CA">
      <w:pPr>
        <w:spacing w:line="640" w:lineRule="exact"/>
        <w:ind w:firstLine="640"/>
        <w:jc w:val="both"/>
        <w:outlineLvl w:val="2"/>
      </w:pPr>
      <w:r>
        <w:rPr>
          <w:rFonts w:ascii="黑体" w:hAnsi="黑体" w:eastAsia="黑体"/>
          <w:sz w:val="32"/>
        </w:rPr>
        <w:t>九、财政拨款“三公”经费支出决算情况说明</w:t>
      </w:r>
    </w:p>
    <w:p w14:paraId="03FC7966">
      <w:pPr>
        <w:spacing w:line="580" w:lineRule="exact"/>
        <w:ind w:firstLine="640"/>
        <w:jc w:val="both"/>
      </w:pPr>
      <w:r>
        <w:rPr>
          <w:rFonts w:ascii="仿宋_GB2312" w:hAnsi="仿宋_GB2312" w:eastAsia="仿宋_GB2312"/>
          <w:b/>
          <w:sz w:val="32"/>
        </w:rPr>
        <w:t>2024年度财政拨款“三公”经费支出1.97万元，</w:t>
      </w:r>
      <w:r>
        <w:rPr>
          <w:rFonts w:ascii="仿宋_GB2312" w:hAnsi="仿宋_GB2312" w:eastAsia="仿宋_GB2312"/>
          <w:b w:val="0"/>
          <w:sz w:val="32"/>
        </w:rPr>
        <w:t>比上年减少0.13万元，下降6.19%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1.97万元，占100.00%，比上年减少0.13万元，下降6.19%，主要原因是：严格落实中央八项规定精神，厉行节约，减少公务用车运行维护费。公务接待费支出0.00万元，占0.00%，比上年增加0.00万元，增长0.00%，主要原因是：2023年与2024年均未安排公务接待费支出。</w:t>
      </w:r>
    </w:p>
    <w:p w14:paraId="18400C61">
      <w:pPr>
        <w:spacing w:line="580" w:lineRule="exact"/>
        <w:ind w:firstLine="640"/>
        <w:jc w:val="both"/>
      </w:pPr>
      <w:r>
        <w:rPr>
          <w:rFonts w:ascii="仿宋_GB2312" w:hAnsi="仿宋_GB2312" w:eastAsia="仿宋_GB2312"/>
          <w:b/>
          <w:sz w:val="32"/>
        </w:rPr>
        <w:t>具体情况如下：</w:t>
      </w:r>
    </w:p>
    <w:p w14:paraId="336963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252DA0">
      <w:pPr>
        <w:spacing w:line="580" w:lineRule="exact"/>
        <w:ind w:firstLine="640"/>
        <w:jc w:val="both"/>
      </w:pPr>
      <w:r>
        <w:rPr>
          <w:rFonts w:ascii="仿宋_GB2312" w:hAnsi="仿宋_GB2312" w:eastAsia="仿宋_GB2312"/>
          <w:b w:val="0"/>
          <w:sz w:val="32"/>
        </w:rPr>
        <w:t>公务用车购置及运行维护费1.97万元，其中：公务用车购置费0.00万元，公务用车运行维护费1.97万元。公务用车运行维护费开支内容包括车辆燃油费、保险费、维修维护费。公务用车购置数0辆，公务用车保有量1辆。国有资产占用情况中固定资产车辆1辆，与公务用车保有量差异原因是：本单位固定资产车辆与公务用车保有量一致无差异。</w:t>
      </w:r>
    </w:p>
    <w:p w14:paraId="0E6E577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5101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1.97万元，决算数1.97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1.97万元，决算数1.97万元，预决算差异率0.00%，主要原因是：严格按照预算执行，预决算无差异。公务接待费全年预算数0.00万元，决算数0.00万元，预决算差异率0.00%，主要原因是：本单位无公务接待费。</w:t>
      </w:r>
    </w:p>
    <w:p w14:paraId="327B1F5D">
      <w:pPr>
        <w:spacing w:line="640" w:lineRule="exact"/>
        <w:ind w:firstLine="640"/>
        <w:jc w:val="both"/>
        <w:outlineLvl w:val="2"/>
      </w:pPr>
      <w:r>
        <w:rPr>
          <w:rFonts w:ascii="黑体" w:hAnsi="黑体" w:eastAsia="黑体"/>
          <w:sz w:val="32"/>
        </w:rPr>
        <w:t>十、其他重要事项的情况说明</w:t>
      </w:r>
    </w:p>
    <w:p w14:paraId="3A58A125">
      <w:pPr>
        <w:spacing w:line="640" w:lineRule="exact"/>
        <w:ind w:firstLine="640"/>
        <w:jc w:val="both"/>
        <w:outlineLvl w:val="3"/>
      </w:pPr>
      <w:r>
        <w:rPr>
          <w:rFonts w:ascii="楷体_GB2312" w:hAnsi="楷体_GB2312" w:eastAsia="楷体_GB2312"/>
          <w:b/>
          <w:sz w:val="32"/>
        </w:rPr>
        <w:t>（一）机关运行经费及公用经费支出情况</w:t>
      </w:r>
    </w:p>
    <w:p w14:paraId="7D1E6AC7">
      <w:pPr>
        <w:spacing w:line="580" w:lineRule="exact"/>
        <w:ind w:firstLine="640"/>
        <w:jc w:val="both"/>
      </w:pPr>
      <w:r>
        <w:rPr>
          <w:rFonts w:ascii="仿宋_GB2312" w:hAnsi="仿宋_GB2312" w:eastAsia="仿宋_GB2312"/>
          <w:b w:val="0"/>
          <w:sz w:val="32"/>
        </w:rPr>
        <w:t>2024年度新疆维吾尔自治区喀什地区工商业联合会（行政单位和参照公务员法管理事业单位）机关运行经费支出13.59万元，比上年增加2.96万元，增长27.85%，主要原因是：本年度新增接亲联谊活动费、交通费。</w:t>
      </w:r>
    </w:p>
    <w:p w14:paraId="0C662695">
      <w:pPr>
        <w:spacing w:line="640" w:lineRule="exact"/>
        <w:ind w:firstLine="640"/>
        <w:jc w:val="both"/>
        <w:outlineLvl w:val="3"/>
      </w:pPr>
      <w:r>
        <w:rPr>
          <w:rFonts w:ascii="楷体_GB2312" w:hAnsi="楷体_GB2312" w:eastAsia="楷体_GB2312"/>
          <w:b/>
          <w:sz w:val="32"/>
        </w:rPr>
        <w:t>（二）政府采购情况</w:t>
      </w:r>
    </w:p>
    <w:p w14:paraId="600003B4">
      <w:pPr>
        <w:spacing w:line="580" w:lineRule="exact"/>
        <w:ind w:firstLine="640"/>
        <w:jc w:val="both"/>
      </w:pPr>
      <w:r>
        <w:rPr>
          <w:rFonts w:ascii="仿宋_GB2312" w:hAnsi="仿宋_GB2312" w:eastAsia="仿宋_GB2312"/>
          <w:b w:val="0"/>
          <w:sz w:val="32"/>
        </w:rPr>
        <w:t>2024年度政府采购支出总额13.73万元，其中：政府采购货物支出11.67万元、政府采购工程支出1.20万元、政府采购服务支出0.86万元。</w:t>
      </w:r>
    </w:p>
    <w:p w14:paraId="51E34FFB">
      <w:pPr>
        <w:spacing w:line="580" w:lineRule="exact"/>
        <w:ind w:firstLine="640"/>
        <w:jc w:val="both"/>
      </w:pPr>
      <w:r>
        <w:rPr>
          <w:rFonts w:ascii="仿宋_GB2312" w:hAnsi="仿宋_GB2312" w:eastAsia="仿宋_GB2312"/>
          <w:b w:val="0"/>
          <w:sz w:val="32"/>
        </w:rPr>
        <w:t>授予中小企业合同金额13.73万元，占政府采购支出总额的100.00%，其中：授予小微企业合同金额10.58万元，占政府采购支出总额的77.06%。</w:t>
      </w:r>
    </w:p>
    <w:p w14:paraId="60586221">
      <w:pPr>
        <w:spacing w:line="640" w:lineRule="exact"/>
        <w:ind w:firstLine="640"/>
        <w:jc w:val="both"/>
        <w:outlineLvl w:val="3"/>
      </w:pPr>
      <w:r>
        <w:rPr>
          <w:rFonts w:ascii="楷体_GB2312" w:hAnsi="楷体_GB2312" w:eastAsia="楷体_GB2312"/>
          <w:b/>
          <w:sz w:val="32"/>
        </w:rPr>
        <w:t>（三）国有资产占用情况说明</w:t>
      </w:r>
    </w:p>
    <w:p w14:paraId="5F3E87C7">
      <w:pPr>
        <w:spacing w:line="580" w:lineRule="exact"/>
        <w:ind w:firstLine="640"/>
        <w:jc w:val="both"/>
      </w:pPr>
      <w:r>
        <w:rPr>
          <w:rFonts w:ascii="仿宋_GB2312" w:hAnsi="仿宋_GB2312" w:eastAsia="仿宋_GB2312"/>
          <w:b w:val="0"/>
          <w:sz w:val="32"/>
        </w:rPr>
        <w:t>截至2024年12月31日，房屋0.00平方米，价值0.00万元。车辆1辆，价值16.00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8CE3F9F">
      <w:pPr>
        <w:spacing w:line="640" w:lineRule="exact"/>
        <w:ind w:firstLine="640"/>
        <w:jc w:val="both"/>
        <w:outlineLvl w:val="2"/>
      </w:pPr>
      <w:r>
        <w:rPr>
          <w:rFonts w:ascii="黑体" w:hAnsi="黑体" w:eastAsia="黑体"/>
          <w:sz w:val="32"/>
        </w:rPr>
        <w:t>十一、预算绩效的情况说明</w:t>
      </w:r>
    </w:p>
    <w:p w14:paraId="24A41E1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282.35万元，实际执行总额280.35万元；预算绩效评价项目2个，全年预算数28.05万元，全年执行数27.93万元。预算绩效管理取得的成效：本单位</w:t>
      </w:r>
      <w:r>
        <w:rPr>
          <w:rFonts w:hint="eastAsia" w:ascii="仿宋_GB2312" w:hAnsi="仿宋_GB2312" w:eastAsia="仿宋_GB2312"/>
          <w:b w:val="0"/>
          <w:sz w:val="32"/>
          <w:lang w:eastAsia="zh-CN"/>
        </w:rPr>
        <w:t>坚持以习近平新时代中国特色社会</w:t>
      </w:r>
      <w:r>
        <w:rPr>
          <w:rFonts w:ascii="仿宋_GB2312" w:hAnsi="仿宋_GB2312" w:eastAsia="仿宋_GB2312"/>
          <w:b w:val="0"/>
          <w:sz w:val="32"/>
        </w:rPr>
        <w:t>主义思想为指导，深入学习党的二十届历次会议精神和习近平总书记关于新疆工作重要讲话重要指示批示精神，深入贯彻落实</w:t>
      </w:r>
      <w:bookmarkStart w:id="0" w:name="_GoBack"/>
      <w:r>
        <w:rPr>
          <w:rFonts w:hint="eastAsia" w:ascii="仿宋_GB2312" w:hAnsi="仿宋_GB2312" w:eastAsia="仿宋_GB2312"/>
          <w:b w:val="0"/>
          <w:sz w:val="32"/>
          <w:lang w:eastAsia="zh-CN"/>
        </w:rPr>
        <w:t>党中央、国务院</w:t>
      </w:r>
      <w:bookmarkEnd w:id="0"/>
      <w:r>
        <w:rPr>
          <w:rFonts w:ascii="仿宋_GB2312" w:hAnsi="仿宋_GB2312" w:eastAsia="仿宋_GB2312"/>
          <w:b w:val="0"/>
          <w:sz w:val="32"/>
        </w:rPr>
        <w:t>、自治区党委、地委关于促进民营经济发展壮大若干意见、政策措施和加强新时代工商联工作的决策部署，围绕促进“两个健康”工作主题，扎实推进深化理想信念教育，服务民营经济发展等各项工作任务，有力保障了工商联中心工作的高效运转。发现的问题及原因：一是人员配备不足，缺乏专业知识。二是目标设定科学性及评价存在难度，目标设定后如何科学设定考核评价标准，特别是对于不能量化的目标如何评价没有进行充分的研究论证。三是预算执行存在偏差，对个别项目资金使用方面预算不够细致、实施不够规范，出现项目资金结余的情况。下一步改进措施：一是配齐配强绩效管理人员，对人员进行明确分工，明确工作职责；加强人员培训，建立完善的预算绩效管理工作岗位职责及规章制度；建立全过程预算绩效管理链条；制定绩效管理监督制度，对整体的支出实施过程进行严格把关。二是进一步规范细化各项指标值，前期做好可行性研究报告，更加细化实施方案，严格执行资金管理办法和财政资金管理制度，严格按照各项指标值、招投标管理办法等稳步推进工作。三是加强预算管理，年初精准编制项目预算，年中科学管理预算，不得随意增加、调整项目预算，扩大支出范围，缩小预算执行差异率。具体附整体支出绩效自评表，项目支出绩效自评表和评价报告。</w:t>
      </w:r>
    </w:p>
    <w:p w14:paraId="350B20D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539CE9">
        <w:tblPrEx>
          <w:tblCellMar>
            <w:top w:w="0" w:type="dxa"/>
            <w:left w:w="108" w:type="dxa"/>
            <w:bottom w:w="0" w:type="dxa"/>
            <w:right w:w="108" w:type="dxa"/>
          </w:tblCellMar>
        </w:tblPrEx>
        <w:tc>
          <w:tcPr>
            <w:tcW w:w="8847" w:type="dxa"/>
            <w:gridSpan w:val="9"/>
            <w:vAlign w:val="center"/>
          </w:tcPr>
          <w:p w14:paraId="190DFAE5">
            <w:pPr>
              <w:jc w:val="center"/>
            </w:pPr>
            <w:r>
              <w:rPr>
                <w:rFonts w:ascii="宋体" w:hAnsi="宋体" w:eastAsia="宋体"/>
                <w:sz w:val="24"/>
              </w:rPr>
              <w:t>单位整体支出绩效自评表</w:t>
            </w:r>
          </w:p>
        </w:tc>
      </w:tr>
      <w:tr w14:paraId="4652E9A0">
        <w:tblPrEx>
          <w:tblCellMar>
            <w:top w:w="0" w:type="dxa"/>
            <w:left w:w="108" w:type="dxa"/>
            <w:bottom w:w="0" w:type="dxa"/>
            <w:right w:w="108" w:type="dxa"/>
          </w:tblCellMar>
        </w:tblPrEx>
        <w:tc>
          <w:tcPr>
            <w:tcW w:w="8847" w:type="dxa"/>
            <w:gridSpan w:val="9"/>
            <w:vAlign w:val="center"/>
          </w:tcPr>
          <w:p w14:paraId="6B6D6554">
            <w:pPr>
              <w:jc w:val="center"/>
            </w:pPr>
            <w:r>
              <w:rPr>
                <w:rFonts w:ascii="宋体" w:hAnsi="宋体" w:eastAsia="宋体"/>
                <w:sz w:val="24"/>
              </w:rPr>
              <w:t>（2024年度）</w:t>
            </w:r>
          </w:p>
        </w:tc>
      </w:tr>
      <w:tr w14:paraId="33224E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D8FD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C0A7DC">
            <w:pPr>
              <w:jc w:val="center"/>
            </w:pPr>
            <w:r>
              <w:rPr>
                <w:rFonts w:ascii="宋体" w:hAnsi="宋体" w:eastAsia="宋体"/>
                <w:sz w:val="16"/>
              </w:rPr>
              <w:t>新疆维吾尔自治区喀什地区工商业联合会</w:t>
            </w:r>
          </w:p>
        </w:tc>
      </w:tr>
      <w:tr w14:paraId="726223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7927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2E58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F78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C245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AB0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041D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D182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A0385">
            <w:pPr>
              <w:jc w:val="center"/>
            </w:pPr>
            <w:r>
              <w:rPr>
                <w:rFonts w:ascii="宋体" w:hAnsi="宋体" w:eastAsia="宋体"/>
                <w:sz w:val="16"/>
              </w:rPr>
              <w:t>得分</w:t>
            </w:r>
          </w:p>
        </w:tc>
      </w:tr>
      <w:tr w14:paraId="338B3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747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CECB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DDF3B">
            <w:pPr>
              <w:jc w:val="center"/>
            </w:pPr>
            <w:r>
              <w:rPr>
                <w:rFonts w:ascii="宋体" w:hAnsi="宋体" w:eastAsia="宋体"/>
                <w:sz w:val="16"/>
              </w:rPr>
              <w:t>271.53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50246">
            <w:pPr>
              <w:jc w:val="center"/>
            </w:pPr>
            <w:r>
              <w:rPr>
                <w:rFonts w:ascii="宋体" w:hAnsi="宋体" w:eastAsia="宋体"/>
                <w:sz w:val="16"/>
              </w:rPr>
              <w:t>282.35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BECDB">
            <w:pPr>
              <w:jc w:val="center"/>
            </w:pPr>
            <w:r>
              <w:rPr>
                <w:rFonts w:ascii="宋体" w:hAnsi="宋体" w:eastAsia="宋体"/>
                <w:sz w:val="16"/>
              </w:rPr>
              <w:t>280.35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D20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97A55">
            <w:pPr>
              <w:jc w:val="center"/>
            </w:pPr>
            <w:r>
              <w:rPr>
                <w:rFonts w:ascii="宋体" w:hAnsi="宋体" w:eastAsia="宋体"/>
                <w:sz w:val="16"/>
              </w:rPr>
              <w:t>99.29%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42682">
            <w:pPr>
              <w:jc w:val="center"/>
            </w:pPr>
            <w:r>
              <w:rPr>
                <w:rFonts w:ascii="宋体" w:hAnsi="宋体" w:eastAsia="宋体"/>
                <w:sz w:val="16"/>
              </w:rPr>
              <w:t>9.93</w:t>
            </w:r>
          </w:p>
        </w:tc>
      </w:tr>
      <w:tr w14:paraId="5B4C04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A54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A9DB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23060">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6D9DB">
            <w:pPr>
              <w:jc w:val="center"/>
            </w:pPr>
            <w:r>
              <w:rPr>
                <w:rFonts w:ascii="宋体" w:hAnsi="宋体" w:eastAsia="宋体"/>
                <w:sz w:val="16"/>
              </w:rPr>
              <w:t>19.93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38294">
            <w:pPr>
              <w:jc w:val="center"/>
            </w:pPr>
            <w:r>
              <w:rPr>
                <w:rFonts w:ascii="宋体" w:hAnsi="宋体" w:eastAsia="宋体"/>
                <w:sz w:val="16"/>
              </w:rPr>
              <w:t>18.05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F1C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2C1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D777">
            <w:pPr>
              <w:jc w:val="center"/>
            </w:pPr>
            <w:r>
              <w:rPr>
                <w:rFonts w:ascii="宋体" w:hAnsi="宋体" w:eastAsia="宋体"/>
                <w:sz w:val="16"/>
              </w:rPr>
              <w:t>—</w:t>
            </w:r>
          </w:p>
        </w:tc>
      </w:tr>
      <w:tr w14:paraId="1047D5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83B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008E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1AB84">
            <w:pPr>
              <w:jc w:val="center"/>
            </w:pPr>
            <w:r>
              <w:rPr>
                <w:rFonts w:ascii="宋体" w:hAnsi="宋体" w:eastAsia="宋体"/>
                <w:sz w:val="16"/>
              </w:rPr>
              <w:t>244.54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7CC25">
            <w:pPr>
              <w:jc w:val="center"/>
            </w:pPr>
            <w:r>
              <w:rPr>
                <w:rFonts w:ascii="宋体" w:hAnsi="宋体" w:eastAsia="宋体"/>
                <w:sz w:val="16"/>
              </w:rPr>
              <w:t>236.17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91E15">
            <w:pPr>
              <w:jc w:val="center"/>
            </w:pPr>
            <w:r>
              <w:rPr>
                <w:rFonts w:ascii="宋体" w:hAnsi="宋体" w:eastAsia="宋体"/>
                <w:sz w:val="16"/>
              </w:rPr>
              <w:t>236.17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478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4ADA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C187F">
            <w:pPr>
              <w:jc w:val="center"/>
            </w:pPr>
            <w:r>
              <w:rPr>
                <w:rFonts w:ascii="宋体" w:hAnsi="宋体" w:eastAsia="宋体"/>
                <w:sz w:val="16"/>
              </w:rPr>
              <w:t>—</w:t>
            </w:r>
          </w:p>
        </w:tc>
      </w:tr>
      <w:tr w14:paraId="4F8A5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2DA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C943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A070D">
            <w:pPr>
              <w:jc w:val="center"/>
            </w:pPr>
            <w:r>
              <w:rPr>
                <w:rFonts w:ascii="宋体" w:hAnsi="宋体" w:eastAsia="宋体"/>
                <w:sz w:val="16"/>
              </w:rPr>
              <w:t>26.25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B304B">
            <w:pPr>
              <w:jc w:val="center"/>
            </w:pPr>
            <w:r>
              <w:rPr>
                <w:rFonts w:ascii="宋体" w:hAnsi="宋体" w:eastAsia="宋体"/>
                <w:sz w:val="16"/>
              </w:rPr>
              <w:t>26.25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B9FAB">
            <w:pPr>
              <w:jc w:val="center"/>
            </w:pPr>
            <w:r>
              <w:rPr>
                <w:rFonts w:ascii="宋体" w:hAnsi="宋体" w:eastAsia="宋体"/>
                <w:sz w:val="16"/>
              </w:rPr>
              <w:t>26.13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ACD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9B71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68F6">
            <w:pPr>
              <w:jc w:val="center"/>
            </w:pPr>
            <w:r>
              <w:rPr>
                <w:rFonts w:ascii="宋体" w:hAnsi="宋体" w:eastAsia="宋体"/>
                <w:sz w:val="16"/>
              </w:rPr>
              <w:t>—</w:t>
            </w:r>
          </w:p>
        </w:tc>
      </w:tr>
      <w:tr w14:paraId="5D0AB5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3AE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BB3F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80D6FD">
            <w:pPr>
              <w:jc w:val="center"/>
            </w:pPr>
            <w:r>
              <w:rPr>
                <w:rFonts w:ascii="宋体" w:hAnsi="宋体" w:eastAsia="宋体"/>
                <w:sz w:val="16"/>
              </w:rPr>
              <w:t>实际完成情况</w:t>
            </w:r>
          </w:p>
        </w:tc>
      </w:tr>
      <w:tr w14:paraId="1CEB7F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BC976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4CD731">
            <w:pPr>
              <w:jc w:val="both"/>
            </w:pPr>
            <w:r>
              <w:rPr>
                <w:rFonts w:ascii="宋体" w:hAnsi="宋体" w:eastAsia="宋体"/>
                <w:sz w:val="16"/>
              </w:rPr>
              <w:t>贯彻落实地委、行署各项工作部署要求，坚持政治建会、团结立会、服务兴会、改革强会，坚持稳中求进工作总基调，贯彻新发展理念，为非公有制经济健康发展和非公有制经济人士健康成长服务。提升服务非公有制经济发展的能力水平、提升机关干部工作水平、提升加强商会党建工作水平。发挥桥梁、纽带和助手作用，团结凝聚地区工商联系统和广大非公有制经济人士大力促进非公有制经济健康发展和非公有制经济人士健康成长。</w:t>
            </w:r>
            <w:r>
              <w:rPr>
                <w:rFonts w:hint="eastAsia" w:ascii="宋体" w:hAnsi="宋体"/>
                <w:sz w:val="16"/>
                <w:lang w:eastAsia="zh-CN"/>
              </w:rPr>
              <w:t>工商联</w:t>
            </w:r>
            <w:r>
              <w:rPr>
                <w:rFonts w:ascii="宋体" w:hAnsi="宋体" w:eastAsia="宋体"/>
                <w:sz w:val="16"/>
              </w:rPr>
              <w:t>组织七届地区工商联（总商会）兼职副主席、副会长、县市工商联主席赴援疆</w:t>
            </w:r>
            <w:r>
              <w:rPr>
                <w:rFonts w:hint="eastAsia" w:ascii="宋体" w:hAnsi="宋体"/>
                <w:sz w:val="16"/>
                <w:lang w:eastAsia="zh-CN"/>
              </w:rPr>
              <w:t>省市</w:t>
            </w:r>
            <w:r>
              <w:rPr>
                <w:rFonts w:ascii="宋体" w:hAnsi="宋体" w:eastAsia="宋体"/>
                <w:sz w:val="16"/>
              </w:rPr>
              <w:t>学习交流1次，完成非公经济发展调研次数4次，开展非公经济人士各类主题培训3次，建立地区级民营经济人士理想信念教育基地1个，开展“万企兴万村”现场推进会等活动1次。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C3081C">
            <w:pPr>
              <w:jc w:val="both"/>
            </w:pPr>
            <w:r>
              <w:rPr>
                <w:rFonts w:ascii="宋体" w:hAnsi="宋体" w:eastAsia="宋体"/>
                <w:sz w:val="16"/>
              </w:rPr>
              <w:t>组织七届地区工商联（总商会）兼职副主席、副会长、县市工商联主席赴援疆</w:t>
            </w:r>
            <w:r>
              <w:rPr>
                <w:rFonts w:hint="eastAsia" w:ascii="宋体" w:hAnsi="宋体"/>
                <w:sz w:val="16"/>
                <w:lang w:eastAsia="zh-CN"/>
              </w:rPr>
              <w:t>省市</w:t>
            </w:r>
            <w:r>
              <w:rPr>
                <w:rFonts w:ascii="宋体" w:hAnsi="宋体" w:eastAsia="宋体"/>
                <w:sz w:val="16"/>
              </w:rPr>
              <w:t>学习交流次数2次；开展非公经济人士各类主题培训次数4次；完成非公经济发展调研次数4次；建立地区级民营经济人士理想信念教育基地个数1个；开展“万企兴万村”现场推进会次数1次；贯彻落实地委、行署各项工作部署要求，坚持政治建会、团结立会、服务兴会、改革强会，坚持稳中求进工作总基调，贯彻新发展理念，为非公有制经济健康发展和非公有制经济人士健康成长服务。提升服务非公有制经济发展的能力水平、提升机关干部工作水平、提升加强商会党建工作水平。发挥桥梁、纽带和助手作用，团结凝聚地区工商联系统和广大非公有制经济人士大力促进非公有制经济健康发展和非公有制经济人士健康成长。</w:t>
            </w:r>
          </w:p>
        </w:tc>
      </w:tr>
      <w:tr w14:paraId="7C24A6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1914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A626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BF4A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C668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5DD6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265A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947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EE8A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B29A8">
            <w:pPr>
              <w:jc w:val="center"/>
            </w:pPr>
            <w:r>
              <w:rPr>
                <w:rFonts w:ascii="宋体" w:hAnsi="宋体" w:eastAsia="宋体"/>
                <w:sz w:val="16"/>
              </w:rPr>
              <w:t>得分</w:t>
            </w:r>
          </w:p>
        </w:tc>
      </w:tr>
      <w:tr w14:paraId="5A1567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83C3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6003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151B1">
            <w:pPr>
              <w:jc w:val="center"/>
            </w:pPr>
            <w:r>
              <w:rPr>
                <w:rFonts w:ascii="宋体" w:hAnsi="宋体" w:eastAsia="宋体"/>
                <w:sz w:val="16"/>
              </w:rPr>
              <w:t>组织七届地区工商联（总商会）兼职副主席、副会长、县市工商联主席赴援疆</w:t>
            </w:r>
            <w:r>
              <w:rPr>
                <w:rFonts w:hint="eastAsia" w:ascii="宋体" w:hAnsi="宋体"/>
                <w:sz w:val="16"/>
                <w:lang w:eastAsia="zh-CN"/>
              </w:rPr>
              <w:t>省市</w:t>
            </w:r>
            <w:r>
              <w:rPr>
                <w:rFonts w:ascii="宋体" w:hAnsi="宋体" w:eastAsia="宋体"/>
                <w:sz w:val="16"/>
              </w:rPr>
              <w:t>学习交流次数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3D642">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81584">
            <w:pPr>
              <w:jc w:val="center"/>
            </w:pPr>
            <w:r>
              <w:rPr>
                <w:rFonts w:ascii="宋体" w:hAnsi="宋体" w:eastAsia="宋体"/>
                <w:sz w:val="16"/>
              </w:rPr>
              <w:t>喀工联字</w:t>
            </w:r>
            <w:r>
              <w:rPr>
                <w:rFonts w:hint="eastAsia" w:ascii="宋体" w:hAnsi="宋体"/>
                <w:sz w:val="16"/>
                <w:lang w:eastAsia="zh-CN"/>
              </w:rPr>
              <w:t>〔2024〕1号</w:t>
            </w:r>
            <w:r>
              <w:rPr>
                <w:rFonts w:ascii="宋体" w:hAnsi="宋体" w:eastAsia="宋体"/>
                <w:sz w:val="16"/>
              </w:rPr>
              <w:t>喀什地区工商联（总商会）2024年工作思路和重点工作思路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243F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E3EC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13CA">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E2C05">
            <w:pPr>
              <w:jc w:val="center"/>
            </w:pPr>
            <w:r>
              <w:rPr>
                <w:rFonts w:ascii="宋体" w:hAnsi="宋体" w:eastAsia="宋体"/>
                <w:sz w:val="16"/>
              </w:rPr>
              <w:t>15</w:t>
            </w:r>
          </w:p>
        </w:tc>
      </w:tr>
      <w:tr w14:paraId="09A6AB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619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F55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9BE3F">
            <w:pPr>
              <w:jc w:val="center"/>
            </w:pPr>
            <w:r>
              <w:rPr>
                <w:rFonts w:ascii="宋体" w:hAnsi="宋体" w:eastAsia="宋体"/>
                <w:sz w:val="16"/>
              </w:rPr>
              <w:t>开展非公经济人士各类主题培训次数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17FB7">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F7289">
            <w:pPr>
              <w:jc w:val="center"/>
            </w:pPr>
            <w:r>
              <w:rPr>
                <w:rFonts w:ascii="宋体" w:hAnsi="宋体" w:eastAsia="宋体"/>
                <w:sz w:val="16"/>
              </w:rPr>
              <w:t>喀工联字</w:t>
            </w:r>
            <w:r>
              <w:rPr>
                <w:rFonts w:hint="eastAsia" w:ascii="宋体" w:hAnsi="宋体"/>
                <w:sz w:val="16"/>
                <w:lang w:eastAsia="zh-CN"/>
              </w:rPr>
              <w:t>〔2024〕1号</w:t>
            </w:r>
            <w:r>
              <w:rPr>
                <w:rFonts w:ascii="宋体" w:hAnsi="宋体" w:eastAsia="宋体"/>
                <w:sz w:val="16"/>
              </w:rPr>
              <w:t>喀什地区工商联（总商会）2024年工作思路和重点工作思路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172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F7CF7">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C67C3">
            <w:pPr>
              <w:jc w:val="center"/>
            </w:pPr>
            <w:r>
              <w:rPr>
                <w:rFonts w:ascii="宋体" w:hAnsi="宋体" w:eastAsia="宋体"/>
                <w:sz w:val="16"/>
              </w:rPr>
              <w:t>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7B197">
            <w:pPr>
              <w:jc w:val="center"/>
            </w:pPr>
            <w:r>
              <w:rPr>
                <w:rFonts w:ascii="宋体" w:hAnsi="宋体" w:eastAsia="宋体"/>
                <w:sz w:val="16"/>
              </w:rPr>
              <w:t>20</w:t>
            </w:r>
          </w:p>
        </w:tc>
      </w:tr>
      <w:tr w14:paraId="39FFE4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0B0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FCE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F47A">
            <w:pPr>
              <w:jc w:val="center"/>
            </w:pPr>
            <w:r>
              <w:rPr>
                <w:rFonts w:ascii="宋体" w:hAnsi="宋体" w:eastAsia="宋体"/>
                <w:sz w:val="16"/>
              </w:rPr>
              <w:t>完成非公经济发展调研次数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B5053">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9025A">
            <w:pPr>
              <w:jc w:val="center"/>
            </w:pPr>
            <w:r>
              <w:rPr>
                <w:rFonts w:ascii="宋体" w:hAnsi="宋体" w:eastAsia="宋体"/>
                <w:sz w:val="16"/>
              </w:rPr>
              <w:t>喀工联字</w:t>
            </w:r>
            <w:r>
              <w:rPr>
                <w:rFonts w:hint="eastAsia" w:ascii="宋体" w:hAnsi="宋体"/>
                <w:sz w:val="16"/>
                <w:lang w:eastAsia="zh-CN"/>
              </w:rPr>
              <w:t>〔2024〕1号</w:t>
            </w:r>
            <w:r>
              <w:rPr>
                <w:rFonts w:ascii="宋体" w:hAnsi="宋体" w:eastAsia="宋体"/>
                <w:sz w:val="16"/>
              </w:rPr>
              <w:t>喀什地区工商联（总商会）2024年工作思路和重点工作思路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7A4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9B2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0A7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BA1E1">
            <w:pPr>
              <w:jc w:val="center"/>
            </w:pPr>
            <w:r>
              <w:rPr>
                <w:rFonts w:ascii="宋体" w:hAnsi="宋体" w:eastAsia="宋体"/>
                <w:sz w:val="16"/>
              </w:rPr>
              <w:t>20</w:t>
            </w:r>
          </w:p>
        </w:tc>
      </w:tr>
      <w:tr w14:paraId="643633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B5E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8E26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8D9C1">
            <w:pPr>
              <w:jc w:val="center"/>
            </w:pPr>
            <w:r>
              <w:rPr>
                <w:rFonts w:ascii="宋体" w:hAnsi="宋体" w:eastAsia="宋体"/>
                <w:sz w:val="16"/>
              </w:rPr>
              <w:t>建立地区级民营经济人士理想信念教育基地个数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88474">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41E5B">
            <w:pPr>
              <w:jc w:val="center"/>
            </w:pPr>
            <w:r>
              <w:rPr>
                <w:rFonts w:ascii="宋体" w:hAnsi="宋体" w:eastAsia="宋体"/>
                <w:sz w:val="16"/>
              </w:rPr>
              <w:t>喀工联字</w:t>
            </w:r>
            <w:r>
              <w:rPr>
                <w:rFonts w:hint="eastAsia" w:ascii="宋体" w:hAnsi="宋体"/>
                <w:sz w:val="16"/>
                <w:lang w:eastAsia="zh-CN"/>
              </w:rPr>
              <w:t>〔2024〕1号</w:t>
            </w:r>
            <w:r>
              <w:rPr>
                <w:rFonts w:ascii="宋体" w:hAnsi="宋体" w:eastAsia="宋体"/>
                <w:sz w:val="16"/>
              </w:rPr>
              <w:t>喀什地区工商联（总商会）2024年工作思路和重点工作思路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1D73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0108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62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66E0">
            <w:pPr>
              <w:jc w:val="center"/>
            </w:pPr>
            <w:r>
              <w:rPr>
                <w:rFonts w:ascii="宋体" w:hAnsi="宋体" w:eastAsia="宋体"/>
                <w:sz w:val="16"/>
              </w:rPr>
              <w:t>15</w:t>
            </w:r>
          </w:p>
        </w:tc>
      </w:tr>
      <w:tr w14:paraId="3114D9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540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545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94E6">
            <w:pPr>
              <w:jc w:val="center"/>
            </w:pPr>
            <w:r>
              <w:rPr>
                <w:rFonts w:ascii="宋体" w:hAnsi="宋体" w:eastAsia="宋体"/>
                <w:sz w:val="16"/>
              </w:rPr>
              <w:t>开展“万企兴万村”现场推进会次数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948F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05936">
            <w:pPr>
              <w:jc w:val="center"/>
            </w:pPr>
            <w:r>
              <w:rPr>
                <w:rFonts w:ascii="宋体" w:hAnsi="宋体" w:eastAsia="宋体"/>
                <w:sz w:val="16"/>
              </w:rPr>
              <w:t>喀工联字</w:t>
            </w:r>
            <w:r>
              <w:rPr>
                <w:rFonts w:hint="eastAsia" w:ascii="宋体" w:hAnsi="宋体"/>
                <w:sz w:val="16"/>
                <w:lang w:eastAsia="zh-CN"/>
              </w:rPr>
              <w:t>〔2024〕1号</w:t>
            </w:r>
            <w:r>
              <w:rPr>
                <w:rFonts w:ascii="宋体" w:hAnsi="宋体" w:eastAsia="宋体"/>
                <w:sz w:val="16"/>
              </w:rPr>
              <w:t>喀什地区工商联（总商会）2024年工作思路和重点工作思路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47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F024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4AE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9EFBC">
            <w:pPr>
              <w:jc w:val="center"/>
            </w:pPr>
            <w:r>
              <w:rPr>
                <w:rFonts w:ascii="宋体" w:hAnsi="宋体" w:eastAsia="宋体"/>
                <w:sz w:val="16"/>
              </w:rPr>
              <w:t>20</w:t>
            </w:r>
          </w:p>
        </w:tc>
      </w:tr>
    </w:tbl>
    <w:p w14:paraId="70199E86">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936"/>
        <w:gridCol w:w="610"/>
        <w:gridCol w:w="610"/>
        <w:gridCol w:w="610"/>
        <w:gridCol w:w="610"/>
        <w:gridCol w:w="610"/>
        <w:gridCol w:w="776"/>
        <w:gridCol w:w="632"/>
        <w:gridCol w:w="583"/>
        <w:gridCol w:w="631"/>
      </w:tblGrid>
      <w:tr w14:paraId="1F7728B3">
        <w:tblPrEx>
          <w:tblCellMar>
            <w:top w:w="0" w:type="dxa"/>
            <w:left w:w="108" w:type="dxa"/>
            <w:bottom w:w="0" w:type="dxa"/>
            <w:right w:w="108" w:type="dxa"/>
          </w:tblCellMar>
        </w:tblPrEx>
        <w:tc>
          <w:tcPr>
            <w:tcW w:w="8848" w:type="dxa"/>
            <w:gridSpan w:val="14"/>
            <w:vAlign w:val="center"/>
          </w:tcPr>
          <w:p w14:paraId="6041A28D">
            <w:pPr>
              <w:jc w:val="center"/>
            </w:pPr>
            <w:r>
              <w:rPr>
                <w:rFonts w:ascii="宋体" w:hAnsi="宋体" w:eastAsia="宋体"/>
                <w:sz w:val="24"/>
              </w:rPr>
              <w:t>项目支出绩效自评表</w:t>
            </w:r>
          </w:p>
        </w:tc>
      </w:tr>
      <w:tr w14:paraId="1570F2D9">
        <w:tblPrEx>
          <w:tblCellMar>
            <w:top w:w="0" w:type="dxa"/>
            <w:left w:w="108" w:type="dxa"/>
            <w:bottom w:w="0" w:type="dxa"/>
            <w:right w:w="108" w:type="dxa"/>
          </w:tblCellMar>
        </w:tblPrEx>
        <w:tc>
          <w:tcPr>
            <w:tcW w:w="8848" w:type="dxa"/>
            <w:gridSpan w:val="14"/>
            <w:vAlign w:val="center"/>
          </w:tcPr>
          <w:p w14:paraId="075D42FC">
            <w:pPr>
              <w:jc w:val="center"/>
            </w:pPr>
            <w:r>
              <w:rPr>
                <w:rFonts w:ascii="宋体" w:hAnsi="宋体" w:eastAsia="宋体"/>
                <w:sz w:val="24"/>
              </w:rPr>
              <w:t>(2024年度)</w:t>
            </w:r>
          </w:p>
        </w:tc>
      </w:tr>
      <w:tr w14:paraId="240061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B7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B8AB29">
            <w:pPr>
              <w:jc w:val="center"/>
            </w:pPr>
            <w:r>
              <w:rPr>
                <w:rFonts w:ascii="宋体" w:hAnsi="宋体" w:eastAsia="宋体"/>
                <w:sz w:val="16"/>
              </w:rPr>
              <w:t>上海援疆喀什非公有制经济代表人士学习交流培训项目</w:t>
            </w:r>
          </w:p>
        </w:tc>
      </w:tr>
      <w:tr w14:paraId="5BB82E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54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4AF6B">
            <w:pPr>
              <w:jc w:val="center"/>
            </w:pPr>
            <w:r>
              <w:rPr>
                <w:rFonts w:ascii="宋体" w:hAnsi="宋体" w:eastAsia="宋体"/>
                <w:sz w:val="16"/>
              </w:rPr>
              <w:t>新疆维吾尔自治区工商业联合会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41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CE9A09">
            <w:pPr>
              <w:jc w:val="center"/>
            </w:pPr>
            <w:r>
              <w:rPr>
                <w:rFonts w:ascii="宋体" w:hAnsi="宋体" w:eastAsia="宋体"/>
                <w:sz w:val="16"/>
              </w:rPr>
              <w:t>新疆维吾尔自治区喀什地区工商业联合会</w:t>
            </w:r>
          </w:p>
        </w:tc>
      </w:tr>
      <w:tr w14:paraId="4A74AC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1532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DE3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C9C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E6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36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62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B03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E8BE">
            <w:pPr>
              <w:jc w:val="center"/>
            </w:pPr>
            <w:r>
              <w:rPr>
                <w:rFonts w:ascii="宋体" w:hAnsi="宋体" w:eastAsia="宋体"/>
                <w:sz w:val="16"/>
              </w:rPr>
              <w:t>得分</w:t>
            </w:r>
          </w:p>
        </w:tc>
      </w:tr>
      <w:tr w14:paraId="1A863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7AA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F70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72FE7">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611FD">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C46C">
            <w:pPr>
              <w:jc w:val="center"/>
            </w:pPr>
            <w:r>
              <w:rPr>
                <w:rFonts w:ascii="宋体" w:hAnsi="宋体" w:eastAsia="宋体"/>
                <w:sz w:val="16"/>
              </w:rPr>
              <w:t>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FC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9521">
            <w:pPr>
              <w:jc w:val="center"/>
            </w:pPr>
            <w:r>
              <w:rPr>
                <w:rFonts w:ascii="宋体" w:hAnsi="宋体" w:eastAsia="宋体"/>
                <w:sz w:val="16"/>
              </w:rPr>
              <w:t>99.54%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ED92">
            <w:pPr>
              <w:jc w:val="center"/>
            </w:pPr>
            <w:r>
              <w:rPr>
                <w:rFonts w:ascii="宋体" w:hAnsi="宋体" w:eastAsia="宋体"/>
                <w:sz w:val="16"/>
              </w:rPr>
              <w:t>10.00分</w:t>
            </w:r>
          </w:p>
        </w:tc>
      </w:tr>
      <w:tr w14:paraId="6FDF7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22B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3E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7B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B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DF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C2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1B5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B37B">
            <w:pPr>
              <w:jc w:val="center"/>
            </w:pPr>
            <w:r>
              <w:rPr>
                <w:rFonts w:ascii="宋体" w:hAnsi="宋体" w:eastAsia="宋体"/>
                <w:sz w:val="16"/>
              </w:rPr>
              <w:t>—</w:t>
            </w:r>
          </w:p>
        </w:tc>
      </w:tr>
      <w:tr w14:paraId="4FEBE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BB4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BC4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0041">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EDFC">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5866">
            <w:pPr>
              <w:jc w:val="center"/>
            </w:pPr>
            <w:r>
              <w:rPr>
                <w:rFonts w:ascii="宋体" w:hAnsi="宋体" w:eastAsia="宋体"/>
                <w:sz w:val="16"/>
              </w:rPr>
              <w:t>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53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DC66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7312">
            <w:pPr>
              <w:jc w:val="center"/>
            </w:pPr>
            <w:r>
              <w:rPr>
                <w:rFonts w:ascii="宋体" w:hAnsi="宋体" w:eastAsia="宋体"/>
                <w:sz w:val="16"/>
              </w:rPr>
              <w:t>—</w:t>
            </w:r>
          </w:p>
        </w:tc>
      </w:tr>
      <w:tr w14:paraId="6066B2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C90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8DE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C1F2D1">
            <w:pPr>
              <w:jc w:val="center"/>
            </w:pPr>
            <w:r>
              <w:rPr>
                <w:rFonts w:ascii="宋体" w:hAnsi="宋体" w:eastAsia="宋体"/>
                <w:sz w:val="16"/>
              </w:rPr>
              <w:t>实际完成情况</w:t>
            </w:r>
          </w:p>
        </w:tc>
      </w:tr>
      <w:tr w14:paraId="3AF48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297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C796E6">
            <w:pPr>
              <w:jc w:val="both"/>
            </w:pPr>
            <w:r>
              <w:rPr>
                <w:rFonts w:ascii="宋体" w:hAnsi="宋体" w:eastAsia="宋体"/>
                <w:sz w:val="16"/>
              </w:rPr>
              <w:t>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60E437">
            <w:pPr>
              <w:jc w:val="both"/>
            </w:pPr>
            <w:r>
              <w:rPr>
                <w:rFonts w:hint="eastAsia" w:ascii="宋体" w:hAnsi="宋体"/>
                <w:sz w:val="16"/>
                <w:lang w:eastAsia="zh-CN"/>
              </w:rPr>
              <w:t>截至</w:t>
            </w:r>
            <w:r>
              <w:rPr>
                <w:rFonts w:ascii="宋体" w:hAnsi="宋体" w:eastAsia="宋体"/>
                <w:sz w:val="16"/>
              </w:rPr>
              <w:t>2024年12月31日，该项目全部实施完毕，支付金额为26.13万元，执行率为99.54%，剩余资金退回上海对口支援新疆前方指挥部。项目共组织2批次51人赴上海参加学习交流培训8天，项目的实施学习借鉴了上海发展壮大民营经济的经验做法和优秀民营企业的经营理念，提升了喀什本地民营企业家综合素质，助推我区民营经济高质量发展。</w:t>
            </w:r>
          </w:p>
        </w:tc>
      </w:tr>
      <w:tr w14:paraId="0C5372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72C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8E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73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02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5A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CA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A6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39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B9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D3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F5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A6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8A96D">
            <w:pPr>
              <w:jc w:val="center"/>
            </w:pPr>
            <w:r>
              <w:rPr>
                <w:rFonts w:ascii="宋体" w:hAnsi="宋体" w:eastAsia="宋体"/>
                <w:sz w:val="16"/>
              </w:rPr>
              <w:t>偏差原因分析及改进措施</w:t>
            </w:r>
          </w:p>
        </w:tc>
      </w:tr>
      <w:tr w14:paraId="00D065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4E0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765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67C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574F">
            <w:pPr>
              <w:jc w:val="center"/>
            </w:pPr>
            <w:r>
              <w:rPr>
                <w:rFonts w:ascii="宋体" w:hAnsi="宋体" w:eastAsia="宋体"/>
                <w:sz w:val="16"/>
              </w:rPr>
              <w:t>研修活动参与人数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EBC0">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9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D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FE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4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27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CD2E">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4E3D">
            <w:pPr>
              <w:jc w:val="center"/>
            </w:pPr>
            <w:r>
              <w:rPr>
                <w:rFonts w:ascii="宋体" w:hAnsi="宋体" w:eastAsia="宋体"/>
                <w:sz w:val="16"/>
              </w:rPr>
              <w:t>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41D26">
            <w:pPr>
              <w:jc w:val="center"/>
            </w:pPr>
            <w:r>
              <w:rPr>
                <w:rFonts w:ascii="宋体" w:hAnsi="宋体" w:eastAsia="宋体"/>
                <w:sz w:val="16"/>
              </w:rPr>
              <w:t>原因分析：年初计划制定不精准，导致指标实际完成值</w:t>
            </w:r>
            <w:r>
              <w:rPr>
                <w:rFonts w:hint="eastAsia" w:ascii="宋体" w:hAnsi="宋体"/>
                <w:sz w:val="16"/>
                <w:lang w:eastAsia="zh-CN"/>
              </w:rPr>
              <w:t>大于</w:t>
            </w:r>
            <w:r>
              <w:rPr>
                <w:rFonts w:ascii="宋体" w:hAnsi="宋体" w:eastAsia="宋体"/>
                <w:sz w:val="16"/>
              </w:rPr>
              <w:t>预期目标值。</w:t>
            </w:r>
          </w:p>
        </w:tc>
      </w:tr>
      <w:tr w14:paraId="28D81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2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45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F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A5BB">
            <w:pPr>
              <w:jc w:val="center"/>
            </w:pPr>
            <w:r>
              <w:rPr>
                <w:rFonts w:ascii="宋体" w:hAnsi="宋体" w:eastAsia="宋体"/>
                <w:sz w:val="16"/>
              </w:rPr>
              <w:t>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941B">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8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1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36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E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7C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BBCE">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88E9">
            <w:pPr>
              <w:jc w:val="center"/>
            </w:pPr>
            <w:r>
              <w:rPr>
                <w:rFonts w:ascii="宋体" w:hAnsi="宋体" w:eastAsia="宋体"/>
                <w:sz w:val="16"/>
              </w:rPr>
              <w:t>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2F71B">
            <w:pPr>
              <w:jc w:val="center"/>
            </w:pPr>
            <w:r>
              <w:rPr>
                <w:rFonts w:ascii="宋体" w:hAnsi="宋体" w:eastAsia="宋体"/>
                <w:sz w:val="16"/>
              </w:rPr>
              <w:t>原因分析：年初计划制定不精准，导致指标实际完成值</w:t>
            </w:r>
            <w:r>
              <w:rPr>
                <w:rFonts w:hint="eastAsia" w:ascii="宋体" w:hAnsi="宋体"/>
                <w:sz w:val="16"/>
                <w:lang w:eastAsia="zh-CN"/>
              </w:rPr>
              <w:t>大于</w:t>
            </w:r>
            <w:r>
              <w:rPr>
                <w:rFonts w:ascii="宋体" w:hAnsi="宋体" w:eastAsia="宋体"/>
                <w:sz w:val="16"/>
              </w:rPr>
              <w:t>预期目标值。</w:t>
            </w:r>
          </w:p>
        </w:tc>
      </w:tr>
      <w:tr w14:paraId="50BBB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4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F8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99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4C26">
            <w:pPr>
              <w:jc w:val="center"/>
            </w:pPr>
            <w:r>
              <w:rPr>
                <w:rFonts w:ascii="宋体" w:hAnsi="宋体" w:eastAsia="宋体"/>
                <w:sz w:val="16"/>
              </w:rPr>
              <w:t>研修活动合格率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1EA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B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85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50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42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2C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F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A8B2">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16CA">
            <w:pPr>
              <w:jc w:val="center"/>
            </w:pPr>
            <w:r>
              <w:rPr>
                <w:rFonts w:ascii="宋体" w:hAnsi="宋体" w:eastAsia="宋体"/>
                <w:sz w:val="16"/>
              </w:rPr>
              <w:t>原因分析：通过设置形式多样研修课程，并加强对参与研修人员的管理，参训人员均取得结业证书，</w:t>
            </w:r>
            <w:r>
              <w:rPr>
                <w:rFonts w:hint="eastAsia" w:ascii="宋体" w:hAnsi="宋体"/>
                <w:sz w:val="16"/>
                <w:lang w:eastAsia="zh-CN"/>
              </w:rPr>
              <w:t>提高</w:t>
            </w:r>
            <w:r>
              <w:rPr>
                <w:rFonts w:ascii="宋体" w:hAnsi="宋体" w:eastAsia="宋体"/>
                <w:sz w:val="16"/>
              </w:rPr>
              <w:t>研修活动合格率。</w:t>
            </w:r>
          </w:p>
        </w:tc>
      </w:tr>
      <w:tr w14:paraId="02B83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AC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889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833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003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63D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9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18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D0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D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22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6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9387">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8DA8">
            <w:pPr>
              <w:jc w:val="center"/>
            </w:pPr>
            <w:r>
              <w:rPr>
                <w:rFonts w:ascii="宋体" w:hAnsi="宋体" w:eastAsia="宋体"/>
                <w:sz w:val="16"/>
              </w:rPr>
              <w:t>原因分析：严格按照培训协议(合同)付款方式支付项目资金，确保了资金支付及时。</w:t>
            </w:r>
          </w:p>
        </w:tc>
      </w:tr>
      <w:tr w14:paraId="6B5EB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BD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A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EE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E2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083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4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99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4F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9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EB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F056">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99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A83BB">
            <w:pPr>
              <w:jc w:val="center"/>
            </w:pPr>
          </w:p>
        </w:tc>
      </w:tr>
      <w:tr w14:paraId="0AAD2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53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C3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25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8CF3">
            <w:pPr>
              <w:jc w:val="center"/>
            </w:pPr>
            <w:r>
              <w:rPr>
                <w:rFonts w:ascii="宋体" w:hAnsi="宋体" w:eastAsia="宋体"/>
                <w:sz w:val="16"/>
              </w:rPr>
              <w:t>平均每人研学活动成本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9C5F">
            <w:pPr>
              <w:jc w:val="center"/>
            </w:pPr>
            <w:r>
              <w:rPr>
                <w:rFonts w:ascii="宋体" w:hAnsi="宋体" w:eastAsia="宋体"/>
                <w:sz w:val="16"/>
              </w:rPr>
              <w:t>&lt;=6562.50元/人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7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1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55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25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AA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2411">
            <w:pPr>
              <w:jc w:val="center"/>
            </w:pPr>
            <w:r>
              <w:rPr>
                <w:rFonts w:ascii="宋体" w:hAnsi="宋体" w:eastAsia="宋体"/>
                <w:sz w:val="16"/>
              </w:rPr>
              <w:t>=5124.3元/人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E493">
            <w:pPr>
              <w:jc w:val="center"/>
            </w:pPr>
            <w:r>
              <w:rPr>
                <w:rFonts w:ascii="宋体" w:hAnsi="宋体" w:eastAsia="宋体"/>
                <w:sz w:val="16"/>
              </w:rPr>
              <w:t>19.77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4844C">
            <w:pPr>
              <w:jc w:val="center"/>
            </w:pPr>
            <w:r>
              <w:rPr>
                <w:rFonts w:ascii="宋体" w:hAnsi="宋体" w:eastAsia="宋体"/>
                <w:sz w:val="16"/>
              </w:rPr>
              <w:t>原因分析：与培训机构积极洽谈，节约了研学活动成本。改进措施：对指标的设置进行科学化，标准化，提前做好预算及计划，根据计划开展培训活动。</w:t>
            </w:r>
          </w:p>
        </w:tc>
      </w:tr>
      <w:tr w14:paraId="4A564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8B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99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2E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B4F7">
            <w:pPr>
              <w:jc w:val="center"/>
            </w:pPr>
            <w:r>
              <w:rPr>
                <w:rFonts w:ascii="宋体" w:hAnsi="宋体" w:eastAsia="宋体"/>
                <w:sz w:val="16"/>
              </w:rPr>
              <w:t>提升喀什本地民营企业家综合素质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24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C8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A4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0D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7C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9D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7C2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28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E941">
            <w:pPr>
              <w:jc w:val="center"/>
            </w:pPr>
          </w:p>
        </w:tc>
      </w:tr>
      <w:tr w14:paraId="275CE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CF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91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79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85C0">
            <w:pPr>
              <w:jc w:val="center"/>
            </w:pPr>
            <w:r>
              <w:rPr>
                <w:rFonts w:ascii="宋体" w:hAnsi="宋体" w:eastAsia="宋体"/>
                <w:sz w:val="16"/>
              </w:rPr>
              <w:t>研修活动参与人数满意度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450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1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16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3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FA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7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D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C6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77379">
            <w:pPr>
              <w:jc w:val="center"/>
            </w:pPr>
            <w:r>
              <w:rPr>
                <w:rFonts w:ascii="宋体" w:hAnsi="宋体" w:eastAsia="宋体"/>
                <w:sz w:val="16"/>
              </w:rPr>
              <w:t>偏差原因：满意度指标目标值设置偏低，实际完成值偏高；改进措施：结合实际情况合理设置目标值。</w:t>
            </w:r>
          </w:p>
        </w:tc>
      </w:tr>
      <w:tr w14:paraId="33EED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D6F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88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A0B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380738">
            <w:pPr>
              <w:jc w:val="center"/>
            </w:pPr>
            <w:r>
              <w:rPr>
                <w:rFonts w:ascii="宋体" w:hAnsi="宋体" w:eastAsia="宋体"/>
                <w:sz w:val="16"/>
              </w:rPr>
              <w:t>92.45分</w:t>
            </w:r>
          </w:p>
        </w:tc>
      </w:tr>
    </w:tbl>
    <w:p w14:paraId="6A4FBA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2BE433">
        <w:tblPrEx>
          <w:tblCellMar>
            <w:top w:w="0" w:type="dxa"/>
            <w:left w:w="108" w:type="dxa"/>
            <w:bottom w:w="0" w:type="dxa"/>
            <w:right w:w="108" w:type="dxa"/>
          </w:tblCellMar>
        </w:tblPrEx>
        <w:tc>
          <w:tcPr>
            <w:tcW w:w="8848" w:type="dxa"/>
            <w:gridSpan w:val="14"/>
            <w:vAlign w:val="center"/>
          </w:tcPr>
          <w:p w14:paraId="67CC9853">
            <w:pPr>
              <w:jc w:val="center"/>
            </w:pPr>
            <w:r>
              <w:rPr>
                <w:rFonts w:ascii="宋体" w:hAnsi="宋体" w:eastAsia="宋体"/>
                <w:sz w:val="24"/>
              </w:rPr>
              <w:t>项目支出绩效自评表</w:t>
            </w:r>
          </w:p>
        </w:tc>
      </w:tr>
      <w:tr w14:paraId="1624AE0F">
        <w:tblPrEx>
          <w:tblCellMar>
            <w:top w:w="0" w:type="dxa"/>
            <w:left w:w="108" w:type="dxa"/>
            <w:bottom w:w="0" w:type="dxa"/>
            <w:right w:w="108" w:type="dxa"/>
          </w:tblCellMar>
        </w:tblPrEx>
        <w:tc>
          <w:tcPr>
            <w:tcW w:w="8848" w:type="dxa"/>
            <w:gridSpan w:val="14"/>
            <w:vAlign w:val="center"/>
          </w:tcPr>
          <w:p w14:paraId="79528EC1">
            <w:pPr>
              <w:jc w:val="center"/>
            </w:pPr>
            <w:r>
              <w:rPr>
                <w:rFonts w:ascii="宋体" w:hAnsi="宋体" w:eastAsia="宋体"/>
                <w:sz w:val="24"/>
              </w:rPr>
              <w:t>(2024年度)</w:t>
            </w:r>
          </w:p>
        </w:tc>
      </w:tr>
      <w:tr w14:paraId="4C31D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E0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50062">
            <w:pPr>
              <w:jc w:val="center"/>
            </w:pPr>
            <w:r>
              <w:rPr>
                <w:rFonts w:ascii="宋体" w:hAnsi="宋体" w:eastAsia="宋体"/>
                <w:sz w:val="16"/>
              </w:rPr>
              <w:t>关爱志愿者项目</w:t>
            </w:r>
          </w:p>
        </w:tc>
      </w:tr>
      <w:tr w14:paraId="151B0F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18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AA34D">
            <w:pPr>
              <w:jc w:val="center"/>
            </w:pPr>
            <w:r>
              <w:rPr>
                <w:rFonts w:ascii="宋体" w:hAnsi="宋体" w:eastAsia="宋体"/>
                <w:sz w:val="16"/>
              </w:rPr>
              <w:t>新疆维吾尔自治区工商业联合会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53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A76775">
            <w:pPr>
              <w:jc w:val="center"/>
            </w:pPr>
            <w:r>
              <w:rPr>
                <w:rFonts w:ascii="宋体" w:hAnsi="宋体" w:eastAsia="宋体"/>
                <w:sz w:val="16"/>
              </w:rPr>
              <w:t>新疆维吾尔自治区喀什地区工商业联合会</w:t>
            </w:r>
          </w:p>
        </w:tc>
      </w:tr>
      <w:tr w14:paraId="369687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87EB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85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231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EF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91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53A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D98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8EE5">
            <w:pPr>
              <w:jc w:val="center"/>
            </w:pPr>
            <w:r>
              <w:rPr>
                <w:rFonts w:ascii="宋体" w:hAnsi="宋体" w:eastAsia="宋体"/>
                <w:sz w:val="16"/>
              </w:rPr>
              <w:t>得分</w:t>
            </w:r>
          </w:p>
        </w:tc>
      </w:tr>
      <w:tr w14:paraId="65B10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F3F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B93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5EBF">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97B91">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D6E36">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9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410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157C">
            <w:pPr>
              <w:jc w:val="center"/>
            </w:pPr>
            <w:r>
              <w:rPr>
                <w:rFonts w:ascii="宋体" w:hAnsi="宋体" w:eastAsia="宋体"/>
                <w:sz w:val="16"/>
              </w:rPr>
              <w:t>10.00分</w:t>
            </w:r>
          </w:p>
        </w:tc>
      </w:tr>
      <w:tr w14:paraId="37D55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4B4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76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5D98A">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0FD3">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E540D">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91C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D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C9B2">
            <w:pPr>
              <w:jc w:val="center"/>
            </w:pPr>
            <w:r>
              <w:rPr>
                <w:rFonts w:ascii="宋体" w:hAnsi="宋体" w:eastAsia="宋体"/>
                <w:sz w:val="16"/>
              </w:rPr>
              <w:t>—</w:t>
            </w:r>
          </w:p>
        </w:tc>
      </w:tr>
      <w:tr w14:paraId="69E61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D8D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1DA0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A2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F1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6D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1BF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F9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E172">
            <w:pPr>
              <w:jc w:val="center"/>
            </w:pPr>
            <w:r>
              <w:rPr>
                <w:rFonts w:ascii="宋体" w:hAnsi="宋体" w:eastAsia="宋体"/>
                <w:sz w:val="16"/>
              </w:rPr>
              <w:t>—</w:t>
            </w:r>
          </w:p>
        </w:tc>
      </w:tr>
      <w:tr w14:paraId="061B6B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EDC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A7F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96E52A">
            <w:pPr>
              <w:jc w:val="center"/>
            </w:pPr>
            <w:r>
              <w:rPr>
                <w:rFonts w:ascii="宋体" w:hAnsi="宋体" w:eastAsia="宋体"/>
                <w:sz w:val="16"/>
              </w:rPr>
              <w:t>实际完成情况</w:t>
            </w:r>
          </w:p>
        </w:tc>
      </w:tr>
      <w:tr w14:paraId="15217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E27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B4E79">
            <w:pPr>
              <w:jc w:val="both"/>
            </w:pPr>
            <w:r>
              <w:rPr>
                <w:rFonts w:ascii="宋体" w:hAnsi="宋体" w:eastAsia="宋体"/>
                <w:sz w:val="16"/>
              </w:rPr>
              <w:t>保障喀什地区工商联大学生西部计划志愿者每月个人补助，同时关心关爱志愿者，做好西部计划志愿者各项保障工作。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ABB60">
            <w:pPr>
              <w:jc w:val="both"/>
            </w:pPr>
            <w:r>
              <w:rPr>
                <w:rFonts w:ascii="宋体" w:hAnsi="宋体" w:eastAsia="宋体"/>
                <w:sz w:val="16"/>
              </w:rPr>
              <w:t>项目资金1.8</w:t>
            </w:r>
            <w:r>
              <w:rPr>
                <w:rFonts w:hint="eastAsia" w:ascii="宋体" w:hAnsi="宋体"/>
                <w:sz w:val="16"/>
                <w:lang w:eastAsia="zh-CN"/>
              </w:rPr>
              <w:t>万元</w:t>
            </w:r>
            <w:r>
              <w:rPr>
                <w:rFonts w:ascii="宋体" w:hAnsi="宋体" w:eastAsia="宋体"/>
                <w:sz w:val="16"/>
              </w:rPr>
              <w:t>，用于发放喀什地区工商联1名大学生西部计划志愿者个人补助，截至目前，已按月足额发放1名1-12月志愿者生活补助1.8万元。项目的实施保障西部计划志愿者日常生活，关心关爱了西部计划志愿者。</w:t>
            </w:r>
          </w:p>
        </w:tc>
      </w:tr>
      <w:tr w14:paraId="07B197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EB6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91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A1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45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5E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29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44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8A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B9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62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79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45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1B21C">
            <w:pPr>
              <w:jc w:val="center"/>
            </w:pPr>
            <w:r>
              <w:rPr>
                <w:rFonts w:ascii="宋体" w:hAnsi="宋体" w:eastAsia="宋体"/>
                <w:sz w:val="16"/>
              </w:rPr>
              <w:t>偏差原因分析及改进措施</w:t>
            </w:r>
          </w:p>
        </w:tc>
      </w:tr>
      <w:tr w14:paraId="165B9F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113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F42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CEA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8927">
            <w:pPr>
              <w:jc w:val="center"/>
            </w:pPr>
            <w:r>
              <w:rPr>
                <w:rFonts w:ascii="宋体" w:hAnsi="宋体" w:eastAsia="宋体"/>
                <w:sz w:val="16"/>
              </w:rPr>
              <w:t>生活保障标准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EBC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D8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AA9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D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EA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4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931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C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2ADD4">
            <w:pPr>
              <w:jc w:val="center"/>
            </w:pPr>
          </w:p>
        </w:tc>
      </w:tr>
      <w:tr w14:paraId="38AE6A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44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2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C3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83C7">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44AD">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904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566B">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4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D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A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8CE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F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BD87D">
            <w:pPr>
              <w:jc w:val="center"/>
            </w:pPr>
          </w:p>
        </w:tc>
      </w:tr>
      <w:tr w14:paraId="7E14C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76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B8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A6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7603">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2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36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0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77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96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7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6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36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35F25">
            <w:pPr>
              <w:jc w:val="center"/>
            </w:pPr>
          </w:p>
        </w:tc>
      </w:tr>
      <w:tr w14:paraId="1B046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F4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043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8BD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CB98">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4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521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B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FF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11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0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1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43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3BA0">
            <w:pPr>
              <w:jc w:val="center"/>
            </w:pPr>
          </w:p>
        </w:tc>
      </w:tr>
      <w:tr w14:paraId="14E25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03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2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4D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91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C83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93F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AB99">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D2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1D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EB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CBDA">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751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3F76">
            <w:pPr>
              <w:jc w:val="center"/>
            </w:pPr>
          </w:p>
        </w:tc>
      </w:tr>
      <w:tr w14:paraId="41734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D5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2A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A6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36F4">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B378">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25C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9DD8">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F4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F1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50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078F">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D6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0541">
            <w:pPr>
              <w:jc w:val="center"/>
            </w:pPr>
          </w:p>
        </w:tc>
      </w:tr>
      <w:tr w14:paraId="5C01C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B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D2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B4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B246">
            <w:pPr>
              <w:jc w:val="center"/>
            </w:pPr>
            <w:r>
              <w:rPr>
                <w:rFonts w:ascii="宋体" w:hAnsi="宋体" w:eastAsia="宋体"/>
                <w:sz w:val="16"/>
              </w:rPr>
              <w:t>生活补助人群生活改善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87C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E4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60D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C1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33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95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DE3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53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69499">
            <w:pPr>
              <w:jc w:val="center"/>
            </w:pPr>
          </w:p>
        </w:tc>
      </w:tr>
      <w:tr w14:paraId="5E91C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03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E3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0B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030B">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4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17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A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1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27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4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6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6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99570">
            <w:pPr>
              <w:jc w:val="center"/>
            </w:pPr>
          </w:p>
        </w:tc>
      </w:tr>
      <w:tr w14:paraId="4EA39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283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B6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610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E610B7">
            <w:pPr>
              <w:jc w:val="center"/>
            </w:pPr>
            <w:r>
              <w:rPr>
                <w:rFonts w:ascii="宋体" w:hAnsi="宋体" w:eastAsia="宋体"/>
                <w:sz w:val="16"/>
              </w:rPr>
              <w:t>100分</w:t>
            </w:r>
          </w:p>
        </w:tc>
      </w:tr>
    </w:tbl>
    <w:p w14:paraId="3EBD408E">
      <w:r>
        <w:br w:type="page"/>
      </w:r>
    </w:p>
    <w:p w14:paraId="5C73EA51">
      <w:pPr>
        <w:spacing w:line="640" w:lineRule="exact"/>
        <w:ind w:firstLine="640"/>
        <w:jc w:val="both"/>
        <w:outlineLvl w:val="2"/>
      </w:pPr>
      <w:r>
        <w:rPr>
          <w:rFonts w:ascii="黑体" w:hAnsi="黑体" w:eastAsia="黑体"/>
          <w:sz w:val="32"/>
        </w:rPr>
        <w:t>十二、其他需说明的事项</w:t>
      </w:r>
    </w:p>
    <w:p w14:paraId="351D9022">
      <w:pPr>
        <w:spacing w:line="580" w:lineRule="exact"/>
        <w:ind w:firstLine="640"/>
        <w:jc w:val="both"/>
      </w:pPr>
      <w:r>
        <w:rPr>
          <w:rFonts w:ascii="仿宋_GB2312" w:hAnsi="仿宋_GB2312" w:eastAsia="仿宋_GB2312"/>
          <w:b w:val="0"/>
          <w:sz w:val="32"/>
        </w:rPr>
        <w:t>本单位无其他需说明的事项。</w:t>
      </w:r>
    </w:p>
    <w:p w14:paraId="1C4976B4">
      <w:r>
        <w:br w:type="page"/>
      </w:r>
    </w:p>
    <w:p w14:paraId="11D2904D">
      <w:pPr>
        <w:spacing w:line="240" w:lineRule="auto"/>
        <w:jc w:val="center"/>
        <w:outlineLvl w:val="1"/>
      </w:pPr>
      <w:r>
        <w:rPr>
          <w:rFonts w:ascii="黑体" w:hAnsi="黑体" w:eastAsia="黑体"/>
          <w:sz w:val="32"/>
        </w:rPr>
        <w:t>第三部分 专业名词解释</w:t>
      </w:r>
    </w:p>
    <w:p w14:paraId="0DD127A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DEAB4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4597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8CAE9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9A2D9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692AA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214E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F4E54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CEC7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9C4C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93A29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0818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2F254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3F13A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10A191">
      <w:r>
        <w:br w:type="page"/>
      </w:r>
    </w:p>
    <w:p w14:paraId="32C0A986">
      <w:pPr>
        <w:spacing w:line="240" w:lineRule="auto"/>
        <w:jc w:val="center"/>
        <w:outlineLvl w:val="1"/>
      </w:pPr>
      <w:r>
        <w:rPr>
          <w:rFonts w:ascii="黑体" w:hAnsi="黑体" w:eastAsia="黑体"/>
          <w:sz w:val="32"/>
        </w:rPr>
        <w:t>第四部分 部门决算报表（见附表）</w:t>
      </w:r>
    </w:p>
    <w:p w14:paraId="5B41BFDA">
      <w:pPr>
        <w:spacing w:line="240" w:lineRule="auto"/>
        <w:ind w:firstLine="640"/>
        <w:jc w:val="both"/>
      </w:pPr>
      <w:r>
        <w:rPr>
          <w:rFonts w:ascii="仿宋_GB2312" w:hAnsi="仿宋_GB2312" w:eastAsia="仿宋_GB2312"/>
          <w:b w:val="0"/>
          <w:sz w:val="32"/>
        </w:rPr>
        <w:t>一、《收入支出决算总表》</w:t>
      </w:r>
    </w:p>
    <w:p w14:paraId="265F97F1">
      <w:pPr>
        <w:spacing w:line="240" w:lineRule="auto"/>
        <w:ind w:firstLine="640"/>
        <w:jc w:val="both"/>
      </w:pPr>
      <w:r>
        <w:rPr>
          <w:rFonts w:ascii="仿宋_GB2312" w:hAnsi="仿宋_GB2312" w:eastAsia="仿宋_GB2312"/>
          <w:b w:val="0"/>
          <w:sz w:val="32"/>
        </w:rPr>
        <w:t>二、《收入决算表》</w:t>
      </w:r>
    </w:p>
    <w:p w14:paraId="5C6B7DBE">
      <w:pPr>
        <w:spacing w:line="240" w:lineRule="auto"/>
        <w:ind w:firstLine="640"/>
        <w:jc w:val="both"/>
      </w:pPr>
      <w:r>
        <w:rPr>
          <w:rFonts w:ascii="仿宋_GB2312" w:hAnsi="仿宋_GB2312" w:eastAsia="仿宋_GB2312"/>
          <w:b w:val="0"/>
          <w:sz w:val="32"/>
        </w:rPr>
        <w:t>三、《支出决算表》</w:t>
      </w:r>
    </w:p>
    <w:p w14:paraId="1D6B509E">
      <w:pPr>
        <w:spacing w:line="240" w:lineRule="auto"/>
        <w:ind w:firstLine="640"/>
        <w:jc w:val="both"/>
      </w:pPr>
      <w:r>
        <w:rPr>
          <w:rFonts w:ascii="仿宋_GB2312" w:hAnsi="仿宋_GB2312" w:eastAsia="仿宋_GB2312"/>
          <w:b w:val="0"/>
          <w:sz w:val="32"/>
        </w:rPr>
        <w:t>四、《财政拨款收入支出决算总表》</w:t>
      </w:r>
    </w:p>
    <w:p w14:paraId="3456B70C">
      <w:pPr>
        <w:spacing w:line="240" w:lineRule="auto"/>
        <w:ind w:firstLine="640"/>
        <w:jc w:val="both"/>
      </w:pPr>
      <w:r>
        <w:rPr>
          <w:rFonts w:ascii="仿宋_GB2312" w:hAnsi="仿宋_GB2312" w:eastAsia="仿宋_GB2312"/>
          <w:b w:val="0"/>
          <w:sz w:val="32"/>
        </w:rPr>
        <w:t>五、《一般公共预算财政拨款支出决算表》</w:t>
      </w:r>
    </w:p>
    <w:p w14:paraId="1DD40035">
      <w:pPr>
        <w:spacing w:line="240" w:lineRule="auto"/>
        <w:ind w:firstLine="640"/>
        <w:jc w:val="both"/>
      </w:pPr>
      <w:r>
        <w:rPr>
          <w:rFonts w:ascii="仿宋_GB2312" w:hAnsi="仿宋_GB2312" w:eastAsia="仿宋_GB2312"/>
          <w:b w:val="0"/>
          <w:sz w:val="32"/>
        </w:rPr>
        <w:t>六、《一般公共预算财政拨款基本支出决算表》</w:t>
      </w:r>
    </w:p>
    <w:p w14:paraId="03B80353">
      <w:pPr>
        <w:spacing w:line="240" w:lineRule="auto"/>
        <w:ind w:firstLine="640"/>
        <w:jc w:val="both"/>
      </w:pPr>
      <w:r>
        <w:rPr>
          <w:rFonts w:ascii="仿宋_GB2312" w:hAnsi="仿宋_GB2312" w:eastAsia="仿宋_GB2312"/>
          <w:b w:val="0"/>
          <w:sz w:val="32"/>
        </w:rPr>
        <w:t>七、《政府性基金预算财政拨款收入支出决算表》</w:t>
      </w:r>
    </w:p>
    <w:p w14:paraId="66B4E099">
      <w:pPr>
        <w:spacing w:line="240" w:lineRule="auto"/>
        <w:ind w:firstLine="640"/>
        <w:jc w:val="both"/>
      </w:pPr>
      <w:r>
        <w:rPr>
          <w:rFonts w:ascii="仿宋_GB2312" w:hAnsi="仿宋_GB2312" w:eastAsia="仿宋_GB2312"/>
          <w:b w:val="0"/>
          <w:sz w:val="32"/>
        </w:rPr>
        <w:t>八、《国有资本经营预算财政拨款收入支出决算表》</w:t>
      </w:r>
    </w:p>
    <w:p w14:paraId="2BBDC44F">
      <w:pPr>
        <w:spacing w:line="240" w:lineRule="auto"/>
        <w:ind w:firstLine="640"/>
        <w:jc w:val="both"/>
      </w:pPr>
      <w:r>
        <w:rPr>
          <w:rFonts w:ascii="仿宋_GB2312" w:hAnsi="仿宋_GB2312" w:eastAsia="仿宋_GB2312"/>
          <w:b w:val="0"/>
          <w:sz w:val="32"/>
        </w:rPr>
        <w:t>九、《财政拨款“三公”经费支出决算表》</w:t>
      </w:r>
    </w:p>
    <w:p w14:paraId="67EA5E37">
      <w:pPr>
        <w:spacing w:line="240" w:lineRule="auto"/>
        <w:ind w:firstLine="640"/>
        <w:jc w:val="both"/>
      </w:pPr>
    </w:p>
    <w:p w14:paraId="35D82798">
      <w:pPr>
        <w:spacing w:line="240" w:lineRule="auto"/>
        <w:ind w:firstLine="640"/>
        <w:jc w:val="both"/>
      </w:pPr>
    </w:p>
    <w:p w14:paraId="1898F078">
      <w:pPr>
        <w:spacing w:line="240" w:lineRule="auto"/>
        <w:ind w:firstLine="640"/>
        <w:jc w:val="both"/>
      </w:pPr>
    </w:p>
    <w:p w14:paraId="09917D2B">
      <w:pPr>
        <w:spacing w:line="240" w:lineRule="auto"/>
        <w:ind w:firstLine="640"/>
        <w:jc w:val="both"/>
      </w:pPr>
    </w:p>
    <w:p w14:paraId="610C83B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741A56"/>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825AEE"/>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5092</Words>
  <Characters>5777</Characters>
  <Lines>0</Lines>
  <Paragraphs>0</Paragraphs>
  <TotalTime>8</TotalTime>
  <ScaleCrop>false</ScaleCrop>
  <LinksUpToDate>false</LinksUpToDate>
  <CharactersWithSpaces>5785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2025-09-04T02:38:26Z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