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新疆维吾尔自治区喀什地区归国华侨联合会2024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5154B1">
      <w:r>
        <w:br w:type="page"/>
      </w:r>
    </w:p>
    <w:p w14:paraId="760D3E9E">
      <w:pPr>
        <w:spacing w:line="640" w:lineRule="exact"/>
        <w:jc w:val="center"/>
        <w:outlineLvl w:val="1"/>
      </w:pPr>
      <w:r>
        <w:rPr>
          <w:rFonts w:ascii="黑体" w:hAnsi="黑体" w:eastAsia="黑体"/>
          <w:sz w:val="32"/>
        </w:rPr>
        <w:t>第一部分 单位概况</w:t>
      </w:r>
    </w:p>
    <w:p w14:paraId="59903BD2">
      <w:pPr>
        <w:spacing w:line="640" w:lineRule="exact"/>
        <w:ind w:firstLine="640"/>
        <w:jc w:val="both"/>
        <w:outlineLvl w:val="2"/>
      </w:pPr>
      <w:r>
        <w:rPr>
          <w:rFonts w:ascii="黑体" w:hAnsi="黑体" w:eastAsia="黑体"/>
          <w:sz w:val="32"/>
        </w:rPr>
        <w:t>一、主要职能</w:t>
      </w:r>
    </w:p>
    <w:p w14:paraId="73659127">
      <w:pPr>
        <w:spacing w:line="580" w:lineRule="exact"/>
        <w:ind w:firstLine="640"/>
        <w:jc w:val="both"/>
      </w:pPr>
      <w:r>
        <w:rPr>
          <w:rFonts w:ascii="仿宋_GB2312" w:hAnsi="仿宋_GB2312" w:eastAsia="仿宋_GB2312"/>
          <w:sz w:val="32"/>
        </w:rPr>
        <w:t>维护归侨、侨眷的合法权益。密切联系归侨、侨眷和海外侨胞，了解侨情民意，畅通联系沟通。促进海外侨胞与地区经济合作，推动民间交流与合作，宣传党和政府的侨务工作方针、政策，有计划重点地宣传归侨、侨眷中的先进典型事迹，指导各县市侨联的工作，组织、实施好地区归侨侨眷代表大会及其委员会的决议和决定，拟定地区侨联工作年度计划和发展计划。</w:t>
      </w:r>
    </w:p>
    <w:p w14:paraId="6F158E76">
      <w:pPr>
        <w:spacing w:line="640" w:lineRule="exact"/>
        <w:ind w:firstLine="640"/>
        <w:jc w:val="both"/>
        <w:outlineLvl w:val="2"/>
      </w:pPr>
      <w:r>
        <w:rPr>
          <w:rFonts w:ascii="黑体" w:hAnsi="黑体" w:eastAsia="黑体"/>
          <w:sz w:val="32"/>
        </w:rPr>
        <w:t>二、机构设置及人员情况</w:t>
      </w:r>
    </w:p>
    <w:p w14:paraId="096B6831">
      <w:pPr>
        <w:spacing w:line="580" w:lineRule="exact"/>
        <w:ind w:firstLine="640"/>
        <w:jc w:val="both"/>
      </w:pPr>
      <w:r>
        <w:rPr>
          <w:rFonts w:ascii="仿宋_GB2312" w:hAnsi="仿宋_GB2312" w:eastAsia="仿宋_GB2312"/>
          <w:sz w:val="32"/>
        </w:rPr>
        <w:t>新疆维吾尔自治区喀什地区归国华侨联合会2024年度，实有人数7人，其中：在职人员4人，减少1人；离休人员0人，增加0人；退休人员3人,增加1人。</w:t>
      </w:r>
    </w:p>
    <w:p w14:paraId="43CF1914">
      <w:pPr>
        <w:spacing w:line="580" w:lineRule="exact"/>
        <w:ind w:firstLine="640"/>
        <w:jc w:val="both"/>
      </w:pPr>
      <w:r>
        <w:rPr>
          <w:rFonts w:ascii="仿宋_GB2312" w:hAnsi="仿宋_GB2312" w:eastAsia="仿宋_GB2312"/>
          <w:sz w:val="32"/>
        </w:rPr>
        <w:t>新疆维吾尔自治区喀什地区归国华侨联合会无下属预算单位，下设1个科室，分别是：办公室。</w:t>
      </w:r>
    </w:p>
    <w:p w14:paraId="3B6AC31A">
      <w:r>
        <w:br w:type="page"/>
      </w:r>
    </w:p>
    <w:p w14:paraId="342A9A02">
      <w:pPr>
        <w:spacing w:line="240" w:lineRule="auto"/>
        <w:jc w:val="center"/>
        <w:outlineLvl w:val="1"/>
      </w:pPr>
      <w:r>
        <w:rPr>
          <w:rFonts w:ascii="黑体" w:hAnsi="黑体" w:eastAsia="黑体"/>
          <w:sz w:val="32"/>
        </w:rPr>
        <w:t>第二部分 部门决算情况说明</w:t>
      </w:r>
    </w:p>
    <w:p w14:paraId="05082157">
      <w:pPr>
        <w:spacing w:line="640" w:lineRule="exact"/>
        <w:ind w:firstLine="640"/>
        <w:jc w:val="both"/>
        <w:outlineLvl w:val="2"/>
      </w:pPr>
      <w:r>
        <w:rPr>
          <w:rFonts w:ascii="黑体" w:hAnsi="黑体" w:eastAsia="黑体"/>
          <w:sz w:val="32"/>
        </w:rPr>
        <w:t>一、收入支出决算总体情况说明</w:t>
      </w:r>
    </w:p>
    <w:p w14:paraId="12E91DA6">
      <w:pPr>
        <w:spacing w:line="580" w:lineRule="exact"/>
        <w:ind w:firstLine="640"/>
        <w:jc w:val="both"/>
      </w:pPr>
      <w:r>
        <w:rPr>
          <w:rFonts w:ascii="仿宋_GB2312" w:hAnsi="仿宋_GB2312" w:eastAsia="仿宋_GB2312"/>
          <w:b/>
          <w:sz w:val="32"/>
        </w:rPr>
        <w:t>2024年度收入总计123.32万元，</w:t>
      </w:r>
      <w:r>
        <w:rPr>
          <w:rFonts w:ascii="仿宋_GB2312" w:hAnsi="仿宋_GB2312" w:eastAsia="仿宋_GB2312"/>
          <w:b w:val="0"/>
          <w:sz w:val="32"/>
        </w:rPr>
        <w:t>其中：本年收入合计123.32万元，使用非财政拨款结余（含专用结余）0.00万元，年初结转和结余0.00万元。</w:t>
      </w:r>
    </w:p>
    <w:p w14:paraId="4991C1F6">
      <w:pPr>
        <w:spacing w:line="580" w:lineRule="exact"/>
        <w:ind w:firstLine="640"/>
        <w:jc w:val="both"/>
      </w:pPr>
      <w:r>
        <w:rPr>
          <w:rFonts w:ascii="仿宋_GB2312" w:hAnsi="仿宋_GB2312" w:eastAsia="仿宋_GB2312"/>
          <w:b/>
          <w:sz w:val="32"/>
        </w:rPr>
        <w:t>2024年度支出总计123.32万元，</w:t>
      </w:r>
      <w:r>
        <w:rPr>
          <w:rFonts w:ascii="仿宋_GB2312" w:hAnsi="仿宋_GB2312" w:eastAsia="仿宋_GB2312"/>
          <w:b w:val="0"/>
          <w:sz w:val="32"/>
        </w:rPr>
        <w:t>其中：本年支出合计123.32万元，结余分配0.00万元，年末结转和结余0.00万元。</w:t>
      </w:r>
    </w:p>
    <w:p w14:paraId="5FE3176C">
      <w:pPr>
        <w:spacing w:line="580" w:lineRule="exact"/>
        <w:ind w:firstLine="640"/>
        <w:jc w:val="both"/>
      </w:pPr>
      <w:r>
        <w:rPr>
          <w:rFonts w:ascii="仿宋_GB2312" w:hAnsi="仿宋_GB2312" w:eastAsia="仿宋_GB2312"/>
          <w:b w:val="0"/>
          <w:sz w:val="32"/>
        </w:rPr>
        <w:t>收入支出总体与上年相比，减少27.46万元，下降18.21%，主要原因是：本年减少在职</w:t>
      </w:r>
      <w:r>
        <w:rPr>
          <w:rFonts w:hint="eastAsia" w:ascii="仿宋_GB2312" w:hAnsi="仿宋_GB2312" w:eastAsia="仿宋_GB2312"/>
          <w:b w:val="0"/>
          <w:sz w:val="32"/>
          <w:lang w:val="en-US" w:eastAsia="zh-CN"/>
        </w:rPr>
        <w:t>人员</w:t>
      </w:r>
      <w:r>
        <w:rPr>
          <w:rFonts w:ascii="仿宋_GB2312" w:hAnsi="仿宋_GB2312" w:eastAsia="仿宋_GB2312"/>
          <w:b w:val="0"/>
          <w:sz w:val="32"/>
        </w:rPr>
        <w:t>在职工资，相应减少社保、医保、住房公积金等费用。本年新增退休人员较上年减少，职业年金缴费较上年减少。</w:t>
      </w:r>
    </w:p>
    <w:p w14:paraId="4E39E9AB">
      <w:pPr>
        <w:spacing w:line="640" w:lineRule="exact"/>
        <w:ind w:firstLine="640"/>
        <w:jc w:val="both"/>
        <w:outlineLvl w:val="2"/>
      </w:pPr>
      <w:r>
        <w:rPr>
          <w:rFonts w:ascii="黑体" w:hAnsi="黑体" w:eastAsia="黑体"/>
          <w:sz w:val="32"/>
        </w:rPr>
        <w:t>二、收入决算情况说明</w:t>
      </w:r>
    </w:p>
    <w:p w14:paraId="5CBAAC59">
      <w:pPr>
        <w:spacing w:line="580" w:lineRule="exact"/>
        <w:ind w:firstLine="640"/>
        <w:jc w:val="both"/>
      </w:pPr>
      <w:r>
        <w:rPr>
          <w:rFonts w:ascii="仿宋_GB2312" w:hAnsi="仿宋_GB2312" w:eastAsia="仿宋_GB2312"/>
          <w:b/>
          <w:sz w:val="32"/>
        </w:rPr>
        <w:t>本年收入123.32万元，</w:t>
      </w:r>
      <w:r>
        <w:rPr>
          <w:rFonts w:ascii="仿宋_GB2312" w:hAnsi="仿宋_GB2312" w:eastAsia="仿宋_GB2312"/>
          <w:b w:val="0"/>
          <w:sz w:val="32"/>
        </w:rPr>
        <w:t>其中：财政拨款收入123.32万元，占100.00%；上级补助收入0.00万元，占0.00%；事业收入0.00万元，占0.00%；经营收入0.00万元，占0.00%；附属单位上缴收入0.00万元，占0.00%；其他收入0.00万元，占0.00%。</w:t>
      </w:r>
    </w:p>
    <w:p w14:paraId="2EFE9DCC">
      <w:pPr>
        <w:spacing w:line="640" w:lineRule="exact"/>
        <w:ind w:firstLine="640"/>
        <w:jc w:val="both"/>
        <w:outlineLvl w:val="2"/>
      </w:pPr>
      <w:r>
        <w:rPr>
          <w:rFonts w:ascii="黑体" w:hAnsi="黑体" w:eastAsia="黑体"/>
          <w:sz w:val="32"/>
        </w:rPr>
        <w:t>三、支出决算情况说明</w:t>
      </w:r>
    </w:p>
    <w:p w14:paraId="42346533">
      <w:pPr>
        <w:spacing w:line="580" w:lineRule="exact"/>
        <w:ind w:firstLine="640"/>
        <w:jc w:val="both"/>
      </w:pPr>
      <w:r>
        <w:rPr>
          <w:rFonts w:ascii="仿宋_GB2312" w:hAnsi="仿宋_GB2312" w:eastAsia="仿宋_GB2312"/>
          <w:b/>
          <w:sz w:val="32"/>
        </w:rPr>
        <w:t>本年支出123.32万元，</w:t>
      </w:r>
      <w:r>
        <w:rPr>
          <w:rFonts w:ascii="仿宋_GB2312" w:hAnsi="仿宋_GB2312" w:eastAsia="仿宋_GB2312"/>
          <w:b w:val="0"/>
          <w:sz w:val="32"/>
        </w:rPr>
        <w:t>其中：基本支出123.32万元，占100.00%；项目支出0.00万元，占0.00%；上缴上级支出0.00万元，占0.00%；经营支出0.00万元，占0.00%；对附属单位补助支出0.00万元，占0.00%。</w:t>
      </w:r>
    </w:p>
    <w:p w14:paraId="05F1C58A">
      <w:pPr>
        <w:spacing w:line="640" w:lineRule="exact"/>
        <w:ind w:firstLine="640"/>
        <w:jc w:val="both"/>
        <w:outlineLvl w:val="2"/>
      </w:pPr>
      <w:r>
        <w:rPr>
          <w:rFonts w:ascii="黑体" w:hAnsi="黑体" w:eastAsia="黑体"/>
          <w:sz w:val="32"/>
        </w:rPr>
        <w:t>四、财政拨款收入支出决算总体情况说明</w:t>
      </w:r>
    </w:p>
    <w:p w14:paraId="3819F4D8">
      <w:pPr>
        <w:spacing w:line="580" w:lineRule="exact"/>
        <w:ind w:firstLine="640"/>
        <w:jc w:val="both"/>
      </w:pPr>
      <w:r>
        <w:rPr>
          <w:rFonts w:ascii="仿宋_GB2312" w:hAnsi="仿宋_GB2312" w:eastAsia="仿宋_GB2312"/>
          <w:b/>
          <w:sz w:val="32"/>
        </w:rPr>
        <w:t>2024年度财政拨款收入总计123.32万元，</w:t>
      </w:r>
      <w:r>
        <w:rPr>
          <w:rFonts w:ascii="仿宋_GB2312" w:hAnsi="仿宋_GB2312" w:eastAsia="仿宋_GB2312"/>
          <w:b w:val="0"/>
          <w:sz w:val="32"/>
        </w:rPr>
        <w:t>其中：年初财政拨款结转和结余0.00万元，本年财政拨款收入123.32万元。</w:t>
      </w:r>
      <w:r>
        <w:rPr>
          <w:rFonts w:ascii="仿宋_GB2312" w:hAnsi="仿宋_GB2312" w:eastAsia="仿宋_GB2312"/>
          <w:b/>
          <w:sz w:val="32"/>
        </w:rPr>
        <w:t>财政拨款支出总计123.32万元，</w:t>
      </w:r>
      <w:r>
        <w:rPr>
          <w:rFonts w:ascii="仿宋_GB2312" w:hAnsi="仿宋_GB2312" w:eastAsia="仿宋_GB2312"/>
          <w:b w:val="0"/>
          <w:sz w:val="32"/>
        </w:rPr>
        <w:t>其中：年末财政拨款结转和结余0.00万元，本年财政拨款支出123.32万元。</w:t>
      </w:r>
    </w:p>
    <w:p w14:paraId="62C786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减少27.46万元，下降18.21%，主要原因是：本年减少在职</w:t>
      </w:r>
      <w:r>
        <w:rPr>
          <w:rFonts w:hint="eastAsia" w:ascii="仿宋_GB2312" w:hAnsi="仿宋_GB2312" w:eastAsia="仿宋_GB2312"/>
          <w:b w:val="0"/>
          <w:sz w:val="32"/>
          <w:lang w:val="en-US" w:eastAsia="zh-CN"/>
        </w:rPr>
        <w:t>人员</w:t>
      </w:r>
      <w:r>
        <w:rPr>
          <w:rFonts w:ascii="仿宋_GB2312" w:hAnsi="仿宋_GB2312" w:eastAsia="仿宋_GB2312"/>
          <w:b w:val="0"/>
          <w:sz w:val="32"/>
        </w:rPr>
        <w:t>在职工资，相应减少社保、医保、住房公积金等费用。本年新增退休人员较上年减少，职业年金缴费较上年减少。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年初预算数119.67万元，决算数123.32万元，预决算差异率3.05%，主要原因是：年中追加人员基础绩效奖和年度考核奖，导致预决算存在差异。</w:t>
      </w:r>
    </w:p>
    <w:p w14:paraId="1F11B0CF">
      <w:pPr>
        <w:spacing w:line="640" w:lineRule="exact"/>
        <w:ind w:firstLine="640"/>
        <w:jc w:val="both"/>
        <w:outlineLvl w:val="2"/>
      </w:pPr>
      <w:r>
        <w:rPr>
          <w:rFonts w:ascii="黑体" w:hAnsi="黑体" w:eastAsia="黑体"/>
          <w:sz w:val="32"/>
        </w:rPr>
        <w:t>五、一般公共预算财政拨款支出决算情况说明</w:t>
      </w:r>
    </w:p>
    <w:p w14:paraId="295A9288">
      <w:pPr>
        <w:spacing w:line="640" w:lineRule="exact"/>
        <w:ind w:firstLine="640"/>
        <w:jc w:val="both"/>
        <w:outlineLvl w:val="3"/>
      </w:pPr>
      <w:r>
        <w:rPr>
          <w:rFonts w:ascii="楷体_GB2312" w:hAnsi="楷体_GB2312" w:eastAsia="楷体_GB2312"/>
          <w:b/>
          <w:sz w:val="32"/>
        </w:rPr>
        <w:t>（一）一般公共预算财政拨款支出决算总体情况</w:t>
      </w:r>
    </w:p>
    <w:p w14:paraId="4A313B45">
      <w:pPr>
        <w:spacing w:line="580" w:lineRule="exact"/>
        <w:ind w:firstLine="640"/>
        <w:jc w:val="both"/>
      </w:pPr>
      <w:r>
        <w:rPr>
          <w:rFonts w:ascii="仿宋_GB2312" w:hAnsi="仿宋_GB2312" w:eastAsia="仿宋_GB2312"/>
          <w:b/>
          <w:sz w:val="32"/>
        </w:rPr>
        <w:t>2024年度一般公共预算财政拨款支出123.32万元，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减少27.46万元，下降18.21%，主要原因是：本年减少在职</w:t>
      </w:r>
      <w:r>
        <w:rPr>
          <w:rFonts w:hint="eastAsia" w:ascii="仿宋_GB2312" w:hAnsi="仿宋_GB2312" w:eastAsia="仿宋_GB2312"/>
          <w:b w:val="0"/>
          <w:sz w:val="32"/>
          <w:lang w:val="en-US" w:eastAsia="zh-CN"/>
        </w:rPr>
        <w:t>人员</w:t>
      </w:r>
      <w:r>
        <w:rPr>
          <w:rFonts w:ascii="仿宋_GB2312" w:hAnsi="仿宋_GB2312" w:eastAsia="仿宋_GB2312"/>
          <w:b w:val="0"/>
          <w:sz w:val="32"/>
        </w:rPr>
        <w:t>在职工资，相应减少社保、医保、住房公积金等费用。本年新增退休人员较上年减少，职业年金缴费较上年减少。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年初预算数119.67万元，决算数123.32万元，预决算差异率3.05%，主要原因是：年中追加人员基础绩效奖和年度考核奖，导致预决算存在差异。</w:t>
      </w:r>
    </w:p>
    <w:p w14:paraId="4821F83E">
      <w:pPr>
        <w:spacing w:line="640" w:lineRule="exact"/>
        <w:ind w:firstLine="640"/>
        <w:jc w:val="both"/>
        <w:outlineLvl w:val="3"/>
      </w:pPr>
      <w:r>
        <w:rPr>
          <w:rFonts w:ascii="楷体_GB2312" w:hAnsi="楷体_GB2312" w:eastAsia="楷体_GB2312"/>
          <w:b/>
          <w:sz w:val="32"/>
        </w:rPr>
        <w:t>（二）一般公共预算财政拨款支出决算结构情况</w:t>
      </w:r>
    </w:p>
    <w:p w14:paraId="0D00C1A7">
      <w:pPr>
        <w:spacing w:line="580" w:lineRule="exact"/>
        <w:ind w:firstLine="640"/>
        <w:jc w:val="both"/>
      </w:pPr>
      <w:r>
        <w:rPr>
          <w:rFonts w:ascii="仿宋_GB2312" w:hAnsi="仿宋_GB2312" w:eastAsia="仿宋_GB2312"/>
          <w:b w:val="0"/>
          <w:sz w:val="32"/>
        </w:rPr>
        <w:t>1.一般公共服务支出(类)84.22万元,占68.29%。</w:t>
      </w:r>
    </w:p>
    <w:p w14:paraId="38E1CF2F">
      <w:pPr>
        <w:spacing w:line="580" w:lineRule="exact"/>
        <w:ind w:firstLine="640"/>
        <w:jc w:val="both"/>
      </w:pPr>
      <w:r>
        <w:rPr>
          <w:rFonts w:ascii="仿宋_GB2312" w:hAnsi="仿宋_GB2312" w:eastAsia="仿宋_GB2312"/>
          <w:b w:val="0"/>
          <w:sz w:val="32"/>
        </w:rPr>
        <w:t>2.社会保障和就业支出(类)24.97万元,占20.25%。</w:t>
      </w:r>
    </w:p>
    <w:p w14:paraId="7B50F45E">
      <w:pPr>
        <w:spacing w:line="580" w:lineRule="exact"/>
        <w:ind w:firstLine="640"/>
        <w:jc w:val="both"/>
      </w:pPr>
      <w:r>
        <w:rPr>
          <w:rFonts w:ascii="仿宋_GB2312" w:hAnsi="仿宋_GB2312" w:eastAsia="仿宋_GB2312"/>
          <w:b w:val="0"/>
          <w:sz w:val="32"/>
        </w:rPr>
        <w:t>3.卫生健康支出(类)5.44万元,占4.41%。</w:t>
      </w:r>
    </w:p>
    <w:p w14:paraId="4456D1F0">
      <w:pPr>
        <w:spacing w:line="580" w:lineRule="exact"/>
        <w:ind w:firstLine="640"/>
        <w:jc w:val="both"/>
      </w:pPr>
      <w:r>
        <w:rPr>
          <w:rFonts w:ascii="仿宋_GB2312" w:hAnsi="仿宋_GB2312" w:eastAsia="仿宋_GB2312"/>
          <w:b w:val="0"/>
          <w:sz w:val="32"/>
        </w:rPr>
        <w:t>4.住房保障支出(类)8.69万元,占7.05%。</w:t>
      </w:r>
    </w:p>
    <w:p w14:paraId="78AFDDA1">
      <w:pPr>
        <w:spacing w:line="640" w:lineRule="exact"/>
        <w:ind w:firstLine="640"/>
        <w:jc w:val="both"/>
        <w:outlineLvl w:val="3"/>
      </w:pPr>
      <w:r>
        <w:rPr>
          <w:rFonts w:ascii="楷体_GB2312" w:hAnsi="楷体_GB2312" w:eastAsia="楷体_GB2312"/>
          <w:b/>
          <w:sz w:val="32"/>
        </w:rPr>
        <w:t>（三）一般公共预算财政拨款支出决算具体情况</w:t>
      </w:r>
    </w:p>
    <w:p w14:paraId="3DFE3B59">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1.一般公共服务支出(类)政府办公厅（室）及相关机构事务(款)行政运行(项):支出决算数为84.22万元，比上年决算减少13.34万元，下降13.67%,主要原因是：本年减少一人，减少相应</w:t>
      </w:r>
      <w:r>
        <w:rPr>
          <w:rFonts w:hint="eastAsia" w:ascii="仿宋_GB2312" w:hAnsi="仿宋_GB2312" w:eastAsia="仿宋_GB2312"/>
          <w:b w:val="0"/>
          <w:sz w:val="32"/>
          <w:lang w:val="en-US" w:eastAsia="zh-CN"/>
        </w:rPr>
        <w:t>的</w:t>
      </w:r>
      <w:r>
        <w:rPr>
          <w:rFonts w:ascii="仿宋_GB2312" w:hAnsi="仿宋_GB2312" w:eastAsia="仿宋_GB2312"/>
          <w:b w:val="0"/>
          <w:sz w:val="32"/>
        </w:rPr>
        <w:t>人员费用。</w:t>
      </w:r>
    </w:p>
    <w:p w14:paraId="4AEB7FFC">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2.一般公共服务支出(类)政府办公厅（室）及相关机构事务(款)一般行政管理事务(项):支出决算数为0.00万元，比上年决算减少0.55万元，下降100.00%,主要原因是：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年未安排侨联专项业务项目，无此项资金支出。</w:t>
      </w:r>
    </w:p>
    <w:p w14:paraId="46AD87C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3.83万元，比上年决算增加2.03万元，增长112.78%,主要原因是：地区侨联本年退休人员增加，退休费支出增加；本年增加退休人员基础绩效奖，退休费支出增加。</w:t>
      </w:r>
    </w:p>
    <w:p w14:paraId="66D3A02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4.社会保障和就业支出(类)行政事业单位养老支出(款)机关事业单位基本养老保险缴费支出(项):支出决算数为10.34万元，比上年决算减少2.84万元，下降21.55%,主要原因是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本年在职人员减少，单位基本养老保险缴费较上年减少。</w:t>
      </w:r>
    </w:p>
    <w:p w14:paraId="6061097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10.80万元，比上年决算减少7.95万元，下降42.40%,主要原因是：本年新增退休人员较上年减少，职业年金缴费较上年减少。</w:t>
      </w:r>
    </w:p>
    <w:p w14:paraId="7C3595A5">
      <w:pPr>
        <w:spacing w:line="580" w:lineRule="exact"/>
        <w:ind w:firstLine="640"/>
        <w:jc w:val="both"/>
      </w:pPr>
      <w:r>
        <w:rPr>
          <w:rFonts w:ascii="仿宋_GB2312" w:hAnsi="仿宋_GB2312" w:eastAsia="仿宋_GB2312"/>
          <w:b w:val="0"/>
          <w:sz w:val="32"/>
        </w:rPr>
        <w:t>6.卫生健康支出(类)行政事业单位医疗(款)行政单位医疗(项):支出决算数为4.39万元，比上年决算减少2.15万元，下降32.87%,主要原因是：本年在职人员减少，行政单位医疗支出较上年减少。</w:t>
      </w:r>
    </w:p>
    <w:p w14:paraId="5906C005">
      <w:pPr>
        <w:spacing w:line="580" w:lineRule="exact"/>
        <w:ind w:firstLine="640"/>
        <w:jc w:val="both"/>
      </w:pPr>
      <w:r>
        <w:rPr>
          <w:rFonts w:ascii="仿宋_GB2312" w:hAnsi="仿宋_GB2312" w:eastAsia="仿宋_GB2312"/>
          <w:b w:val="0"/>
          <w:sz w:val="32"/>
        </w:rPr>
        <w:t>7.卫生健康支出(类)行政事业单位医疗(款)公务员医疗补助(项):支出决算数为1.04万元，比上年决算减少0.69万元，下降39.88%,主要原因是：本年在职人员减少，公务员医疗补助较上年减少。</w:t>
      </w:r>
    </w:p>
    <w:p w14:paraId="688A900E">
      <w:pPr>
        <w:spacing w:line="580" w:lineRule="exact"/>
        <w:ind w:firstLine="640"/>
        <w:jc w:val="both"/>
      </w:pPr>
      <w:r>
        <w:rPr>
          <w:rFonts w:ascii="仿宋_GB2312" w:hAnsi="仿宋_GB2312" w:eastAsia="仿宋_GB2312"/>
          <w:b w:val="0"/>
          <w:sz w:val="32"/>
        </w:rPr>
        <w:t>8.住房保障支出(类)住房改革支出(款)住房公积金(项):支出决算数为8.69万元，比上年决算减少1.98万元，下降18.56%,主要原因是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本年在职人员减少，住房公积金缴费较上年减少。</w:t>
      </w:r>
    </w:p>
    <w:p w14:paraId="63C32A5A">
      <w:pPr>
        <w:spacing w:line="640" w:lineRule="exact"/>
        <w:ind w:firstLine="640"/>
        <w:jc w:val="both"/>
        <w:outlineLvl w:val="2"/>
      </w:pPr>
      <w:r>
        <w:rPr>
          <w:rFonts w:ascii="黑体" w:hAnsi="黑体" w:eastAsia="黑体"/>
          <w:sz w:val="32"/>
        </w:rPr>
        <w:t>六、一般公共预算财政拨款基本支出决算情况说明</w:t>
      </w:r>
    </w:p>
    <w:p w14:paraId="6B104167">
      <w:pPr>
        <w:spacing w:line="580" w:lineRule="exact"/>
        <w:ind w:firstLine="640"/>
        <w:jc w:val="both"/>
      </w:pPr>
      <w:r>
        <w:rPr>
          <w:rFonts w:ascii="仿宋_GB2312" w:hAnsi="仿宋_GB2312" w:eastAsia="仿宋_GB2312"/>
          <w:b w:val="0"/>
          <w:sz w:val="32"/>
        </w:rPr>
        <w:t>2024年度一般公共预算财政拨款基本支出123.32万元，其中：</w:t>
      </w:r>
      <w:r>
        <w:rPr>
          <w:rFonts w:ascii="仿宋_GB2312" w:hAnsi="仿宋_GB2312" w:eastAsia="仿宋_GB2312"/>
          <w:b/>
          <w:sz w:val="32"/>
        </w:rPr>
        <w:t>人员经费117.34万元，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4E4B596E">
      <w:pPr>
        <w:spacing w:line="580" w:lineRule="exact"/>
        <w:ind w:firstLine="640"/>
        <w:jc w:val="both"/>
      </w:pPr>
      <w:r>
        <w:rPr>
          <w:rFonts w:ascii="仿宋_GB2312" w:hAnsi="仿宋_GB2312" w:eastAsia="仿宋_GB2312"/>
          <w:b/>
          <w:sz w:val="32"/>
        </w:rPr>
        <w:t>公用经费5.98万元，</w:t>
      </w:r>
      <w:r>
        <w:rPr>
          <w:rFonts w:ascii="仿宋_GB2312" w:hAnsi="仿宋_GB2312" w:eastAsia="仿宋_GB2312"/>
          <w:b w:val="0"/>
          <w:sz w:val="32"/>
        </w:rPr>
        <w:t>包括：办公费、印刷费、邮电费、差旅费、专用材料费、工会经费、公务用车运行维护费、其他商品和服务支出。</w:t>
      </w:r>
    </w:p>
    <w:p w14:paraId="522EFFCD">
      <w:pPr>
        <w:spacing w:line="640" w:lineRule="exact"/>
        <w:ind w:firstLine="640"/>
        <w:jc w:val="both"/>
        <w:outlineLvl w:val="2"/>
      </w:pPr>
      <w:r>
        <w:rPr>
          <w:rFonts w:ascii="黑体" w:hAnsi="黑体" w:eastAsia="黑体"/>
          <w:sz w:val="32"/>
        </w:rPr>
        <w:t>七、政府性基金预算财政拨款收入支出决算情况说明</w:t>
      </w:r>
    </w:p>
    <w:p w14:paraId="1894878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76560EA">
      <w:pPr>
        <w:spacing w:line="640" w:lineRule="exact"/>
        <w:ind w:firstLine="640"/>
        <w:jc w:val="both"/>
        <w:outlineLvl w:val="2"/>
      </w:pPr>
      <w:r>
        <w:rPr>
          <w:rFonts w:ascii="黑体" w:hAnsi="黑体" w:eastAsia="黑体"/>
          <w:sz w:val="32"/>
        </w:rPr>
        <w:t>八、国有资本经营预算财政拨款收入支出决算情况说明</w:t>
      </w:r>
    </w:p>
    <w:p w14:paraId="7D12220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75D8C7">
      <w:pPr>
        <w:spacing w:line="640" w:lineRule="exact"/>
        <w:ind w:firstLine="640"/>
        <w:jc w:val="both"/>
        <w:outlineLvl w:val="2"/>
      </w:pPr>
      <w:r>
        <w:rPr>
          <w:rFonts w:ascii="黑体" w:hAnsi="黑体" w:eastAsia="黑体"/>
          <w:sz w:val="32"/>
        </w:rPr>
        <w:t>九、财政拨款“三公”经费支出决算情况说明</w:t>
      </w:r>
    </w:p>
    <w:p w14:paraId="30254CF0">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公务用车运行维护费与上年一致无变化。公务接待费支出0.00万元，占0.00%，比上年增加0.00万元，增长0.00%，主要原因是：</w:t>
      </w:r>
      <w:bookmarkStart w:id="0" w:name="_GoBack"/>
      <w:r>
        <w:rPr>
          <w:rFonts w:ascii="仿宋_GB2312" w:hAnsi="仿宋_GB2312" w:eastAsia="仿宋_GB2312"/>
          <w:b w:val="0"/>
          <w:sz w:val="32"/>
        </w:rPr>
        <w:t>2023</w:t>
      </w:r>
      <w:bookmarkEnd w:id="0"/>
      <w:r>
        <w:rPr>
          <w:rFonts w:ascii="仿宋_GB2312" w:hAnsi="仿宋_GB2312" w:eastAsia="仿宋_GB2312"/>
          <w:b w:val="0"/>
          <w:sz w:val="32"/>
        </w:rPr>
        <w:t>年与2024年均未安排公务接待费支出。</w:t>
      </w:r>
    </w:p>
    <w:p w14:paraId="582D68D4">
      <w:pPr>
        <w:spacing w:line="580" w:lineRule="exact"/>
        <w:ind w:firstLine="640"/>
        <w:jc w:val="both"/>
      </w:pPr>
      <w:r>
        <w:rPr>
          <w:rFonts w:ascii="仿宋_GB2312" w:hAnsi="仿宋_GB2312" w:eastAsia="仿宋_GB2312"/>
          <w:b/>
          <w:sz w:val="32"/>
        </w:rPr>
        <w:t>具体情况如下：</w:t>
      </w:r>
    </w:p>
    <w:p w14:paraId="3C042DF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D147B9">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单位支付。</w:t>
      </w:r>
    </w:p>
    <w:p w14:paraId="1756299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A57F8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576E9ED7">
      <w:pPr>
        <w:spacing w:line="640" w:lineRule="exact"/>
        <w:ind w:firstLine="640"/>
        <w:jc w:val="both"/>
        <w:outlineLvl w:val="2"/>
      </w:pPr>
      <w:r>
        <w:rPr>
          <w:rFonts w:ascii="黑体" w:hAnsi="黑体" w:eastAsia="黑体"/>
          <w:sz w:val="32"/>
        </w:rPr>
        <w:t>十、其他重要事项的情况说明</w:t>
      </w:r>
    </w:p>
    <w:p w14:paraId="372758B8">
      <w:pPr>
        <w:spacing w:line="640" w:lineRule="exact"/>
        <w:ind w:firstLine="640"/>
        <w:jc w:val="both"/>
        <w:outlineLvl w:val="3"/>
      </w:pPr>
      <w:r>
        <w:rPr>
          <w:rFonts w:ascii="楷体_GB2312" w:hAnsi="楷体_GB2312" w:eastAsia="楷体_GB2312"/>
          <w:b/>
          <w:sz w:val="32"/>
        </w:rPr>
        <w:t>（一）机关运行经费及公用经费支出情况</w:t>
      </w:r>
    </w:p>
    <w:p w14:paraId="03F7AC23">
      <w:pPr>
        <w:spacing w:line="580" w:lineRule="exact"/>
        <w:ind w:firstLine="640"/>
        <w:jc w:val="both"/>
      </w:pPr>
      <w:r>
        <w:rPr>
          <w:rFonts w:ascii="仿宋_GB2312" w:hAnsi="仿宋_GB2312" w:eastAsia="仿宋_GB2312"/>
          <w:b w:val="0"/>
          <w:sz w:val="32"/>
        </w:rPr>
        <w:t>2024年度新疆维吾尔自治区喀什地区归国华侨联合会（行政单位和参照公务员法管理事业单位）机关运行经费支出5.98万元，比上年减少1.38万元，下降18.75%，主要原因是：地区侨联本年减少公用取暖经费、办公经费，导致机关运行经费减少。</w:t>
      </w:r>
    </w:p>
    <w:p w14:paraId="6F8D36B8">
      <w:pPr>
        <w:spacing w:line="640" w:lineRule="exact"/>
        <w:ind w:firstLine="640"/>
        <w:jc w:val="both"/>
        <w:outlineLvl w:val="3"/>
      </w:pPr>
      <w:r>
        <w:rPr>
          <w:rFonts w:ascii="楷体_GB2312" w:hAnsi="楷体_GB2312" w:eastAsia="楷体_GB2312"/>
          <w:b/>
          <w:sz w:val="32"/>
        </w:rPr>
        <w:t>（二）政府采购情况</w:t>
      </w:r>
    </w:p>
    <w:p w14:paraId="1ED5E8B2">
      <w:pPr>
        <w:spacing w:line="580" w:lineRule="exact"/>
        <w:ind w:firstLine="640"/>
        <w:jc w:val="both"/>
      </w:pPr>
      <w:r>
        <w:rPr>
          <w:rFonts w:ascii="仿宋_GB2312" w:hAnsi="仿宋_GB2312" w:eastAsia="仿宋_GB2312"/>
          <w:b w:val="0"/>
          <w:sz w:val="32"/>
        </w:rPr>
        <w:t>2024年度政府采购支出总额2.70万元，其中：政府采购货物支出1.60万元、政府采购工程支出0.00万元、政府采购服务支出1.09万元。</w:t>
      </w:r>
    </w:p>
    <w:p w14:paraId="7AE46726">
      <w:pPr>
        <w:spacing w:line="580" w:lineRule="exact"/>
        <w:ind w:firstLine="640"/>
        <w:jc w:val="both"/>
      </w:pPr>
      <w:r>
        <w:rPr>
          <w:rFonts w:ascii="仿宋_GB2312" w:hAnsi="仿宋_GB2312" w:eastAsia="仿宋_GB2312"/>
          <w:b w:val="0"/>
          <w:sz w:val="32"/>
        </w:rPr>
        <w:t>授予中小企业合同金额2.38万元，占政府采购支出总额的88.15%，其中：授予小微企业合同金额2.34万元，占政府采购支出总额的86.67%。</w:t>
      </w:r>
    </w:p>
    <w:p w14:paraId="594B5C87">
      <w:pPr>
        <w:spacing w:line="640" w:lineRule="exact"/>
        <w:ind w:firstLine="640"/>
        <w:jc w:val="both"/>
        <w:outlineLvl w:val="3"/>
      </w:pPr>
      <w:r>
        <w:rPr>
          <w:rFonts w:ascii="楷体_GB2312" w:hAnsi="楷体_GB2312" w:eastAsia="楷体_GB2312"/>
          <w:b/>
          <w:sz w:val="32"/>
        </w:rPr>
        <w:t>（三）国有资产占用情况说明</w:t>
      </w:r>
    </w:p>
    <w:p w14:paraId="1802E58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4CEB09E">
      <w:pPr>
        <w:spacing w:line="640" w:lineRule="exact"/>
        <w:ind w:firstLine="640"/>
        <w:jc w:val="both"/>
        <w:outlineLvl w:val="2"/>
      </w:pPr>
      <w:r>
        <w:rPr>
          <w:rFonts w:ascii="黑体" w:hAnsi="黑体" w:eastAsia="黑体"/>
          <w:sz w:val="32"/>
        </w:rPr>
        <w:t>十一、预算绩效的情况说明</w:t>
      </w:r>
    </w:p>
    <w:p w14:paraId="2FDCF57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123.32万元，实际执行总额123.32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745B87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89FAF1">
        <w:tblPrEx>
          <w:tblCellMar>
            <w:top w:w="0" w:type="dxa"/>
            <w:left w:w="108" w:type="dxa"/>
            <w:bottom w:w="0" w:type="dxa"/>
            <w:right w:w="108" w:type="dxa"/>
          </w:tblCellMar>
        </w:tblPrEx>
        <w:tc>
          <w:tcPr>
            <w:tcW w:w="8847" w:type="dxa"/>
            <w:gridSpan w:val="9"/>
            <w:vAlign w:val="center"/>
          </w:tcPr>
          <w:p w14:paraId="762940E2">
            <w:pPr>
              <w:jc w:val="center"/>
            </w:pPr>
            <w:r>
              <w:rPr>
                <w:rFonts w:ascii="宋体" w:hAnsi="宋体" w:eastAsia="宋体"/>
                <w:sz w:val="24"/>
              </w:rPr>
              <w:t>单位整体支出绩效自评表</w:t>
            </w:r>
          </w:p>
        </w:tc>
      </w:tr>
      <w:tr w14:paraId="3CE1B349">
        <w:tblPrEx>
          <w:tblCellMar>
            <w:top w:w="0" w:type="dxa"/>
            <w:left w:w="108" w:type="dxa"/>
            <w:bottom w:w="0" w:type="dxa"/>
            <w:right w:w="108" w:type="dxa"/>
          </w:tblCellMar>
        </w:tblPrEx>
        <w:tc>
          <w:tcPr>
            <w:tcW w:w="8847" w:type="dxa"/>
            <w:gridSpan w:val="9"/>
            <w:vAlign w:val="center"/>
          </w:tcPr>
          <w:p w14:paraId="15E2F368">
            <w:pPr>
              <w:jc w:val="center"/>
            </w:pPr>
            <w:r>
              <w:rPr>
                <w:rFonts w:ascii="宋体" w:hAnsi="宋体" w:eastAsia="宋体"/>
                <w:sz w:val="24"/>
              </w:rPr>
              <w:t>（2024年度）</w:t>
            </w:r>
          </w:p>
        </w:tc>
      </w:tr>
      <w:tr w14:paraId="091C8A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E115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117A92">
            <w:pPr>
              <w:jc w:val="center"/>
            </w:pPr>
            <w:r>
              <w:rPr>
                <w:rFonts w:ascii="宋体" w:hAnsi="宋体" w:eastAsia="宋体"/>
                <w:sz w:val="16"/>
              </w:rPr>
              <w:t>新疆维吾尔自治区喀什地区归国华侨联合会</w:t>
            </w:r>
          </w:p>
        </w:tc>
      </w:tr>
      <w:tr w14:paraId="36E111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A0E5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4FB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6858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767B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802B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48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884D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2723">
            <w:pPr>
              <w:jc w:val="center"/>
            </w:pPr>
            <w:r>
              <w:rPr>
                <w:rFonts w:ascii="宋体" w:hAnsi="宋体" w:eastAsia="宋体"/>
                <w:sz w:val="16"/>
              </w:rPr>
              <w:t>得分</w:t>
            </w:r>
          </w:p>
        </w:tc>
      </w:tr>
      <w:tr w14:paraId="3BABD9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1E6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4D2A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0DF99">
            <w:pPr>
              <w:jc w:val="center"/>
            </w:pPr>
            <w:r>
              <w:rPr>
                <w:rFonts w:ascii="宋体" w:hAnsi="宋体" w:eastAsia="宋体"/>
                <w:sz w:val="16"/>
              </w:rPr>
              <w:t>119.67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75803">
            <w:pPr>
              <w:jc w:val="center"/>
            </w:pPr>
            <w:r>
              <w:rPr>
                <w:rFonts w:ascii="宋体" w:hAnsi="宋体" w:eastAsia="宋体"/>
                <w:sz w:val="16"/>
              </w:rPr>
              <w:t>123.32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28F3F">
            <w:pPr>
              <w:jc w:val="center"/>
            </w:pPr>
            <w:r>
              <w:rPr>
                <w:rFonts w:ascii="宋体" w:hAnsi="宋体" w:eastAsia="宋体"/>
                <w:sz w:val="16"/>
              </w:rPr>
              <w:t>123.32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DCD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F643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5094C">
            <w:pPr>
              <w:jc w:val="center"/>
            </w:pPr>
            <w:r>
              <w:rPr>
                <w:rFonts w:ascii="宋体" w:hAnsi="宋体" w:eastAsia="宋体"/>
                <w:sz w:val="16"/>
              </w:rPr>
              <w:t>10</w:t>
            </w:r>
          </w:p>
        </w:tc>
      </w:tr>
      <w:tr w14:paraId="3548FB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41A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7E62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FB5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833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838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4FE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49C3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FC282">
            <w:pPr>
              <w:jc w:val="center"/>
            </w:pPr>
            <w:r>
              <w:rPr>
                <w:rFonts w:ascii="宋体" w:hAnsi="宋体" w:eastAsia="宋体"/>
                <w:sz w:val="16"/>
              </w:rPr>
              <w:t>—</w:t>
            </w:r>
          </w:p>
        </w:tc>
      </w:tr>
      <w:tr w14:paraId="14B1AD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BC0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41E2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F1059">
            <w:pPr>
              <w:jc w:val="center"/>
            </w:pPr>
            <w:r>
              <w:rPr>
                <w:rFonts w:ascii="宋体" w:hAnsi="宋体" w:eastAsia="宋体"/>
                <w:sz w:val="16"/>
              </w:rPr>
              <w:t>119.67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3D6B9">
            <w:pPr>
              <w:jc w:val="center"/>
            </w:pPr>
            <w:r>
              <w:rPr>
                <w:rFonts w:ascii="宋体" w:hAnsi="宋体" w:eastAsia="宋体"/>
                <w:sz w:val="16"/>
              </w:rPr>
              <w:t>123.32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8F68B">
            <w:pPr>
              <w:jc w:val="center"/>
            </w:pPr>
            <w:r>
              <w:rPr>
                <w:rFonts w:ascii="宋体" w:hAnsi="宋体" w:eastAsia="宋体"/>
                <w:sz w:val="16"/>
              </w:rPr>
              <w:t>123.32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71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F1DC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B3FC">
            <w:pPr>
              <w:jc w:val="center"/>
            </w:pPr>
            <w:r>
              <w:rPr>
                <w:rFonts w:ascii="宋体" w:hAnsi="宋体" w:eastAsia="宋体"/>
                <w:sz w:val="16"/>
              </w:rPr>
              <w:t>—</w:t>
            </w:r>
          </w:p>
        </w:tc>
      </w:tr>
      <w:tr w14:paraId="07B5F0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7F7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E370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25E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F3B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7B6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9E8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9FC1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98D6">
            <w:pPr>
              <w:jc w:val="center"/>
            </w:pPr>
            <w:r>
              <w:rPr>
                <w:rFonts w:ascii="宋体" w:hAnsi="宋体" w:eastAsia="宋体"/>
                <w:sz w:val="16"/>
              </w:rPr>
              <w:t>—</w:t>
            </w:r>
          </w:p>
        </w:tc>
      </w:tr>
      <w:tr w14:paraId="62FA46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35F4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3300E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EAEA98">
            <w:pPr>
              <w:jc w:val="center"/>
            </w:pPr>
            <w:r>
              <w:rPr>
                <w:rFonts w:ascii="宋体" w:hAnsi="宋体" w:eastAsia="宋体"/>
                <w:sz w:val="16"/>
              </w:rPr>
              <w:t>实际完成情况</w:t>
            </w:r>
          </w:p>
        </w:tc>
      </w:tr>
      <w:tr w14:paraId="59BD00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AB36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23A2F4">
            <w:pPr>
              <w:jc w:val="both"/>
            </w:pPr>
            <w:r>
              <w:rPr>
                <w:rFonts w:ascii="宋体" w:hAnsi="宋体" w:eastAsia="宋体"/>
                <w:sz w:val="16"/>
              </w:rPr>
              <w:t>新疆维吾尔自治区喀什地区归国华侨联合会是在地委、行署领导下的由归侨、侨眷组成的人民团体，是党和政府联系广大归侨、侨眷和海外侨胞联系的桥梁和纽带。侨联服务经济发展、依法维护侨益、拓展海外联谊，积极参政议政，弘扬中华文化，参与社会建设，做好侨界工作，广泛团结归侨侨眷，维护侨眷职能。通过侨联各项工作的开展，激发侨界奋进力量，着力提升为侨服务水平，推动侨联事业高质量发展，有效发挥桥梁纽带作用，把广大归侨侨眷和海外侨胞紧密团结在党的周围</w:t>
            </w:r>
            <w:r>
              <w:rPr>
                <w:rFonts w:hint="eastAsia" w:ascii="宋体" w:hAnsi="宋体"/>
                <w:sz w:val="16"/>
                <w:lang w:eastAsia="zh-CN"/>
              </w:rPr>
              <w:t>。</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F079F7">
            <w:pPr>
              <w:jc w:val="both"/>
            </w:pPr>
            <w:r>
              <w:rPr>
                <w:rFonts w:ascii="宋体" w:hAnsi="宋体" w:eastAsia="宋体"/>
                <w:sz w:val="16"/>
              </w:rPr>
              <w:t>2024年地区侨联开展侨界活动1项；侨联与伽师县人民医院广东援疆医疗专家团队开展“侨界医疗队下基层”义诊活动，为2000余名各族群众免费义诊，切实做到了工作在国内，影响在国外。对归侨侨眷宣传党的政策15批次，充分发挥侨界</w:t>
            </w:r>
            <w:r>
              <w:rPr>
                <w:rFonts w:hint="eastAsia" w:ascii="宋体" w:hAnsi="宋体"/>
                <w:sz w:val="16"/>
                <w:lang w:eastAsia="zh-CN"/>
              </w:rPr>
              <w:t>群众主体作用</w:t>
            </w:r>
            <w:r>
              <w:rPr>
                <w:rFonts w:ascii="宋体" w:hAnsi="宋体" w:eastAsia="宋体"/>
                <w:sz w:val="16"/>
              </w:rPr>
              <w:t>，以铸牢中华民族共同体意识</w:t>
            </w:r>
            <w:r>
              <w:rPr>
                <w:rFonts w:hint="eastAsia" w:ascii="宋体" w:hAnsi="宋体"/>
                <w:sz w:val="16"/>
                <w:lang w:eastAsia="zh-CN"/>
              </w:rPr>
              <w:t>为</w:t>
            </w:r>
            <w:r>
              <w:rPr>
                <w:rFonts w:ascii="宋体" w:hAnsi="宋体" w:eastAsia="宋体"/>
                <w:sz w:val="16"/>
              </w:rPr>
              <w:t>主线，进一步提高了侨界群众依法维权的意识。开展县市调研1批次，加强思想政治引领，着力画好侨界团结最大同心圆，夯实侨情基础，强化责任担当，持续做好暖侨心稳人心树信心工作，创新工作机制，不断促进侨联工作提质增效；慰问</w:t>
            </w:r>
            <w:r>
              <w:rPr>
                <w:rFonts w:hint="eastAsia" w:ascii="宋体" w:hAnsi="宋体"/>
                <w:sz w:val="16"/>
                <w:lang w:eastAsia="zh-CN"/>
              </w:rPr>
              <w:t>侨界</w:t>
            </w:r>
            <w:r>
              <w:rPr>
                <w:rFonts w:ascii="宋体" w:hAnsi="宋体" w:eastAsia="宋体"/>
                <w:sz w:val="16"/>
              </w:rPr>
              <w:t>群众10人，不仅增进了对侨界群众实际情况的了解，也加强了同侨界群众的沟通联系，让侨界群众真切感受到了党和政府的温暖与关怀，进一步凝聚了侨心，汇聚了侨力，团结了归侨侨眷，有效推动了喀什地区侨务事业的发展。在已建成“侨胞之家”开展文体活动3次，搭好党和政府沟通联系华侨归侨侨眷的桥梁纽带，用心用情为侨服务，当归侨侨眷的“贴心人”，做侨务工作的“实干家”。通过侨联各项工作的开展，激发侨界奋进力量，着力提升为侨服务水平，推动侨联事业高质量发展，有效发挥桥梁纽带作用，把广大归侨侨眷和海外侨胞紧密团结在党的周围。</w:t>
            </w:r>
          </w:p>
        </w:tc>
      </w:tr>
      <w:tr w14:paraId="23F81B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E239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247F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77C6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6E43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56A5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22D2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D758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32F2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DD145">
            <w:pPr>
              <w:jc w:val="center"/>
            </w:pPr>
            <w:r>
              <w:rPr>
                <w:rFonts w:ascii="宋体" w:hAnsi="宋体" w:eastAsia="宋体"/>
                <w:sz w:val="16"/>
              </w:rPr>
              <w:t>得分</w:t>
            </w:r>
          </w:p>
        </w:tc>
      </w:tr>
      <w:tr w14:paraId="49D1D3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DC4E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A25B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4EFB2">
            <w:pPr>
              <w:jc w:val="center"/>
            </w:pPr>
            <w:r>
              <w:rPr>
                <w:rFonts w:ascii="宋体" w:hAnsi="宋体" w:eastAsia="宋体"/>
                <w:sz w:val="16"/>
              </w:rPr>
              <w:t>开展侨界活动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7D1CD">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8C816">
            <w:pPr>
              <w:jc w:val="center"/>
            </w:pPr>
            <w:r>
              <w:rPr>
                <w:rFonts w:ascii="宋体" w:hAnsi="宋体" w:eastAsia="宋体"/>
                <w:sz w:val="16"/>
              </w:rPr>
              <w:t>《喀什地区侨联2024年工作要点》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C8DB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D1CF0">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288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FDDCF">
            <w:pPr>
              <w:jc w:val="center"/>
            </w:pPr>
            <w:r>
              <w:rPr>
                <w:rFonts w:ascii="宋体" w:hAnsi="宋体" w:eastAsia="宋体"/>
                <w:sz w:val="16"/>
              </w:rPr>
              <w:t>15</w:t>
            </w:r>
          </w:p>
        </w:tc>
      </w:tr>
      <w:tr w14:paraId="680B76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00C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D4E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31488">
            <w:pPr>
              <w:jc w:val="center"/>
            </w:pPr>
            <w:r>
              <w:rPr>
                <w:rFonts w:ascii="宋体" w:hAnsi="宋体" w:eastAsia="宋体"/>
                <w:sz w:val="16"/>
              </w:rPr>
              <w:t>对归侨侨眷宣传党的政策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363EA">
            <w:pPr>
              <w:jc w:val="center"/>
            </w:pPr>
            <w:r>
              <w:rPr>
                <w:rFonts w:ascii="宋体" w:hAnsi="宋体" w:eastAsia="宋体"/>
                <w:sz w:val="16"/>
              </w:rPr>
              <w:t>&gt;=15批次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7B572">
            <w:pPr>
              <w:jc w:val="center"/>
            </w:pPr>
            <w:r>
              <w:rPr>
                <w:rFonts w:ascii="宋体" w:hAnsi="宋体" w:eastAsia="宋体"/>
                <w:sz w:val="16"/>
              </w:rPr>
              <w:t>《喀什地区侨联2024年工作要点》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9D37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59FDD">
            <w:pPr>
              <w:jc w:val="center"/>
            </w:pPr>
            <w:r>
              <w:rPr>
                <w:rFonts w:ascii="宋体" w:hAnsi="宋体" w:eastAsia="宋体"/>
                <w:sz w:val="16"/>
              </w:rPr>
              <w:t>15批次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768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64CF">
            <w:pPr>
              <w:jc w:val="center"/>
            </w:pPr>
            <w:r>
              <w:rPr>
                <w:rFonts w:ascii="宋体" w:hAnsi="宋体" w:eastAsia="宋体"/>
                <w:sz w:val="16"/>
              </w:rPr>
              <w:t>20</w:t>
            </w:r>
          </w:p>
        </w:tc>
      </w:tr>
      <w:tr w14:paraId="7BC421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C5E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01A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1DC30">
            <w:pPr>
              <w:jc w:val="center"/>
            </w:pPr>
            <w:r>
              <w:rPr>
                <w:rFonts w:ascii="宋体" w:hAnsi="宋体" w:eastAsia="宋体"/>
                <w:sz w:val="16"/>
              </w:rPr>
              <w:t>开展县市调研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D13F0">
            <w:pPr>
              <w:jc w:val="center"/>
            </w:pPr>
            <w:r>
              <w:rPr>
                <w:rFonts w:ascii="宋体" w:hAnsi="宋体" w:eastAsia="宋体"/>
                <w:sz w:val="16"/>
              </w:rPr>
              <w:t>&gt;=1批次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F8560">
            <w:pPr>
              <w:jc w:val="center"/>
            </w:pPr>
            <w:r>
              <w:rPr>
                <w:rFonts w:ascii="宋体" w:hAnsi="宋体" w:eastAsia="宋体"/>
                <w:sz w:val="16"/>
              </w:rPr>
              <w:t>《喀什地区侨联2024年工作要点》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767D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9DFE9">
            <w:pPr>
              <w:jc w:val="center"/>
            </w:pPr>
            <w:r>
              <w:rPr>
                <w:rFonts w:ascii="宋体" w:hAnsi="宋体" w:eastAsia="宋体"/>
                <w:sz w:val="16"/>
              </w:rPr>
              <w:t>1批次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326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A6558">
            <w:pPr>
              <w:jc w:val="center"/>
            </w:pPr>
            <w:r>
              <w:rPr>
                <w:rFonts w:ascii="宋体" w:hAnsi="宋体" w:eastAsia="宋体"/>
                <w:sz w:val="16"/>
              </w:rPr>
              <w:t>20</w:t>
            </w:r>
          </w:p>
        </w:tc>
      </w:tr>
      <w:tr w14:paraId="122A01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87E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A69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9FCDD">
            <w:pPr>
              <w:jc w:val="center"/>
            </w:pPr>
            <w:r>
              <w:rPr>
                <w:rFonts w:ascii="宋体" w:hAnsi="宋体" w:eastAsia="宋体"/>
                <w:sz w:val="16"/>
              </w:rPr>
              <w:t>慰问侨界群众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CF23">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A9259">
            <w:pPr>
              <w:jc w:val="center"/>
            </w:pPr>
            <w:r>
              <w:rPr>
                <w:rFonts w:ascii="宋体" w:hAnsi="宋体" w:eastAsia="宋体"/>
                <w:sz w:val="16"/>
              </w:rPr>
              <w:t>《喀什地区侨联2024年工作要点》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7CC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1A21A">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241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99159">
            <w:pPr>
              <w:jc w:val="center"/>
            </w:pPr>
            <w:r>
              <w:rPr>
                <w:rFonts w:ascii="宋体" w:hAnsi="宋体" w:eastAsia="宋体"/>
                <w:sz w:val="16"/>
              </w:rPr>
              <w:t>20</w:t>
            </w:r>
          </w:p>
        </w:tc>
      </w:tr>
      <w:tr w14:paraId="19DF5F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817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FC1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3C8BC">
            <w:pPr>
              <w:jc w:val="center"/>
            </w:pPr>
            <w:r>
              <w:rPr>
                <w:rFonts w:ascii="宋体" w:hAnsi="宋体" w:eastAsia="宋体"/>
                <w:sz w:val="16"/>
              </w:rPr>
              <w:t>在已建成“侨胞之家”开展活动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BBF63">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922D6">
            <w:pPr>
              <w:jc w:val="center"/>
            </w:pPr>
            <w:r>
              <w:rPr>
                <w:rFonts w:ascii="宋体" w:hAnsi="宋体" w:eastAsia="宋体"/>
                <w:sz w:val="16"/>
              </w:rPr>
              <w:t>《喀什地区侨联2024年工作要点》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0FF2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DC658">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8C2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1FF1">
            <w:pPr>
              <w:jc w:val="center"/>
            </w:pPr>
            <w:r>
              <w:rPr>
                <w:rFonts w:ascii="宋体" w:hAnsi="宋体" w:eastAsia="宋体"/>
                <w:sz w:val="16"/>
              </w:rPr>
              <w:t>15</w:t>
            </w:r>
          </w:p>
        </w:tc>
      </w:tr>
    </w:tbl>
    <w:p w14:paraId="5E74B296">
      <w:r>
        <w:br w:type="page"/>
      </w:r>
    </w:p>
    <w:p w14:paraId="68864AD6">
      <w:pPr>
        <w:spacing w:line="640" w:lineRule="exact"/>
        <w:ind w:firstLine="640"/>
        <w:jc w:val="both"/>
        <w:outlineLvl w:val="2"/>
      </w:pPr>
      <w:r>
        <w:rPr>
          <w:rFonts w:ascii="黑体" w:hAnsi="黑体" w:eastAsia="黑体"/>
          <w:sz w:val="32"/>
        </w:rPr>
        <w:t>十二、其他需说明的事项</w:t>
      </w:r>
    </w:p>
    <w:p w14:paraId="597DC239">
      <w:pPr>
        <w:spacing w:line="580" w:lineRule="exact"/>
        <w:ind w:firstLine="640"/>
        <w:jc w:val="both"/>
      </w:pPr>
      <w:r>
        <w:rPr>
          <w:rFonts w:ascii="仿宋_GB2312" w:hAnsi="仿宋_GB2312" w:eastAsia="仿宋_GB2312"/>
          <w:b w:val="0"/>
          <w:sz w:val="32"/>
        </w:rPr>
        <w:t>本单位无其他需说明的事项。</w:t>
      </w:r>
    </w:p>
    <w:p w14:paraId="0643656E">
      <w:r>
        <w:br w:type="page"/>
      </w:r>
    </w:p>
    <w:p w14:paraId="5ACAB9A4">
      <w:pPr>
        <w:spacing w:line="240" w:lineRule="auto"/>
        <w:jc w:val="center"/>
        <w:outlineLvl w:val="1"/>
      </w:pPr>
      <w:r>
        <w:rPr>
          <w:rFonts w:ascii="黑体" w:hAnsi="黑体" w:eastAsia="黑体"/>
          <w:sz w:val="32"/>
        </w:rPr>
        <w:t>第三部分 专业名词解释</w:t>
      </w:r>
    </w:p>
    <w:p w14:paraId="0A6452A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0FB16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B4920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2241FE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E2CA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ACEEB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FCF74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1B53F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F9A77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F0FFA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D9227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1549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FBF2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D523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765783">
      <w:r>
        <w:br w:type="page"/>
      </w:r>
    </w:p>
    <w:p w14:paraId="2E06B29A">
      <w:pPr>
        <w:spacing w:line="240" w:lineRule="auto"/>
        <w:jc w:val="center"/>
        <w:outlineLvl w:val="1"/>
      </w:pPr>
      <w:r>
        <w:rPr>
          <w:rFonts w:ascii="黑体" w:hAnsi="黑体" w:eastAsia="黑体"/>
          <w:sz w:val="32"/>
        </w:rPr>
        <w:t>第四部分 部门决算报表（见附表）</w:t>
      </w:r>
    </w:p>
    <w:p w14:paraId="3FA27419">
      <w:pPr>
        <w:spacing w:line="240" w:lineRule="auto"/>
        <w:ind w:firstLine="640"/>
        <w:jc w:val="both"/>
      </w:pPr>
      <w:r>
        <w:rPr>
          <w:rFonts w:ascii="仿宋_GB2312" w:hAnsi="仿宋_GB2312" w:eastAsia="仿宋_GB2312"/>
          <w:b w:val="0"/>
          <w:sz w:val="32"/>
        </w:rPr>
        <w:t>一、《收入支出决算总表》</w:t>
      </w:r>
    </w:p>
    <w:p w14:paraId="1925129F">
      <w:pPr>
        <w:spacing w:line="240" w:lineRule="auto"/>
        <w:ind w:firstLine="640"/>
        <w:jc w:val="both"/>
      </w:pPr>
      <w:r>
        <w:rPr>
          <w:rFonts w:ascii="仿宋_GB2312" w:hAnsi="仿宋_GB2312" w:eastAsia="仿宋_GB2312"/>
          <w:b w:val="0"/>
          <w:sz w:val="32"/>
        </w:rPr>
        <w:t>二、《收入决算表》</w:t>
      </w:r>
    </w:p>
    <w:p w14:paraId="5F098B91">
      <w:pPr>
        <w:spacing w:line="240" w:lineRule="auto"/>
        <w:ind w:firstLine="640"/>
        <w:jc w:val="both"/>
      </w:pPr>
      <w:r>
        <w:rPr>
          <w:rFonts w:ascii="仿宋_GB2312" w:hAnsi="仿宋_GB2312" w:eastAsia="仿宋_GB2312"/>
          <w:b w:val="0"/>
          <w:sz w:val="32"/>
        </w:rPr>
        <w:t>三、《支出决算表》</w:t>
      </w:r>
    </w:p>
    <w:p w14:paraId="34F24662">
      <w:pPr>
        <w:spacing w:line="240" w:lineRule="auto"/>
        <w:ind w:firstLine="640"/>
        <w:jc w:val="both"/>
      </w:pPr>
      <w:r>
        <w:rPr>
          <w:rFonts w:ascii="仿宋_GB2312" w:hAnsi="仿宋_GB2312" w:eastAsia="仿宋_GB2312"/>
          <w:b w:val="0"/>
          <w:sz w:val="32"/>
        </w:rPr>
        <w:t>四、《财政拨款收入支出决算总表》</w:t>
      </w:r>
    </w:p>
    <w:p w14:paraId="4B20DBBC">
      <w:pPr>
        <w:spacing w:line="240" w:lineRule="auto"/>
        <w:ind w:firstLine="640"/>
        <w:jc w:val="both"/>
      </w:pPr>
      <w:r>
        <w:rPr>
          <w:rFonts w:ascii="仿宋_GB2312" w:hAnsi="仿宋_GB2312" w:eastAsia="仿宋_GB2312"/>
          <w:b w:val="0"/>
          <w:sz w:val="32"/>
        </w:rPr>
        <w:t>五、《一般公共预算财政拨款支出决算表》</w:t>
      </w:r>
    </w:p>
    <w:p w14:paraId="409F3657">
      <w:pPr>
        <w:spacing w:line="240" w:lineRule="auto"/>
        <w:ind w:firstLine="640"/>
        <w:jc w:val="both"/>
      </w:pPr>
      <w:r>
        <w:rPr>
          <w:rFonts w:ascii="仿宋_GB2312" w:hAnsi="仿宋_GB2312" w:eastAsia="仿宋_GB2312"/>
          <w:b w:val="0"/>
          <w:sz w:val="32"/>
        </w:rPr>
        <w:t>六、《一般公共预算财政拨款基本支出决算表》</w:t>
      </w:r>
    </w:p>
    <w:p w14:paraId="2C25A390">
      <w:pPr>
        <w:spacing w:line="240" w:lineRule="auto"/>
        <w:ind w:firstLine="640"/>
        <w:jc w:val="both"/>
      </w:pPr>
      <w:r>
        <w:rPr>
          <w:rFonts w:ascii="仿宋_GB2312" w:hAnsi="仿宋_GB2312" w:eastAsia="仿宋_GB2312"/>
          <w:b w:val="0"/>
          <w:sz w:val="32"/>
        </w:rPr>
        <w:t>七、《政府性基金预算财政拨款收入支出决算表》</w:t>
      </w:r>
    </w:p>
    <w:p w14:paraId="3730B85F">
      <w:pPr>
        <w:spacing w:line="240" w:lineRule="auto"/>
        <w:ind w:firstLine="640"/>
        <w:jc w:val="both"/>
      </w:pPr>
      <w:r>
        <w:rPr>
          <w:rFonts w:ascii="仿宋_GB2312" w:hAnsi="仿宋_GB2312" w:eastAsia="仿宋_GB2312"/>
          <w:b w:val="0"/>
          <w:sz w:val="32"/>
        </w:rPr>
        <w:t>八、《国有资本经营预算财政拨款收入支出决算表》</w:t>
      </w:r>
    </w:p>
    <w:p w14:paraId="522F8269">
      <w:pPr>
        <w:spacing w:line="240" w:lineRule="auto"/>
        <w:ind w:firstLine="640"/>
        <w:jc w:val="both"/>
      </w:pPr>
      <w:r>
        <w:rPr>
          <w:rFonts w:ascii="仿宋_GB2312" w:hAnsi="仿宋_GB2312" w:eastAsia="仿宋_GB2312"/>
          <w:b w:val="0"/>
          <w:sz w:val="32"/>
        </w:rPr>
        <w:t>九、《财政拨款“三公”经费支出决算表》</w:t>
      </w:r>
    </w:p>
    <w:p w14:paraId="2ADCB50B">
      <w:pPr>
        <w:spacing w:line="240" w:lineRule="auto"/>
        <w:ind w:firstLine="640"/>
        <w:jc w:val="both"/>
      </w:pPr>
    </w:p>
    <w:p w14:paraId="46D8748D">
      <w:pPr>
        <w:spacing w:line="240" w:lineRule="auto"/>
        <w:ind w:firstLine="640"/>
        <w:jc w:val="both"/>
      </w:pPr>
    </w:p>
    <w:p w14:paraId="06A91128">
      <w:pPr>
        <w:spacing w:line="240" w:lineRule="auto"/>
        <w:ind w:firstLine="640"/>
        <w:jc w:val="both"/>
      </w:pPr>
    </w:p>
    <w:p w14:paraId="0A08D4D3">
      <w:pPr>
        <w:spacing w:line="240" w:lineRule="auto"/>
        <w:ind w:firstLine="640"/>
        <w:jc w:val="both"/>
      </w:pPr>
    </w:p>
    <w:p w14:paraId="2647479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7053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4E3F44"/>
    <w:rsid w:val="71473612"/>
    <w:rsid w:val="718F7F65"/>
    <w:rsid w:val="73423603"/>
    <w:rsid w:val="73673422"/>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6273</Words>
  <Characters>7015</Characters>
  <Lines>0</Lines>
  <Paragraphs>0</Paragraphs>
  <TotalTime>5</TotalTime>
  <ScaleCrop>false</ScaleCrop>
  <LinksUpToDate>false</LinksUpToDate>
  <CharactersWithSpaces>7025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2025-09-04T02:43:20Z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