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新疆维吾尔自治区喀什地区招商局2024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809E8A8">
      <w:r>
        <w:br w:type="page"/>
      </w:r>
    </w:p>
    <w:p w14:paraId="3E1018B5">
      <w:pPr>
        <w:spacing w:line="640" w:lineRule="exact"/>
        <w:jc w:val="center"/>
        <w:outlineLvl w:val="1"/>
      </w:pPr>
      <w:r>
        <w:rPr>
          <w:rFonts w:ascii="黑体" w:hAnsi="黑体" w:eastAsia="黑体"/>
          <w:sz w:val="32"/>
        </w:rPr>
        <w:t>第一部分 部门概况</w:t>
      </w:r>
    </w:p>
    <w:p w14:paraId="2CE8EF13">
      <w:pPr>
        <w:spacing w:line="640" w:lineRule="exact"/>
        <w:ind w:firstLine="640"/>
        <w:jc w:val="both"/>
        <w:outlineLvl w:val="2"/>
      </w:pPr>
      <w:r>
        <w:rPr>
          <w:rFonts w:ascii="黑体" w:hAnsi="黑体" w:eastAsia="黑体"/>
          <w:sz w:val="32"/>
        </w:rPr>
        <w:t>一、主要职能</w:t>
      </w:r>
    </w:p>
    <w:p w14:paraId="1B7505C1">
      <w:pPr>
        <w:spacing w:line="580" w:lineRule="exact"/>
        <w:ind w:firstLine="640"/>
        <w:jc w:val="both"/>
      </w:pPr>
      <w:r>
        <w:rPr>
          <w:rFonts w:ascii="仿宋_GB2312" w:hAnsi="仿宋_GB2312" w:eastAsia="仿宋_GB2312"/>
          <w:sz w:val="32"/>
        </w:rPr>
        <w:t>喀什地区招商局于2019年2月18日成立，是行署的工作部门。主要是贯彻落实党中央、自治区党委</w:t>
      </w:r>
      <w:r>
        <w:rPr>
          <w:rFonts w:hint="eastAsia" w:ascii="仿宋_GB2312" w:hAnsi="仿宋_GB2312" w:eastAsia="仿宋_GB2312"/>
          <w:sz w:val="32"/>
          <w:lang w:eastAsia="zh-CN"/>
        </w:rPr>
        <w:t>关于</w:t>
      </w:r>
      <w:r>
        <w:rPr>
          <w:rFonts w:ascii="仿宋_GB2312" w:hAnsi="仿宋_GB2312" w:eastAsia="仿宋_GB2312"/>
          <w:sz w:val="32"/>
        </w:rPr>
        <w:t>招商引资工作的方针政策和决策部署及地委工作要求，在履行职责过程中坚持和加强党</w:t>
      </w:r>
      <w:r>
        <w:rPr>
          <w:rFonts w:hint="eastAsia" w:ascii="仿宋_GB2312" w:hAnsi="仿宋_GB2312" w:eastAsia="仿宋_GB2312"/>
          <w:sz w:val="32"/>
          <w:lang w:eastAsia="zh-CN"/>
        </w:rPr>
        <w:t>对</w:t>
      </w:r>
      <w:r>
        <w:rPr>
          <w:rFonts w:ascii="仿宋_GB2312" w:hAnsi="仿宋_GB2312" w:eastAsia="仿宋_GB2312"/>
          <w:sz w:val="32"/>
        </w:rPr>
        <w:t>招商引资工作的集中统一领导。</w:t>
      </w:r>
    </w:p>
    <w:p w14:paraId="31F62AFB">
      <w:pPr>
        <w:spacing w:line="580" w:lineRule="exact"/>
        <w:ind w:firstLine="640"/>
        <w:jc w:val="both"/>
      </w:pPr>
      <w:r>
        <w:rPr>
          <w:rFonts w:ascii="仿宋_GB2312" w:hAnsi="仿宋_GB2312" w:eastAsia="仿宋_GB2312"/>
          <w:sz w:val="32"/>
        </w:rPr>
        <w:t>（1）贯彻执行国家、自治区和地区有关对外开放、经济合作</w:t>
      </w:r>
      <w:r>
        <w:rPr>
          <w:rFonts w:hint="eastAsia" w:ascii="仿宋_GB2312" w:hAnsi="仿宋_GB2312" w:eastAsia="仿宋_GB2312"/>
          <w:sz w:val="32"/>
          <w:lang w:eastAsia="zh-CN"/>
        </w:rPr>
        <w:t>和</w:t>
      </w:r>
      <w:r>
        <w:rPr>
          <w:rFonts w:ascii="仿宋_GB2312" w:hAnsi="仿宋_GB2312" w:eastAsia="仿宋_GB2312"/>
          <w:sz w:val="32"/>
        </w:rPr>
        <w:t>招</w:t>
      </w:r>
      <w:r>
        <w:rPr>
          <w:rFonts w:hint="eastAsia" w:ascii="仿宋_GB2312" w:hAnsi="仿宋_GB2312" w:eastAsia="仿宋_GB2312"/>
          <w:sz w:val="32"/>
          <w:lang w:eastAsia="zh-CN"/>
        </w:rPr>
        <w:t>商引资</w:t>
      </w:r>
      <w:r>
        <w:rPr>
          <w:rFonts w:ascii="仿宋_GB2312" w:hAnsi="仿宋_GB2312" w:eastAsia="仿宋_GB2312"/>
          <w:sz w:val="32"/>
        </w:rPr>
        <w:t>的方针政策、法律法规；牵头制定地区招</w:t>
      </w:r>
      <w:r>
        <w:rPr>
          <w:rFonts w:hint="eastAsia" w:ascii="仿宋_GB2312" w:hAnsi="仿宋_GB2312" w:eastAsia="仿宋_GB2312"/>
          <w:sz w:val="32"/>
          <w:lang w:eastAsia="zh-CN"/>
        </w:rPr>
        <w:t>商引资</w:t>
      </w:r>
      <w:r>
        <w:rPr>
          <w:rFonts w:ascii="仿宋_GB2312" w:hAnsi="仿宋_GB2312" w:eastAsia="仿宋_GB2312"/>
          <w:sz w:val="32"/>
        </w:rPr>
        <w:t>、对外开放、经济合作和促进园区经济发展的有关政策措施。</w:t>
      </w:r>
    </w:p>
    <w:p w14:paraId="7E44EF2D">
      <w:pPr>
        <w:spacing w:line="580" w:lineRule="exact"/>
        <w:ind w:firstLine="640"/>
        <w:jc w:val="both"/>
      </w:pPr>
      <w:r>
        <w:rPr>
          <w:rFonts w:ascii="仿宋_GB2312" w:hAnsi="仿宋_GB2312" w:eastAsia="仿宋_GB2312"/>
          <w:sz w:val="32"/>
        </w:rPr>
        <w:t>（2）编制地区招</w:t>
      </w:r>
      <w:r>
        <w:rPr>
          <w:rFonts w:hint="eastAsia" w:ascii="仿宋_GB2312" w:hAnsi="仿宋_GB2312" w:eastAsia="仿宋_GB2312"/>
          <w:sz w:val="32"/>
          <w:lang w:eastAsia="zh-CN"/>
        </w:rPr>
        <w:t>商引资</w:t>
      </w:r>
      <w:r>
        <w:rPr>
          <w:rFonts w:ascii="仿宋_GB2312" w:hAnsi="仿宋_GB2312" w:eastAsia="仿宋_GB2312"/>
          <w:sz w:val="32"/>
        </w:rPr>
        <w:t>发展规划和年度计划，负责组织、协调、推进跨地区重大招</w:t>
      </w:r>
      <w:r>
        <w:rPr>
          <w:rFonts w:hint="eastAsia" w:ascii="仿宋_GB2312" w:hAnsi="仿宋_GB2312" w:eastAsia="仿宋_GB2312"/>
          <w:sz w:val="32"/>
          <w:lang w:eastAsia="zh-CN"/>
        </w:rPr>
        <w:t>商引资</w:t>
      </w:r>
      <w:r>
        <w:rPr>
          <w:rFonts w:ascii="仿宋_GB2312" w:hAnsi="仿宋_GB2312" w:eastAsia="仿宋_GB2312"/>
          <w:sz w:val="32"/>
        </w:rPr>
        <w:t>活动；牵头组织地区性境内、境外各类招商活动；指导、协调地区有关部门、单位和各开发区、县市的招</w:t>
      </w:r>
      <w:r>
        <w:rPr>
          <w:rFonts w:hint="eastAsia" w:ascii="仿宋_GB2312" w:hAnsi="仿宋_GB2312" w:eastAsia="仿宋_GB2312"/>
          <w:sz w:val="32"/>
          <w:lang w:eastAsia="zh-CN"/>
        </w:rPr>
        <w:t>商引资</w:t>
      </w:r>
      <w:r>
        <w:rPr>
          <w:rFonts w:ascii="仿宋_GB2312" w:hAnsi="仿宋_GB2312" w:eastAsia="仿宋_GB2312"/>
          <w:sz w:val="32"/>
        </w:rPr>
        <w:t>工作；完善招</w:t>
      </w:r>
      <w:r>
        <w:rPr>
          <w:rFonts w:hint="eastAsia" w:ascii="仿宋_GB2312" w:hAnsi="仿宋_GB2312" w:eastAsia="仿宋_GB2312"/>
          <w:sz w:val="32"/>
          <w:lang w:eastAsia="zh-CN"/>
        </w:rPr>
        <w:t>商引资</w:t>
      </w:r>
      <w:r>
        <w:rPr>
          <w:rFonts w:ascii="仿宋_GB2312" w:hAnsi="仿宋_GB2312" w:eastAsia="仿宋_GB2312"/>
          <w:sz w:val="32"/>
        </w:rPr>
        <w:t>服务体系，协调改善地区营商环境。</w:t>
      </w:r>
    </w:p>
    <w:p w14:paraId="1F650670">
      <w:pPr>
        <w:spacing w:line="580" w:lineRule="exact"/>
        <w:ind w:firstLine="640"/>
        <w:jc w:val="both"/>
      </w:pPr>
      <w:r>
        <w:rPr>
          <w:rFonts w:ascii="仿宋_GB2312" w:hAnsi="仿宋_GB2312" w:eastAsia="仿宋_GB2312"/>
          <w:sz w:val="32"/>
        </w:rPr>
        <w:t>（3）负责对地区招</w:t>
      </w:r>
      <w:r>
        <w:rPr>
          <w:rFonts w:hint="eastAsia" w:ascii="仿宋_GB2312" w:hAnsi="仿宋_GB2312" w:eastAsia="仿宋_GB2312"/>
          <w:sz w:val="32"/>
          <w:lang w:eastAsia="zh-CN"/>
        </w:rPr>
        <w:t>商引资</w:t>
      </w:r>
      <w:r>
        <w:rPr>
          <w:rFonts w:ascii="仿宋_GB2312" w:hAnsi="仿宋_GB2312" w:eastAsia="仿宋_GB2312"/>
          <w:sz w:val="32"/>
        </w:rPr>
        <w:t>年度目标任务的分解、统计、检查、督促；牵头组织对招</w:t>
      </w:r>
      <w:r>
        <w:rPr>
          <w:rFonts w:hint="eastAsia" w:ascii="仿宋_GB2312" w:hAnsi="仿宋_GB2312" w:eastAsia="仿宋_GB2312"/>
          <w:sz w:val="32"/>
          <w:lang w:eastAsia="zh-CN"/>
        </w:rPr>
        <w:t>商引资</w:t>
      </w:r>
      <w:r>
        <w:rPr>
          <w:rFonts w:ascii="仿宋_GB2312" w:hAnsi="仿宋_GB2312" w:eastAsia="仿宋_GB2312"/>
          <w:sz w:val="32"/>
        </w:rPr>
        <w:t>工作进行评价考核；牵头组织对外投资项目引荐人奖励的审核、兑现工作。</w:t>
      </w:r>
    </w:p>
    <w:p w14:paraId="5CEB0B6C">
      <w:pPr>
        <w:spacing w:line="580" w:lineRule="exact"/>
        <w:ind w:firstLine="640"/>
        <w:jc w:val="both"/>
      </w:pPr>
      <w:r>
        <w:rPr>
          <w:rFonts w:ascii="仿宋_GB2312" w:hAnsi="仿宋_GB2312" w:eastAsia="仿宋_GB2312"/>
          <w:sz w:val="32"/>
        </w:rPr>
        <w:t>（4）负责地区招</w:t>
      </w:r>
      <w:r>
        <w:rPr>
          <w:rFonts w:hint="eastAsia" w:ascii="仿宋_GB2312" w:hAnsi="仿宋_GB2312" w:eastAsia="仿宋_GB2312"/>
          <w:sz w:val="32"/>
          <w:lang w:eastAsia="zh-CN"/>
        </w:rPr>
        <w:t>商引资</w:t>
      </w:r>
      <w:r>
        <w:rPr>
          <w:rFonts w:ascii="仿宋_GB2312" w:hAnsi="仿宋_GB2312" w:eastAsia="仿宋_GB2312"/>
          <w:sz w:val="32"/>
        </w:rPr>
        <w:t>工作的调研和招</w:t>
      </w:r>
      <w:r>
        <w:rPr>
          <w:rFonts w:hint="eastAsia" w:ascii="仿宋_GB2312" w:hAnsi="仿宋_GB2312" w:eastAsia="仿宋_GB2312"/>
          <w:sz w:val="32"/>
          <w:lang w:eastAsia="zh-CN"/>
        </w:rPr>
        <w:t>商引资</w:t>
      </w:r>
      <w:r>
        <w:rPr>
          <w:rFonts w:ascii="仿宋_GB2312" w:hAnsi="仿宋_GB2312" w:eastAsia="仿宋_GB2312"/>
          <w:sz w:val="32"/>
        </w:rPr>
        <w:t>项目的统计、汇总、上报工作；负责拟定和分配年度招商任务指标；牵头组织招商项目到位资金的考核认定；负责对招商奖惩办法的审查及兑现落实工作。</w:t>
      </w:r>
    </w:p>
    <w:p w14:paraId="63F03267">
      <w:pPr>
        <w:spacing w:line="580" w:lineRule="exact"/>
        <w:ind w:firstLine="640"/>
        <w:jc w:val="both"/>
      </w:pPr>
      <w:r>
        <w:rPr>
          <w:rFonts w:ascii="仿宋_GB2312" w:hAnsi="仿宋_GB2312" w:eastAsia="仿宋_GB2312"/>
          <w:sz w:val="32"/>
        </w:rPr>
        <w:t>（5）负责地区招商网络建设，建立地区招商信息管理系统，重要客商信息资源库、招商小组管理信息库、外来投资企业服务信息库；负责对外宣传地区综合投资环境、招商优势和优惠政策，做好引资项目的推介工作；参与重大招商项目的前期调研、政策的拟定和落实等工作；参与有关部门督促外来投资企业执行有关政策及履行合同、章程。</w:t>
      </w:r>
    </w:p>
    <w:p w14:paraId="74E1B29A">
      <w:pPr>
        <w:spacing w:line="580" w:lineRule="exact"/>
        <w:ind w:firstLine="640"/>
        <w:jc w:val="both"/>
      </w:pPr>
      <w:r>
        <w:rPr>
          <w:rFonts w:ascii="仿宋_GB2312" w:hAnsi="仿宋_GB2312" w:eastAsia="仿宋_GB2312"/>
          <w:sz w:val="32"/>
        </w:rPr>
        <w:t>（6）组织开展审核招</w:t>
      </w:r>
      <w:r>
        <w:rPr>
          <w:rFonts w:hint="eastAsia" w:ascii="仿宋_GB2312" w:hAnsi="仿宋_GB2312" w:eastAsia="仿宋_GB2312"/>
          <w:sz w:val="32"/>
          <w:lang w:eastAsia="zh-CN"/>
        </w:rPr>
        <w:t>商引资</w:t>
      </w:r>
      <w:r>
        <w:rPr>
          <w:rFonts w:ascii="仿宋_GB2312" w:hAnsi="仿宋_GB2312" w:eastAsia="仿宋_GB2312"/>
          <w:sz w:val="32"/>
        </w:rPr>
        <w:t>重大协议、合同、章程中的法律问题及</w:t>
      </w:r>
      <w:r>
        <w:rPr>
          <w:rFonts w:hint="eastAsia" w:ascii="仿宋_GB2312" w:hAnsi="仿宋_GB2312" w:eastAsia="仿宋_GB2312"/>
          <w:sz w:val="32"/>
          <w:lang w:eastAsia="zh-CN"/>
        </w:rPr>
        <w:t>重大</w:t>
      </w:r>
      <w:r>
        <w:rPr>
          <w:rFonts w:ascii="仿宋_GB2312" w:hAnsi="仿宋_GB2312" w:eastAsia="仿宋_GB2312"/>
          <w:sz w:val="32"/>
        </w:rPr>
        <w:t>争议项目的研究协调；参与并协助举办地区确定的其他有关区内外经贸洽谈会、推介会、展览会。</w:t>
      </w:r>
    </w:p>
    <w:p w14:paraId="1DEF6647">
      <w:pPr>
        <w:spacing w:line="580" w:lineRule="exact"/>
        <w:ind w:firstLine="640"/>
        <w:jc w:val="both"/>
      </w:pPr>
      <w:r>
        <w:rPr>
          <w:rFonts w:ascii="仿宋_GB2312" w:hAnsi="仿宋_GB2312" w:eastAsia="仿宋_GB2312"/>
          <w:sz w:val="32"/>
        </w:rPr>
        <w:t>（7）指导各县市招商主管部门招商业务工作，牵头组织相关招商人员的教育培训。</w:t>
      </w:r>
    </w:p>
    <w:p w14:paraId="3A74AF4F">
      <w:pPr>
        <w:spacing w:line="580" w:lineRule="exact"/>
        <w:ind w:firstLine="640"/>
        <w:jc w:val="both"/>
      </w:pPr>
      <w:r>
        <w:rPr>
          <w:rFonts w:ascii="仿宋_GB2312" w:hAnsi="仿宋_GB2312" w:eastAsia="仿宋_GB2312"/>
          <w:sz w:val="32"/>
        </w:rPr>
        <w:t>（8）负责地区会展业促进与管理工作。</w:t>
      </w:r>
    </w:p>
    <w:p w14:paraId="081E2C9A">
      <w:pPr>
        <w:spacing w:line="580" w:lineRule="exact"/>
        <w:ind w:firstLine="640"/>
        <w:jc w:val="both"/>
      </w:pPr>
      <w:r>
        <w:rPr>
          <w:rFonts w:ascii="仿宋_GB2312" w:hAnsi="仿宋_GB2312" w:eastAsia="仿宋_GB2312"/>
          <w:sz w:val="32"/>
        </w:rPr>
        <w:t>（9）负责境内有关企业在喀什设立办事处的审核备案工作，联系指导驻外办事机构招</w:t>
      </w:r>
      <w:r>
        <w:rPr>
          <w:rFonts w:hint="eastAsia" w:ascii="仿宋_GB2312" w:hAnsi="仿宋_GB2312" w:eastAsia="仿宋_GB2312"/>
          <w:sz w:val="32"/>
          <w:lang w:eastAsia="zh-CN"/>
        </w:rPr>
        <w:t>商引资</w:t>
      </w:r>
      <w:r>
        <w:rPr>
          <w:rFonts w:ascii="仿宋_GB2312" w:hAnsi="仿宋_GB2312" w:eastAsia="仿宋_GB2312"/>
          <w:sz w:val="32"/>
        </w:rPr>
        <w:t>业务。</w:t>
      </w:r>
    </w:p>
    <w:p w14:paraId="13B8A745">
      <w:pPr>
        <w:spacing w:line="580" w:lineRule="exact"/>
        <w:ind w:firstLine="640"/>
        <w:jc w:val="both"/>
      </w:pPr>
      <w:r>
        <w:rPr>
          <w:rFonts w:ascii="仿宋_GB2312" w:hAnsi="仿宋_GB2312" w:eastAsia="仿宋_GB2312"/>
          <w:sz w:val="32"/>
        </w:rPr>
        <w:t>（10）完成地委、行署交办的其他任务。</w:t>
      </w:r>
    </w:p>
    <w:p w14:paraId="194443BC">
      <w:pPr>
        <w:spacing w:line="640" w:lineRule="exact"/>
        <w:ind w:firstLine="640"/>
        <w:jc w:val="both"/>
        <w:outlineLvl w:val="2"/>
      </w:pPr>
      <w:r>
        <w:rPr>
          <w:rFonts w:ascii="黑体" w:hAnsi="黑体" w:eastAsia="黑体"/>
          <w:sz w:val="32"/>
        </w:rPr>
        <w:t>二、机构设置及人员情况</w:t>
      </w:r>
    </w:p>
    <w:p w14:paraId="08C04C23">
      <w:pPr>
        <w:spacing w:line="580" w:lineRule="exact"/>
        <w:ind w:firstLine="640"/>
        <w:jc w:val="both"/>
      </w:pPr>
      <w:r>
        <w:rPr>
          <w:rFonts w:ascii="仿宋_GB2312" w:hAnsi="仿宋_GB2312" w:eastAsia="仿宋_GB2312"/>
          <w:sz w:val="32"/>
        </w:rPr>
        <w:t>新疆维吾尔自治区喀什地区招商局2024年度，实有人数13人，其中：在职人员11人，增加2人；离休人员0人，增加0人；退休人员2人,增加0人。</w:t>
      </w:r>
    </w:p>
    <w:p w14:paraId="530EC1EE">
      <w:pPr>
        <w:spacing w:line="580" w:lineRule="exact"/>
        <w:ind w:firstLine="640"/>
        <w:jc w:val="both"/>
      </w:pPr>
      <w:r>
        <w:rPr>
          <w:rFonts w:ascii="仿宋_GB2312" w:hAnsi="仿宋_GB2312" w:eastAsia="仿宋_GB2312"/>
          <w:sz w:val="32"/>
        </w:rPr>
        <w:t>新疆维吾尔自治区喀什地区招商局无下属预算单位，下设3个科室，分别是：办公室、投资促进科、综合信息科。</w:t>
      </w:r>
    </w:p>
    <w:p w14:paraId="2AC1FB4B">
      <w:r>
        <w:br w:type="page"/>
      </w:r>
    </w:p>
    <w:p w14:paraId="065E263D">
      <w:pPr>
        <w:spacing w:line="240" w:lineRule="auto"/>
        <w:jc w:val="center"/>
        <w:outlineLvl w:val="1"/>
      </w:pPr>
      <w:r>
        <w:rPr>
          <w:rFonts w:ascii="黑体" w:hAnsi="黑体" w:eastAsia="黑体"/>
          <w:sz w:val="32"/>
        </w:rPr>
        <w:t>第二部分 部门决算情况说明</w:t>
      </w:r>
    </w:p>
    <w:p w14:paraId="38854392">
      <w:pPr>
        <w:spacing w:line="640" w:lineRule="exact"/>
        <w:ind w:firstLine="640"/>
        <w:jc w:val="both"/>
        <w:outlineLvl w:val="2"/>
      </w:pPr>
      <w:r>
        <w:rPr>
          <w:rFonts w:ascii="黑体" w:hAnsi="黑体" w:eastAsia="黑体"/>
          <w:sz w:val="32"/>
        </w:rPr>
        <w:t>一、收入支出决算总体情况说明</w:t>
      </w:r>
    </w:p>
    <w:p w14:paraId="59AC50D8">
      <w:pPr>
        <w:spacing w:line="580" w:lineRule="exact"/>
        <w:ind w:firstLine="640"/>
        <w:jc w:val="both"/>
      </w:pPr>
      <w:r>
        <w:rPr>
          <w:rFonts w:ascii="仿宋_GB2312" w:hAnsi="仿宋_GB2312" w:eastAsia="仿宋_GB2312"/>
          <w:b/>
          <w:sz w:val="32"/>
        </w:rPr>
        <w:t>2024年度收入总计1,260.54万元，</w:t>
      </w:r>
      <w:r>
        <w:rPr>
          <w:rFonts w:ascii="仿宋_GB2312" w:hAnsi="仿宋_GB2312" w:eastAsia="仿宋_GB2312"/>
          <w:b w:val="0"/>
          <w:sz w:val="32"/>
        </w:rPr>
        <w:t>其中：本年收入合计1,253.80万元，使用非财政拨款结余（含专用结余）0.00万元，年初结转和结余6.75万元。</w:t>
      </w:r>
    </w:p>
    <w:p w14:paraId="5CEB19C8">
      <w:pPr>
        <w:spacing w:line="580" w:lineRule="exact"/>
        <w:ind w:firstLine="640"/>
        <w:jc w:val="both"/>
      </w:pPr>
      <w:r>
        <w:rPr>
          <w:rFonts w:ascii="仿宋_GB2312" w:hAnsi="仿宋_GB2312" w:eastAsia="仿宋_GB2312"/>
          <w:b/>
          <w:sz w:val="32"/>
        </w:rPr>
        <w:t>2024年度支出总计1,260.54万元，</w:t>
      </w:r>
      <w:r>
        <w:rPr>
          <w:rFonts w:ascii="仿宋_GB2312" w:hAnsi="仿宋_GB2312" w:eastAsia="仿宋_GB2312"/>
          <w:b w:val="0"/>
          <w:sz w:val="32"/>
        </w:rPr>
        <w:t>其中：本年支出合计1,260.54万元，结余分配0.00万元，年末结转和结余0.00万元。</w:t>
      </w:r>
    </w:p>
    <w:p w14:paraId="5DBC357A">
      <w:pPr>
        <w:spacing w:line="580" w:lineRule="exact"/>
        <w:ind w:firstLine="640"/>
        <w:jc w:val="both"/>
      </w:pPr>
      <w:r>
        <w:rPr>
          <w:rFonts w:ascii="仿宋_GB2312" w:hAnsi="仿宋_GB2312" w:eastAsia="仿宋_GB2312"/>
          <w:b w:val="0"/>
          <w:sz w:val="32"/>
        </w:rPr>
        <w:t>收入支出总体与上年相比，增加515.32万元，增长69.15%，主要原因是：本年增加驻点招商业务经费；本年度增加广东援疆产业招商经费；本年在职人员增加，在职人员工资调增、社保、公积金基数调增，人员经费增加。</w:t>
      </w:r>
    </w:p>
    <w:p w14:paraId="0419AF1C">
      <w:pPr>
        <w:spacing w:line="640" w:lineRule="exact"/>
        <w:ind w:firstLine="640"/>
        <w:jc w:val="both"/>
        <w:outlineLvl w:val="2"/>
      </w:pPr>
      <w:r>
        <w:rPr>
          <w:rFonts w:ascii="黑体" w:hAnsi="黑体" w:eastAsia="黑体"/>
          <w:sz w:val="32"/>
        </w:rPr>
        <w:t>二、收入决算情况说明</w:t>
      </w:r>
    </w:p>
    <w:p w14:paraId="1E122A18">
      <w:pPr>
        <w:spacing w:line="580" w:lineRule="exact"/>
        <w:ind w:firstLine="640"/>
        <w:jc w:val="both"/>
      </w:pPr>
      <w:r>
        <w:rPr>
          <w:rFonts w:ascii="仿宋_GB2312" w:hAnsi="仿宋_GB2312" w:eastAsia="仿宋_GB2312"/>
          <w:b/>
          <w:sz w:val="32"/>
        </w:rPr>
        <w:t>本年收入1,253.80万元，</w:t>
      </w:r>
      <w:r>
        <w:rPr>
          <w:rFonts w:ascii="仿宋_GB2312" w:hAnsi="仿宋_GB2312" w:eastAsia="仿宋_GB2312"/>
          <w:b w:val="0"/>
          <w:sz w:val="32"/>
        </w:rPr>
        <w:t>其中：财政拨款收入1,094.99万元，占87.33%；上级补助收入0.00万元，占0.00%；事业收入0.00万元，占0.00%；经营收入0.00万元，占0.00%；附属单位上缴收入0.00万元，占0.00%；其他收入158.81万元，占12.67%。</w:t>
      </w:r>
    </w:p>
    <w:p w14:paraId="40D48045">
      <w:pPr>
        <w:spacing w:line="640" w:lineRule="exact"/>
        <w:ind w:firstLine="640"/>
        <w:jc w:val="both"/>
        <w:outlineLvl w:val="2"/>
      </w:pPr>
      <w:r>
        <w:rPr>
          <w:rFonts w:ascii="黑体" w:hAnsi="黑体" w:eastAsia="黑体"/>
          <w:sz w:val="32"/>
        </w:rPr>
        <w:t>三、支出决算情况说明</w:t>
      </w:r>
    </w:p>
    <w:p w14:paraId="7D6ADBC0">
      <w:pPr>
        <w:spacing w:line="580" w:lineRule="exact"/>
        <w:ind w:firstLine="640"/>
        <w:jc w:val="both"/>
      </w:pPr>
      <w:r>
        <w:rPr>
          <w:rFonts w:ascii="仿宋_GB2312" w:hAnsi="仿宋_GB2312" w:eastAsia="仿宋_GB2312"/>
          <w:b/>
          <w:sz w:val="32"/>
        </w:rPr>
        <w:t>本年支出1,260.54万元，</w:t>
      </w:r>
      <w:r>
        <w:rPr>
          <w:rFonts w:ascii="仿宋_GB2312" w:hAnsi="仿宋_GB2312" w:eastAsia="仿宋_GB2312"/>
          <w:b w:val="0"/>
          <w:sz w:val="32"/>
        </w:rPr>
        <w:t>其中：基本支出246.62万元，占19.56%；项目支出1,013.93万元，占80.44%；上缴上级支出0.00万元，占0.00%；经营支出0.00万元，占0.00%；对附属单位补助支出0.00万元，占0.00%。</w:t>
      </w:r>
    </w:p>
    <w:p w14:paraId="4DEAA859">
      <w:pPr>
        <w:spacing w:line="640" w:lineRule="exact"/>
        <w:ind w:firstLine="640"/>
        <w:jc w:val="both"/>
        <w:outlineLvl w:val="2"/>
      </w:pPr>
      <w:r>
        <w:rPr>
          <w:rFonts w:ascii="黑体" w:hAnsi="黑体" w:eastAsia="黑体"/>
          <w:sz w:val="32"/>
        </w:rPr>
        <w:t>四、财政拨款收入支出决算总体情况说明</w:t>
      </w:r>
    </w:p>
    <w:p w14:paraId="6529E292">
      <w:pPr>
        <w:spacing w:line="580" w:lineRule="exact"/>
        <w:ind w:firstLine="640"/>
        <w:jc w:val="both"/>
      </w:pPr>
      <w:r>
        <w:rPr>
          <w:rFonts w:ascii="仿宋_GB2312" w:hAnsi="仿宋_GB2312" w:eastAsia="仿宋_GB2312"/>
          <w:b/>
          <w:sz w:val="32"/>
        </w:rPr>
        <w:t>2024年度财政拨款收入总计1,094.99万元，</w:t>
      </w:r>
      <w:r>
        <w:rPr>
          <w:rFonts w:ascii="仿宋_GB2312" w:hAnsi="仿宋_GB2312" w:eastAsia="仿宋_GB2312"/>
          <w:b w:val="0"/>
          <w:sz w:val="32"/>
        </w:rPr>
        <w:t>其中：年初财政拨款结转和结余0.00万元，本年财政拨款收入1,094.99万元。</w:t>
      </w:r>
      <w:r>
        <w:rPr>
          <w:rFonts w:ascii="仿宋_GB2312" w:hAnsi="仿宋_GB2312" w:eastAsia="仿宋_GB2312"/>
          <w:b/>
          <w:sz w:val="32"/>
        </w:rPr>
        <w:t>财政拨款支出总计1,094.99万元，</w:t>
      </w:r>
      <w:r>
        <w:rPr>
          <w:rFonts w:ascii="仿宋_GB2312" w:hAnsi="仿宋_GB2312" w:eastAsia="仿宋_GB2312"/>
          <w:b w:val="0"/>
          <w:sz w:val="32"/>
        </w:rPr>
        <w:t>其中：年末财政拨款结转和结余0.00万元，本年财政拨款支出1,094.99万元。</w:t>
      </w:r>
    </w:p>
    <w:p w14:paraId="3614BBC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增加509.77万元，增长87.11%，主要原因是：本年增加驻点招商业务经费；本年度增加广东援疆产业招商经费；本年在职人员增加，在职人员工资调增、社保、公积金基数调增，人员经费增加。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年初预算数1,089.28万元，决算数1,094.99万元，预决算差异率0.52%，主要原因是：本年在职人员增加，年中追加人员经费及人员工资、社保、公积金基数调增部分资金，导致预决算存在差异。</w:t>
      </w:r>
    </w:p>
    <w:p w14:paraId="62E39F8F">
      <w:pPr>
        <w:spacing w:line="640" w:lineRule="exact"/>
        <w:ind w:firstLine="640"/>
        <w:jc w:val="both"/>
        <w:outlineLvl w:val="2"/>
      </w:pPr>
      <w:r>
        <w:rPr>
          <w:rFonts w:ascii="黑体" w:hAnsi="黑体" w:eastAsia="黑体"/>
          <w:sz w:val="32"/>
        </w:rPr>
        <w:t>五、一般公共预算财政拨款支出决算情况说明</w:t>
      </w:r>
    </w:p>
    <w:p w14:paraId="054874C8">
      <w:pPr>
        <w:spacing w:line="640" w:lineRule="exact"/>
        <w:ind w:firstLine="640"/>
        <w:jc w:val="both"/>
        <w:outlineLvl w:val="3"/>
      </w:pPr>
      <w:r>
        <w:rPr>
          <w:rFonts w:ascii="楷体_GB2312" w:hAnsi="楷体_GB2312" w:eastAsia="楷体_GB2312"/>
          <w:b/>
          <w:sz w:val="32"/>
        </w:rPr>
        <w:t>（一）一般公共预算财政拨款支出决算总体情况</w:t>
      </w:r>
    </w:p>
    <w:p w14:paraId="5864046A">
      <w:pPr>
        <w:spacing w:line="580" w:lineRule="exact"/>
        <w:ind w:firstLine="640"/>
        <w:jc w:val="both"/>
      </w:pPr>
      <w:r>
        <w:rPr>
          <w:rFonts w:ascii="仿宋_GB2312" w:hAnsi="仿宋_GB2312" w:eastAsia="仿宋_GB2312"/>
          <w:b/>
          <w:sz w:val="32"/>
        </w:rPr>
        <w:t>2024年度一般公共预算财政拨款支出1,094.99万元，</w:t>
      </w:r>
      <w:r>
        <w:rPr>
          <w:rFonts w:ascii="仿宋_GB2312" w:hAnsi="仿宋_GB2312" w:eastAsia="仿宋_GB2312"/>
          <w:b w:val="0"/>
          <w:sz w:val="32"/>
        </w:rPr>
        <w:t>占本年支出合计的86.87%。</w:t>
      </w:r>
      <w:r>
        <w:rPr>
          <w:rFonts w:ascii="仿宋_GB2312" w:hAnsi="仿宋_GB2312" w:eastAsia="仿宋_GB2312"/>
          <w:b/>
          <w:sz w:val="32"/>
        </w:rPr>
        <w:t>与上年相比，</w:t>
      </w:r>
      <w:r>
        <w:rPr>
          <w:rFonts w:ascii="仿宋_GB2312" w:hAnsi="仿宋_GB2312" w:eastAsia="仿宋_GB2312"/>
          <w:b w:val="0"/>
          <w:sz w:val="32"/>
        </w:rPr>
        <w:t>增加509.77万元，增长87.11%，主要原因是：本年增加驻点招商业务经费；本年度增加广东援疆产业招商经费；本年在职人员增加，在职人员工资调增、社保、公积金基数调增，人员经费增加。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年初预算数1,089.28万元，决算数1,094.99万元，预决算差异率0.52%，主要原因是：本年在职人员增加，年中追加人员经费及人员工资、社保、公积金基数调增部分资金，导致预决算存在差异。</w:t>
      </w:r>
    </w:p>
    <w:p w14:paraId="246814B0">
      <w:pPr>
        <w:spacing w:line="640" w:lineRule="exact"/>
        <w:ind w:firstLine="640"/>
        <w:jc w:val="both"/>
        <w:outlineLvl w:val="3"/>
      </w:pPr>
      <w:r>
        <w:rPr>
          <w:rFonts w:ascii="楷体_GB2312" w:hAnsi="楷体_GB2312" w:eastAsia="楷体_GB2312"/>
          <w:b/>
          <w:sz w:val="32"/>
        </w:rPr>
        <w:t>（二）一般公共预算财政拨款支出决算结构情况</w:t>
      </w:r>
    </w:p>
    <w:p w14:paraId="23C1A999">
      <w:pPr>
        <w:spacing w:line="580" w:lineRule="exact"/>
        <w:ind w:firstLine="640"/>
        <w:jc w:val="both"/>
      </w:pPr>
      <w:r>
        <w:rPr>
          <w:rFonts w:ascii="仿宋_GB2312" w:hAnsi="仿宋_GB2312" w:eastAsia="仿宋_GB2312"/>
          <w:b w:val="0"/>
          <w:sz w:val="32"/>
        </w:rPr>
        <w:t>1.一般公共服务支出(类)1,034.65万元,占94.49%。</w:t>
      </w:r>
    </w:p>
    <w:p w14:paraId="25303F14">
      <w:pPr>
        <w:spacing w:line="580" w:lineRule="exact"/>
        <w:ind w:firstLine="640"/>
        <w:jc w:val="both"/>
      </w:pPr>
      <w:r>
        <w:rPr>
          <w:rFonts w:ascii="仿宋_GB2312" w:hAnsi="仿宋_GB2312" w:eastAsia="仿宋_GB2312"/>
          <w:b w:val="0"/>
          <w:sz w:val="32"/>
        </w:rPr>
        <w:t>2.社会保障和就业支出(类)32.30万元,占2.95%。</w:t>
      </w:r>
    </w:p>
    <w:p w14:paraId="0189D143">
      <w:pPr>
        <w:spacing w:line="580" w:lineRule="exact"/>
        <w:ind w:firstLine="640"/>
        <w:jc w:val="both"/>
      </w:pPr>
      <w:r>
        <w:rPr>
          <w:rFonts w:ascii="仿宋_GB2312" w:hAnsi="仿宋_GB2312" w:eastAsia="仿宋_GB2312"/>
          <w:b w:val="0"/>
          <w:sz w:val="32"/>
        </w:rPr>
        <w:t>3.卫生健康支出(类)10.99万元,占1.00%。</w:t>
      </w:r>
    </w:p>
    <w:p w14:paraId="3150BE08">
      <w:pPr>
        <w:spacing w:line="580" w:lineRule="exact"/>
        <w:ind w:firstLine="640"/>
        <w:jc w:val="both"/>
      </w:pPr>
      <w:r>
        <w:rPr>
          <w:rFonts w:ascii="仿宋_GB2312" w:hAnsi="仿宋_GB2312" w:eastAsia="仿宋_GB2312"/>
          <w:b w:val="0"/>
          <w:sz w:val="32"/>
        </w:rPr>
        <w:t>4.住房保障支出(类)17.05万元,占1.56%。</w:t>
      </w:r>
    </w:p>
    <w:p w14:paraId="02990ACA">
      <w:pPr>
        <w:spacing w:line="640" w:lineRule="exact"/>
        <w:ind w:firstLine="640"/>
        <w:jc w:val="both"/>
        <w:outlineLvl w:val="3"/>
      </w:pPr>
      <w:r>
        <w:rPr>
          <w:rFonts w:ascii="楷体_GB2312" w:hAnsi="楷体_GB2312" w:eastAsia="楷体_GB2312"/>
          <w:b/>
          <w:sz w:val="32"/>
        </w:rPr>
        <w:t>（三）一般公共预算财政拨款支出决算具体情况</w:t>
      </w:r>
    </w:p>
    <w:p w14:paraId="545E3717">
      <w:pPr>
        <w:spacing w:line="580" w:lineRule="exact"/>
        <w:ind w:firstLine="640"/>
        <w:jc w:val="both"/>
      </w:pPr>
      <w:r>
        <w:rPr>
          <w:rFonts w:ascii="仿宋_GB2312" w:hAnsi="仿宋_GB2312" w:eastAsia="仿宋_GB2312"/>
          <w:b w:val="0"/>
          <w:sz w:val="32"/>
        </w:rPr>
        <w:t>1.一般公共服务支出(类)商贸事务(款)招商引资(项):支出决算数为1,034.65万元，比上年决算增加492.01万元，增长90.67%,主要原因是：本年增加驻点招商业务经费；本年度增加广东援疆产业招商经费；本年在职人员增加，</w:t>
      </w:r>
      <w:r>
        <w:rPr>
          <w:rFonts w:hint="eastAsia" w:ascii="仿宋_GB2312" w:hAnsi="仿宋_GB2312" w:eastAsia="仿宋_GB2312"/>
          <w:b w:val="0"/>
          <w:sz w:val="32"/>
          <w:lang w:val="en-US" w:eastAsia="zh-CN"/>
        </w:rPr>
        <w:t>相关</w:t>
      </w:r>
      <w:r>
        <w:rPr>
          <w:rFonts w:ascii="仿宋_GB2312" w:hAnsi="仿宋_GB2312" w:eastAsia="仿宋_GB2312"/>
          <w:b w:val="0"/>
          <w:sz w:val="32"/>
        </w:rPr>
        <w:t>人员经费增加。</w:t>
      </w:r>
    </w:p>
    <w:p w14:paraId="2B603355">
      <w:pPr>
        <w:spacing w:line="580" w:lineRule="exact"/>
        <w:ind w:firstLine="640"/>
        <w:jc w:val="both"/>
      </w:pPr>
      <w:r>
        <w:rPr>
          <w:rFonts w:ascii="仿宋_GB2312" w:hAnsi="仿宋_GB2312" w:eastAsia="仿宋_GB2312"/>
          <w:b w:val="0"/>
          <w:sz w:val="32"/>
        </w:rPr>
        <w:t>2.一般公共服务支出(类)组织事务(款)其他组织事务支出(项):支出决算数为0.00万元，比上年决算减少0.69万元，下降100.00%,主要原因是：本年度援疆干部生活补助减少，导致经费较上年减少。</w:t>
      </w:r>
    </w:p>
    <w:p w14:paraId="0FE828D5">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3.社会保障和就业支出(类)行政事业单位养老支出(款)行政单位离退休(项):支出决算数为3.89万元，比上年决算增加0.86万元，增长28.38%,主要原因是：本年增加退休人员基础绩效奖，退休费支出增加。</w:t>
      </w:r>
    </w:p>
    <w:p w14:paraId="09434B02">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20.72万元，比上年决算增加5.07万元，增长32.40%,主要原因是：本年在职人员增加，养老保险缴费较上年增加。</w:t>
      </w:r>
    </w:p>
    <w:p w14:paraId="67789DE9">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7.69万元，比上年决算增加7.61万元，增长9,512.50%,主要原因是：本年为调出到其他地区人员缴纳职业年金，导致机关事业单位职业年金缴费支出较上年增加。</w:t>
      </w:r>
    </w:p>
    <w:p w14:paraId="12618AF6">
      <w:pPr>
        <w:spacing w:line="580" w:lineRule="exact"/>
        <w:ind w:firstLine="640"/>
        <w:jc w:val="both"/>
      </w:pPr>
      <w:r>
        <w:rPr>
          <w:rFonts w:ascii="仿宋_GB2312" w:hAnsi="仿宋_GB2312" w:eastAsia="仿宋_GB2312"/>
          <w:b w:val="0"/>
          <w:sz w:val="32"/>
        </w:rPr>
        <w:t>6.卫生健康支出(类)行政事业单位医疗(款)行政单位医疗(项):支出决算数为8.62万元，比上年决算增加2.10万元，增长32.21%,主要原因是：本年在职人员增加，行政单位医疗支出较上年增加。</w:t>
      </w:r>
    </w:p>
    <w:p w14:paraId="3426F17B">
      <w:pPr>
        <w:spacing w:line="580" w:lineRule="exact"/>
        <w:ind w:firstLine="640"/>
        <w:jc w:val="both"/>
      </w:pPr>
      <w:r>
        <w:rPr>
          <w:rFonts w:ascii="仿宋_GB2312" w:hAnsi="仿宋_GB2312" w:eastAsia="仿宋_GB2312"/>
          <w:b w:val="0"/>
          <w:sz w:val="32"/>
        </w:rPr>
        <w:t>7.卫生健康支出(类)行政事业单位医疗(款)公务员医疗补助(项):支出决算数为2.36万元，比上年决算增加0.44万元，增长22.92%,主要原因是：本年在职人员增加，公务员医疗补助较上年增加。</w:t>
      </w:r>
    </w:p>
    <w:p w14:paraId="6534A300">
      <w:pPr>
        <w:spacing w:line="580" w:lineRule="exact"/>
        <w:ind w:firstLine="640"/>
        <w:jc w:val="both"/>
      </w:pPr>
      <w:r>
        <w:rPr>
          <w:rFonts w:ascii="仿宋_GB2312" w:hAnsi="仿宋_GB2312" w:eastAsia="仿宋_GB2312"/>
          <w:b w:val="0"/>
          <w:sz w:val="32"/>
        </w:rPr>
        <w:t>8.住房保障支出(类)住房改革支出(款)住房公积金(项):支出决算数为17.05万元，比上年决算增加3.52万元，增长26.02%,主要原因是：本年在职人员增加，住房公积金支出较上年增加。</w:t>
      </w:r>
    </w:p>
    <w:p w14:paraId="4517E4D1">
      <w:pPr>
        <w:spacing w:line="580" w:lineRule="exact"/>
        <w:ind w:firstLine="640"/>
        <w:jc w:val="both"/>
      </w:pPr>
      <w:r>
        <w:rPr>
          <w:rFonts w:ascii="仿宋_GB2312" w:hAnsi="仿宋_GB2312" w:eastAsia="仿宋_GB2312"/>
          <w:b w:val="0"/>
          <w:sz w:val="32"/>
        </w:rPr>
        <w:t>9.其他支出(类)其他支出(款)其他支出(项):支出决算数为0.00万元，比上年决算减少1.16万元，下降100.00%,主要原因是：本年减少工程建设项目，导致经费支出减少。</w:t>
      </w:r>
    </w:p>
    <w:p w14:paraId="0BBB8207">
      <w:pPr>
        <w:spacing w:line="640" w:lineRule="exact"/>
        <w:ind w:firstLine="640"/>
        <w:jc w:val="both"/>
        <w:outlineLvl w:val="2"/>
      </w:pPr>
      <w:r>
        <w:rPr>
          <w:rFonts w:ascii="黑体" w:hAnsi="黑体" w:eastAsia="黑体"/>
          <w:sz w:val="32"/>
        </w:rPr>
        <w:t>六、一般公共预算财政拨款基本支出决算情况说明</w:t>
      </w:r>
    </w:p>
    <w:p w14:paraId="598D08EA">
      <w:pPr>
        <w:spacing w:line="580" w:lineRule="exact"/>
        <w:ind w:firstLine="640"/>
        <w:jc w:val="both"/>
      </w:pPr>
      <w:r>
        <w:rPr>
          <w:rFonts w:ascii="仿宋_GB2312" w:hAnsi="仿宋_GB2312" w:eastAsia="仿宋_GB2312"/>
          <w:b w:val="0"/>
          <w:sz w:val="32"/>
        </w:rPr>
        <w:t>2024年度一般公共预算财政拨款基本支出246.62万元，其中：</w:t>
      </w:r>
      <w:r>
        <w:rPr>
          <w:rFonts w:ascii="仿宋_GB2312" w:hAnsi="仿宋_GB2312" w:eastAsia="仿宋_GB2312"/>
          <w:b/>
          <w:sz w:val="32"/>
        </w:rPr>
        <w:t>人员经费236.26万元，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14:paraId="09E6EC02">
      <w:pPr>
        <w:spacing w:line="580" w:lineRule="exact"/>
        <w:ind w:firstLine="640"/>
        <w:jc w:val="both"/>
      </w:pPr>
      <w:r>
        <w:rPr>
          <w:rFonts w:ascii="仿宋_GB2312" w:hAnsi="仿宋_GB2312" w:eastAsia="仿宋_GB2312"/>
          <w:b/>
          <w:sz w:val="32"/>
        </w:rPr>
        <w:t>公用经费10.36万元，</w:t>
      </w:r>
      <w:r>
        <w:rPr>
          <w:rFonts w:ascii="仿宋_GB2312" w:hAnsi="仿宋_GB2312" w:eastAsia="仿宋_GB2312"/>
          <w:b w:val="0"/>
          <w:sz w:val="32"/>
        </w:rPr>
        <w:t>包括：办公费、水费、邮电费、差旅费、专用材料费、工会经费、其他交通费用、其他商品和服务支出。</w:t>
      </w:r>
    </w:p>
    <w:p w14:paraId="287FD61E">
      <w:pPr>
        <w:spacing w:line="640" w:lineRule="exact"/>
        <w:ind w:firstLine="640"/>
        <w:jc w:val="both"/>
        <w:outlineLvl w:val="2"/>
      </w:pPr>
      <w:r>
        <w:rPr>
          <w:rFonts w:ascii="黑体" w:hAnsi="黑体" w:eastAsia="黑体"/>
          <w:sz w:val="32"/>
        </w:rPr>
        <w:t>七、政府性基金预算财政拨款收入支出决算情况说明</w:t>
      </w:r>
    </w:p>
    <w:p w14:paraId="5C4BBAE1">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44EF757">
      <w:pPr>
        <w:spacing w:line="640" w:lineRule="exact"/>
        <w:ind w:firstLine="640"/>
        <w:jc w:val="both"/>
        <w:outlineLvl w:val="2"/>
      </w:pPr>
      <w:r>
        <w:rPr>
          <w:rFonts w:ascii="黑体" w:hAnsi="黑体" w:eastAsia="黑体"/>
          <w:sz w:val="32"/>
        </w:rPr>
        <w:t>八、国有资本经营预算财政拨款收入支出决算情况说明</w:t>
      </w:r>
    </w:p>
    <w:p w14:paraId="4B377369">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C361448">
      <w:pPr>
        <w:spacing w:line="640" w:lineRule="exact"/>
        <w:ind w:firstLine="640"/>
        <w:jc w:val="both"/>
        <w:outlineLvl w:val="2"/>
      </w:pPr>
      <w:r>
        <w:rPr>
          <w:rFonts w:ascii="黑体" w:hAnsi="黑体" w:eastAsia="黑体"/>
          <w:sz w:val="32"/>
        </w:rPr>
        <w:t>九、财政拨款“三公”经费支出决算情况说明</w:t>
      </w:r>
    </w:p>
    <w:p w14:paraId="2AC8BFC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比上年减少7.87万元，下降100.00%，主要原因是：本年减少前往乌兹别克斯坦参加中国新疆商品展览会活动项目，因公出国经费减少；本年报废公务用车，公务用车运行维护费减少，导致财政拨款“三公”经费较</w:t>
      </w:r>
      <w:r>
        <w:rPr>
          <w:rFonts w:hint="eastAsia" w:ascii="仿宋_GB2312" w:hAnsi="仿宋_GB2312" w:eastAsia="仿宋_GB2312"/>
          <w:b w:val="0"/>
          <w:sz w:val="32"/>
          <w:lang w:eastAsia="zh-CN"/>
        </w:rPr>
        <w:t>上年</w:t>
      </w:r>
      <w:r>
        <w:rPr>
          <w:rFonts w:ascii="仿宋_GB2312" w:hAnsi="仿宋_GB2312" w:eastAsia="仿宋_GB2312"/>
          <w:b w:val="0"/>
          <w:sz w:val="32"/>
        </w:rPr>
        <w:t>减少。其中：因公出国（境）费支出0.00万元，占0.00%，比上年减少5.77万元，下降100.00%，主要原因是：本年减少前往乌兹别克斯坦参加中国新疆商品展览会活动项目，导致因公出国支出较上年减少。公务用车购置及运行维护费支出0.00万元，占0.00%，比上年减少2.10万元，下降100.00%，主要原因是：本年报废公务用车，导致公务用车运行维护费较上年减少。公务接待费支出0.00万元，占0.00%，比上年增加0.00万元，增长0.00%，主要原因是：2023年与2024年均未安排公务接待费支出。</w:t>
      </w:r>
    </w:p>
    <w:p w14:paraId="1AC34443">
      <w:pPr>
        <w:spacing w:line="580" w:lineRule="exact"/>
        <w:ind w:firstLine="640"/>
        <w:jc w:val="both"/>
      </w:pPr>
      <w:r>
        <w:rPr>
          <w:rFonts w:ascii="仿宋_GB2312" w:hAnsi="仿宋_GB2312" w:eastAsia="仿宋_GB2312"/>
          <w:b/>
          <w:sz w:val="32"/>
        </w:rPr>
        <w:t>具体情况如下：</w:t>
      </w:r>
    </w:p>
    <w:p w14:paraId="7E82002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5671A3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621728A4">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279E53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0.76万元，决算数0.00万元，预决算差异率-100.00%，主要原因是：本年度公务用车报废，无公务用车运行维护费，导致预决算存在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0.76万元，决算数0.00万元，预决算差异率-100.00%，主要原因是：本年度公务用车报废，无公务用车运行维护费，导致预决算存在差异。公务接待费全年预算数0.00万元，决算数0.00万元，预决算差异率0.00%，主要原因是：本部门无公务接待费。</w:t>
      </w:r>
    </w:p>
    <w:p w14:paraId="5B13BC9B">
      <w:pPr>
        <w:spacing w:line="640" w:lineRule="exact"/>
        <w:ind w:firstLine="640"/>
        <w:jc w:val="both"/>
        <w:outlineLvl w:val="2"/>
      </w:pPr>
      <w:r>
        <w:rPr>
          <w:rFonts w:ascii="黑体" w:hAnsi="黑体" w:eastAsia="黑体"/>
          <w:sz w:val="32"/>
        </w:rPr>
        <w:t>十、其他重要事项的情况说明</w:t>
      </w:r>
    </w:p>
    <w:p w14:paraId="76B43B57">
      <w:pPr>
        <w:spacing w:line="640" w:lineRule="exact"/>
        <w:ind w:firstLine="640"/>
        <w:jc w:val="both"/>
        <w:outlineLvl w:val="3"/>
      </w:pPr>
      <w:r>
        <w:rPr>
          <w:rFonts w:ascii="楷体_GB2312" w:hAnsi="楷体_GB2312" w:eastAsia="楷体_GB2312"/>
          <w:b/>
          <w:sz w:val="32"/>
        </w:rPr>
        <w:t>（一）机关运行经费及公用经费支出情况</w:t>
      </w:r>
    </w:p>
    <w:p w14:paraId="32D5D3C6">
      <w:pPr>
        <w:spacing w:line="580" w:lineRule="exact"/>
        <w:ind w:firstLine="640"/>
        <w:jc w:val="both"/>
      </w:pPr>
      <w:r>
        <w:rPr>
          <w:rFonts w:ascii="仿宋_GB2312" w:hAnsi="仿宋_GB2312" w:eastAsia="仿宋_GB2312"/>
          <w:b w:val="0"/>
          <w:sz w:val="32"/>
        </w:rPr>
        <w:t>2024年度新疆维吾尔自治区喀什地区招商局（行政单位和参照公务员法管理事业单位）机关运行经费支出10.36万元，比上年减少0.90万元，下降7.99%，主要原因是：严格执行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w:t>
      </w:r>
      <w:r>
        <w:rPr>
          <w:rFonts w:hint="eastAsia" w:ascii="仿宋_GB2312" w:hAnsi="仿宋_GB2312" w:eastAsia="仿宋_GB2312"/>
          <w:b w:val="0"/>
          <w:sz w:val="32"/>
          <w:lang w:val="en-US" w:eastAsia="zh-CN"/>
        </w:rPr>
        <w:t>减少</w:t>
      </w:r>
      <w:r>
        <w:rPr>
          <w:rFonts w:ascii="仿宋_GB2312" w:hAnsi="仿宋_GB2312" w:eastAsia="仿宋_GB2312"/>
          <w:b w:val="0"/>
          <w:sz w:val="32"/>
        </w:rPr>
        <w:t>经费支出。</w:t>
      </w:r>
    </w:p>
    <w:p w14:paraId="273062B1">
      <w:pPr>
        <w:spacing w:line="640" w:lineRule="exact"/>
        <w:ind w:firstLine="640"/>
        <w:jc w:val="both"/>
        <w:outlineLvl w:val="3"/>
      </w:pPr>
      <w:r>
        <w:rPr>
          <w:rFonts w:ascii="楷体_GB2312" w:hAnsi="楷体_GB2312" w:eastAsia="楷体_GB2312"/>
          <w:b/>
          <w:sz w:val="32"/>
        </w:rPr>
        <w:t>（二）政府采购情况</w:t>
      </w:r>
    </w:p>
    <w:p w14:paraId="0B54416F">
      <w:pPr>
        <w:spacing w:line="580" w:lineRule="exact"/>
        <w:ind w:firstLine="640"/>
        <w:jc w:val="both"/>
      </w:pPr>
      <w:r>
        <w:rPr>
          <w:rFonts w:ascii="仿宋_GB2312" w:hAnsi="仿宋_GB2312" w:eastAsia="仿宋_GB2312"/>
          <w:b w:val="0"/>
          <w:sz w:val="32"/>
        </w:rPr>
        <w:t>2024年度政府采购支出总额551.34万元，其中：政府采购货物支出18.34万元、政府采购工程支出0.00万元、政府采购服务支出533.00万元。</w:t>
      </w:r>
    </w:p>
    <w:p w14:paraId="21C8C746">
      <w:pPr>
        <w:spacing w:line="580" w:lineRule="exact"/>
        <w:ind w:firstLine="640"/>
        <w:jc w:val="both"/>
      </w:pPr>
      <w:r>
        <w:rPr>
          <w:rFonts w:ascii="仿宋_GB2312" w:hAnsi="仿宋_GB2312" w:eastAsia="仿宋_GB2312"/>
          <w:b w:val="0"/>
          <w:sz w:val="32"/>
        </w:rPr>
        <w:t>授予中小企业合同金额544.02万元，占政府采购支出总额的98.67%，其中：授予小微企业合同金额541.09万元，占政府采购支出总额的98.14%。</w:t>
      </w:r>
    </w:p>
    <w:p w14:paraId="4EB1D292">
      <w:pPr>
        <w:spacing w:line="640" w:lineRule="exact"/>
        <w:ind w:firstLine="640"/>
        <w:jc w:val="both"/>
        <w:outlineLvl w:val="3"/>
      </w:pPr>
      <w:r>
        <w:rPr>
          <w:rFonts w:ascii="楷体_GB2312" w:hAnsi="楷体_GB2312" w:eastAsia="楷体_GB2312"/>
          <w:b/>
          <w:sz w:val="32"/>
        </w:rPr>
        <w:t>（三）国有资产占用情况说明</w:t>
      </w:r>
    </w:p>
    <w:p w14:paraId="1729CE13">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2E54FC7B">
      <w:pPr>
        <w:spacing w:line="640" w:lineRule="exact"/>
        <w:ind w:firstLine="640"/>
        <w:jc w:val="both"/>
        <w:outlineLvl w:val="2"/>
      </w:pPr>
      <w:r>
        <w:rPr>
          <w:rFonts w:ascii="黑体" w:hAnsi="黑体" w:eastAsia="黑体"/>
          <w:sz w:val="32"/>
        </w:rPr>
        <w:t>十一、预算绩效的情况说明</w:t>
      </w:r>
    </w:p>
    <w:p w14:paraId="039F5FF0">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1,311.24万元，实际执行总额1,260.54万元；预算绩效评价项目4个，全年预算数1,064.58万元，全年执行数1,013.99万元。预算绩效管理取得的成效：一是部门年度任务均在预算资金额度内完成，并通过规范的招投标、严格的资金管理、项目管理及其他创新的管理措施实现了资金的节约。二是预期的经济效益、社会效益、生态效益、可持续的影响均达到预期效果，相关人员的满意度达到预期目标。发现的问题及原因：一是本部门按照地委、行政公署的工作部署，设置了预算绩效管理工作小组，但由于时间紧任务重，绩效评价工作小组人员配置不齐全、岗位职责划分不清晰、小组成员尚未进行专业的绩效管理相关培训，制定的年度绩效计划有部分偏差；二是资料整理不够规范，部分资料不完善。下一步改进措施：一是强化绩效管理相关培训，提高绩效管理工作意识，做到各级预算指标均能全面、科学地评价本部门项目资金运用情况，从而提高财政资金支出的运行效率。二是进一步完善资料整理归档，做好做真做实档案管理工作。具体附部门整体支出绩效自评表，项目支出绩效自评表和部门评价报告。</w:t>
      </w:r>
    </w:p>
    <w:p w14:paraId="2F949A1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5F7C88">
        <w:tblPrEx>
          <w:tblCellMar>
            <w:top w:w="0" w:type="dxa"/>
            <w:left w:w="108" w:type="dxa"/>
            <w:bottom w:w="0" w:type="dxa"/>
            <w:right w:w="108" w:type="dxa"/>
          </w:tblCellMar>
        </w:tblPrEx>
        <w:tc>
          <w:tcPr>
            <w:tcW w:w="8847" w:type="dxa"/>
            <w:gridSpan w:val="9"/>
            <w:vAlign w:val="center"/>
          </w:tcPr>
          <w:p w14:paraId="48BFFF7F">
            <w:pPr>
              <w:jc w:val="center"/>
            </w:pPr>
            <w:r>
              <w:rPr>
                <w:rFonts w:ascii="宋体" w:hAnsi="宋体" w:eastAsia="宋体"/>
                <w:sz w:val="24"/>
              </w:rPr>
              <w:t>部门整体支出绩效自评表</w:t>
            </w:r>
          </w:p>
        </w:tc>
      </w:tr>
      <w:tr w14:paraId="0D109F15">
        <w:tblPrEx>
          <w:tblCellMar>
            <w:top w:w="0" w:type="dxa"/>
            <w:left w:w="108" w:type="dxa"/>
            <w:bottom w:w="0" w:type="dxa"/>
            <w:right w:w="108" w:type="dxa"/>
          </w:tblCellMar>
        </w:tblPrEx>
        <w:tc>
          <w:tcPr>
            <w:tcW w:w="8847" w:type="dxa"/>
            <w:gridSpan w:val="9"/>
            <w:vAlign w:val="center"/>
          </w:tcPr>
          <w:p w14:paraId="6343D75A">
            <w:pPr>
              <w:jc w:val="center"/>
            </w:pPr>
            <w:r>
              <w:rPr>
                <w:rFonts w:ascii="宋体" w:hAnsi="宋体" w:eastAsia="宋体"/>
                <w:sz w:val="24"/>
              </w:rPr>
              <w:t>（2024年度）</w:t>
            </w:r>
          </w:p>
        </w:tc>
      </w:tr>
      <w:tr w14:paraId="7D09459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56076">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D8E522">
            <w:pPr>
              <w:jc w:val="center"/>
            </w:pPr>
            <w:r>
              <w:rPr>
                <w:rFonts w:ascii="宋体" w:hAnsi="宋体" w:eastAsia="宋体"/>
                <w:sz w:val="16"/>
              </w:rPr>
              <w:t>新疆维吾尔自治区喀什地区招商局</w:t>
            </w:r>
          </w:p>
        </w:tc>
      </w:tr>
      <w:tr w14:paraId="048623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8418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09C5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32E5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4253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769A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5C8B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0202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1445A">
            <w:pPr>
              <w:jc w:val="center"/>
            </w:pPr>
            <w:r>
              <w:rPr>
                <w:rFonts w:ascii="宋体" w:hAnsi="宋体" w:eastAsia="宋体"/>
                <w:sz w:val="16"/>
              </w:rPr>
              <w:t>得分</w:t>
            </w:r>
          </w:p>
        </w:tc>
      </w:tr>
      <w:tr w14:paraId="221345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41B9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7911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6CAE0">
            <w:pPr>
              <w:jc w:val="center"/>
            </w:pPr>
            <w:r>
              <w:rPr>
                <w:rFonts w:ascii="宋体" w:hAnsi="宋体" w:eastAsia="宋体"/>
                <w:sz w:val="16"/>
              </w:rPr>
              <w:t>1,096.03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67BB9">
            <w:pPr>
              <w:jc w:val="center"/>
            </w:pPr>
            <w:r>
              <w:rPr>
                <w:rFonts w:ascii="宋体" w:hAnsi="宋体" w:eastAsia="宋体"/>
                <w:sz w:val="16"/>
              </w:rPr>
              <w:t>1,311.24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682D4">
            <w:pPr>
              <w:jc w:val="center"/>
            </w:pPr>
            <w:r>
              <w:rPr>
                <w:rFonts w:ascii="宋体" w:hAnsi="宋体" w:eastAsia="宋体"/>
                <w:sz w:val="16"/>
              </w:rPr>
              <w:t>1,260.54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399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8EDDC">
            <w:pPr>
              <w:jc w:val="center"/>
            </w:pPr>
            <w:r>
              <w:rPr>
                <w:rFonts w:ascii="宋体" w:hAnsi="宋体" w:eastAsia="宋体"/>
                <w:sz w:val="16"/>
              </w:rPr>
              <w:t>96.13%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0245D">
            <w:pPr>
              <w:jc w:val="center"/>
            </w:pPr>
            <w:r>
              <w:rPr>
                <w:rFonts w:ascii="宋体" w:hAnsi="宋体" w:eastAsia="宋体"/>
                <w:sz w:val="16"/>
              </w:rPr>
              <w:t>9.61</w:t>
            </w:r>
          </w:p>
        </w:tc>
      </w:tr>
      <w:tr w14:paraId="314DE4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FFB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F700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766F0">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2066F">
            <w:pPr>
              <w:jc w:val="center"/>
            </w:pPr>
            <w:r>
              <w:rPr>
                <w:rFonts w:ascii="宋体" w:hAnsi="宋体" w:eastAsia="宋体"/>
                <w:sz w:val="16"/>
              </w:rPr>
              <w:t>4.89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E490F">
            <w:pPr>
              <w:jc w:val="center"/>
            </w:pPr>
            <w:r>
              <w:rPr>
                <w:rFonts w:ascii="宋体" w:hAnsi="宋体" w:eastAsia="宋体"/>
                <w:sz w:val="16"/>
              </w:rPr>
              <w:t>4.73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8F3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B867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537E9">
            <w:pPr>
              <w:jc w:val="center"/>
            </w:pPr>
            <w:r>
              <w:rPr>
                <w:rFonts w:ascii="宋体" w:hAnsi="宋体" w:eastAsia="宋体"/>
                <w:sz w:val="16"/>
              </w:rPr>
              <w:t>—</w:t>
            </w:r>
          </w:p>
        </w:tc>
      </w:tr>
      <w:tr w14:paraId="01BDC0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254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7B44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8F9AD">
            <w:pPr>
              <w:jc w:val="center"/>
            </w:pPr>
            <w:r>
              <w:rPr>
                <w:rFonts w:ascii="宋体" w:hAnsi="宋体" w:eastAsia="宋体"/>
                <w:sz w:val="16"/>
              </w:rPr>
              <w:t>1,088.09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C80B4">
            <w:pPr>
              <w:jc w:val="center"/>
            </w:pPr>
            <w:r>
              <w:rPr>
                <w:rFonts w:ascii="宋体" w:hAnsi="宋体" w:eastAsia="宋体"/>
                <w:sz w:val="16"/>
              </w:rPr>
              <w:t>1,139.60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A5FDD">
            <w:pPr>
              <w:jc w:val="center"/>
            </w:pPr>
            <w:r>
              <w:rPr>
                <w:rFonts w:ascii="宋体" w:hAnsi="宋体" w:eastAsia="宋体"/>
                <w:sz w:val="16"/>
              </w:rPr>
              <w:t>1,090.26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0C7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B449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41E26">
            <w:pPr>
              <w:jc w:val="center"/>
            </w:pPr>
            <w:r>
              <w:rPr>
                <w:rFonts w:ascii="宋体" w:hAnsi="宋体" w:eastAsia="宋体"/>
                <w:sz w:val="16"/>
              </w:rPr>
              <w:t>—</w:t>
            </w:r>
          </w:p>
        </w:tc>
      </w:tr>
      <w:tr w14:paraId="39BAFF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6E8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2926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6AE03">
            <w:pPr>
              <w:jc w:val="center"/>
            </w:pPr>
            <w:r>
              <w:rPr>
                <w:rFonts w:ascii="宋体" w:hAnsi="宋体" w:eastAsia="宋体"/>
                <w:sz w:val="16"/>
              </w:rPr>
              <w:t>6.74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6FD55">
            <w:pPr>
              <w:jc w:val="center"/>
            </w:pPr>
            <w:r>
              <w:rPr>
                <w:rFonts w:ascii="宋体" w:hAnsi="宋体" w:eastAsia="宋体"/>
                <w:sz w:val="16"/>
              </w:rPr>
              <w:t>166.75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39D45">
            <w:pPr>
              <w:jc w:val="center"/>
            </w:pPr>
            <w:r>
              <w:rPr>
                <w:rFonts w:ascii="宋体" w:hAnsi="宋体" w:eastAsia="宋体"/>
                <w:sz w:val="16"/>
              </w:rPr>
              <w:t>165.55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EB5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7BA5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4A9C0">
            <w:pPr>
              <w:jc w:val="center"/>
            </w:pPr>
            <w:r>
              <w:rPr>
                <w:rFonts w:ascii="宋体" w:hAnsi="宋体" w:eastAsia="宋体"/>
                <w:sz w:val="16"/>
              </w:rPr>
              <w:t>—</w:t>
            </w:r>
          </w:p>
        </w:tc>
      </w:tr>
      <w:tr w14:paraId="7284C1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BEC4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30241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FC2B93">
            <w:pPr>
              <w:jc w:val="center"/>
            </w:pPr>
            <w:r>
              <w:rPr>
                <w:rFonts w:ascii="宋体" w:hAnsi="宋体" w:eastAsia="宋体"/>
                <w:sz w:val="16"/>
              </w:rPr>
              <w:t>实际完成情况</w:t>
            </w:r>
          </w:p>
        </w:tc>
      </w:tr>
      <w:tr w14:paraId="0B1D22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4141B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7BB44B">
            <w:pPr>
              <w:jc w:val="both"/>
            </w:pPr>
            <w:r>
              <w:rPr>
                <w:rFonts w:ascii="宋体" w:hAnsi="宋体" w:eastAsia="宋体"/>
                <w:sz w:val="16"/>
              </w:rPr>
              <w:t>喀什地区招商局认真学习贯彻党的二十大精神和自治区党委十届八次、九次全会精神，以自治区打造“八大产业集群”建设为契机，重点围绕地区确定的“一二三四五”战略和“十大产业”，不断精准招商目标、拓宽招商渠道、强化统筹协调，主动加压前行。根据全疆招</w:t>
            </w:r>
            <w:r>
              <w:rPr>
                <w:rFonts w:hint="eastAsia" w:ascii="宋体" w:hAnsi="宋体"/>
                <w:sz w:val="16"/>
                <w:lang w:eastAsia="zh-CN"/>
              </w:rPr>
              <w:t>商引资</w:t>
            </w:r>
            <w:r>
              <w:rPr>
                <w:rFonts w:ascii="宋体" w:hAnsi="宋体" w:eastAsia="宋体"/>
                <w:sz w:val="16"/>
              </w:rPr>
              <w:t>到位资金预计增速8%，结合喀什自身实际，经党组研究，选拔推荐招商人员25名，专职长期驻外招商。完成全年招</w:t>
            </w:r>
            <w:r>
              <w:rPr>
                <w:rFonts w:hint="eastAsia" w:ascii="宋体" w:hAnsi="宋体"/>
                <w:sz w:val="16"/>
                <w:lang w:eastAsia="zh-CN"/>
              </w:rPr>
              <w:t>商引资</w:t>
            </w:r>
            <w:r>
              <w:rPr>
                <w:rFonts w:ascii="宋体" w:hAnsi="宋体" w:eastAsia="宋体"/>
                <w:sz w:val="16"/>
              </w:rPr>
              <w:t>任务目标为600亿元。为喀什大力解决就业岗位，提高工业企业落喀数量，增强税收，繁荣全区经济。</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E05687">
            <w:pPr>
              <w:jc w:val="both"/>
            </w:pPr>
            <w:r>
              <w:rPr>
                <w:rFonts w:ascii="宋体" w:hAnsi="宋体" w:eastAsia="宋体"/>
                <w:sz w:val="16"/>
              </w:rPr>
              <w:t>2024年，依托四省市援疆优势，选派25名专职招商干部到长三角、珠三角、京津冀、山东、川渝五个片区驻点招商。共计走访企业、商协会1480家，邀请来喀考察企业372家，促成签约落地项目29个。印制《招商投资指南》等宣传资料2万册，加大了对喀什对外形象的宣传力度。全年共执行招</w:t>
            </w:r>
            <w:r>
              <w:rPr>
                <w:rFonts w:hint="eastAsia" w:ascii="宋体" w:hAnsi="宋体"/>
                <w:sz w:val="16"/>
                <w:lang w:eastAsia="zh-CN"/>
              </w:rPr>
              <w:t>商引资</w:t>
            </w:r>
            <w:r>
              <w:rPr>
                <w:rFonts w:ascii="宋体" w:hAnsi="宋体" w:eastAsia="宋体"/>
                <w:sz w:val="16"/>
              </w:rPr>
              <w:t>项目628个，引进到位资金600.6亿元，同比增长14.28%。</w:t>
            </w:r>
          </w:p>
        </w:tc>
      </w:tr>
      <w:tr w14:paraId="4242F6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618C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0FC7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7CB2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8682A">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18D6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D4F3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EB13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1DF0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40534">
            <w:pPr>
              <w:jc w:val="center"/>
            </w:pPr>
            <w:r>
              <w:rPr>
                <w:rFonts w:ascii="宋体" w:hAnsi="宋体" w:eastAsia="宋体"/>
                <w:sz w:val="16"/>
              </w:rPr>
              <w:t>得分</w:t>
            </w:r>
          </w:p>
        </w:tc>
      </w:tr>
      <w:tr w14:paraId="6EF498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FB54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8DB2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B7685">
            <w:pPr>
              <w:jc w:val="center"/>
            </w:pPr>
            <w:r>
              <w:rPr>
                <w:rFonts w:ascii="宋体" w:hAnsi="宋体" w:eastAsia="宋体"/>
                <w:sz w:val="16"/>
              </w:rPr>
              <w:t>外出参展或招商推介次数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7ECE4">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262AA">
            <w:pPr>
              <w:jc w:val="center"/>
            </w:pPr>
            <w:r>
              <w:rPr>
                <w:rFonts w:ascii="宋体" w:hAnsi="宋体" w:eastAsia="宋体"/>
                <w:sz w:val="16"/>
              </w:rPr>
              <w:t>喀什地区2024年驻点招商工作方案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228B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E18BD">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7E7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182FE">
            <w:pPr>
              <w:jc w:val="center"/>
            </w:pPr>
            <w:r>
              <w:rPr>
                <w:rFonts w:ascii="宋体" w:hAnsi="宋体" w:eastAsia="宋体"/>
                <w:sz w:val="16"/>
              </w:rPr>
              <w:t>20</w:t>
            </w:r>
          </w:p>
        </w:tc>
      </w:tr>
      <w:tr w14:paraId="51E023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8B94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A4F5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4015E">
            <w:pPr>
              <w:jc w:val="center"/>
            </w:pPr>
            <w:r>
              <w:rPr>
                <w:rFonts w:ascii="宋体" w:hAnsi="宋体" w:eastAsia="宋体"/>
                <w:sz w:val="16"/>
              </w:rPr>
              <w:t>宣传优惠政策资料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7BD26">
            <w:pPr>
              <w:jc w:val="center"/>
            </w:pPr>
            <w:r>
              <w:rPr>
                <w:rFonts w:ascii="宋体" w:hAnsi="宋体" w:eastAsia="宋体"/>
                <w:sz w:val="16"/>
              </w:rPr>
              <w:t>&gt;=10000册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A1907">
            <w:pPr>
              <w:jc w:val="center"/>
            </w:pPr>
            <w:r>
              <w:rPr>
                <w:rFonts w:ascii="宋体" w:hAnsi="宋体" w:eastAsia="宋体"/>
                <w:sz w:val="16"/>
              </w:rPr>
              <w:t>喀什地区2024年驻点招商工作方案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07B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7112D">
            <w:pPr>
              <w:jc w:val="center"/>
            </w:pPr>
            <w:r>
              <w:rPr>
                <w:rFonts w:ascii="宋体" w:hAnsi="宋体" w:eastAsia="宋体"/>
                <w:sz w:val="16"/>
              </w:rPr>
              <w:t>10000册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91C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BFF3C">
            <w:pPr>
              <w:jc w:val="center"/>
            </w:pPr>
            <w:r>
              <w:rPr>
                <w:rFonts w:ascii="宋体" w:hAnsi="宋体" w:eastAsia="宋体"/>
                <w:sz w:val="16"/>
              </w:rPr>
              <w:t>20</w:t>
            </w:r>
          </w:p>
        </w:tc>
      </w:tr>
      <w:tr w14:paraId="2033B5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E7A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2E8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045AC">
            <w:pPr>
              <w:jc w:val="center"/>
            </w:pPr>
            <w:r>
              <w:rPr>
                <w:rFonts w:ascii="宋体" w:hAnsi="宋体" w:eastAsia="宋体"/>
                <w:sz w:val="16"/>
              </w:rPr>
              <w:t>招商引资落地资金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C372D">
            <w:pPr>
              <w:jc w:val="center"/>
            </w:pPr>
            <w:r>
              <w:rPr>
                <w:rFonts w:ascii="宋体" w:hAnsi="宋体" w:eastAsia="宋体"/>
                <w:sz w:val="16"/>
              </w:rPr>
              <w:t>&gt;=600亿元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B301E">
            <w:pPr>
              <w:jc w:val="center"/>
            </w:pPr>
            <w:r>
              <w:rPr>
                <w:rFonts w:ascii="宋体" w:hAnsi="宋体" w:eastAsia="宋体"/>
                <w:sz w:val="16"/>
              </w:rPr>
              <w:t>喀什地区招商局2023年工作总结暨2024年工作计划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EEA3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FD94B">
            <w:pPr>
              <w:jc w:val="center"/>
            </w:pPr>
            <w:r>
              <w:rPr>
                <w:rFonts w:ascii="宋体" w:hAnsi="宋体" w:eastAsia="宋体"/>
                <w:sz w:val="16"/>
              </w:rPr>
              <w:t>600.6亿元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B531D">
            <w:pPr>
              <w:jc w:val="center"/>
            </w:pPr>
            <w:r>
              <w:rPr>
                <w:rFonts w:ascii="宋体" w:hAnsi="宋体" w:eastAsia="宋体"/>
                <w:sz w:val="16"/>
              </w:rPr>
              <w:t>100.1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5A9B2">
            <w:pPr>
              <w:jc w:val="center"/>
            </w:pPr>
            <w:r>
              <w:rPr>
                <w:rFonts w:ascii="宋体" w:hAnsi="宋体" w:eastAsia="宋体"/>
                <w:sz w:val="16"/>
              </w:rPr>
              <w:t>20</w:t>
            </w:r>
          </w:p>
        </w:tc>
      </w:tr>
      <w:tr w14:paraId="01A20C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B1A5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FC0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EE355">
            <w:pPr>
              <w:jc w:val="center"/>
            </w:pPr>
            <w:r>
              <w:rPr>
                <w:rFonts w:ascii="宋体" w:hAnsi="宋体" w:eastAsia="宋体"/>
                <w:sz w:val="16"/>
              </w:rPr>
              <w:t>外派驻点招商人数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67072">
            <w:pPr>
              <w:jc w:val="center"/>
            </w:pPr>
            <w:r>
              <w:rPr>
                <w:rFonts w:ascii="宋体" w:hAnsi="宋体" w:eastAsia="宋体"/>
                <w:sz w:val="16"/>
              </w:rPr>
              <w: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9DA0C">
            <w:pPr>
              <w:jc w:val="center"/>
            </w:pPr>
            <w:r>
              <w:rPr>
                <w:rFonts w:ascii="宋体" w:hAnsi="宋体" w:eastAsia="宋体"/>
                <w:sz w:val="16"/>
              </w:rPr>
              <w:t>喀什地区2024年驻点招商工作方案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ED79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6847B">
            <w:pPr>
              <w:jc w:val="center"/>
            </w:pPr>
            <w:r>
              <w:rPr>
                <w:rFonts w:ascii="宋体" w:hAnsi="宋体" w:eastAsia="宋体"/>
                <w:sz w:val="16"/>
              </w:rPr>
              <w: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2C7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B7AA2">
            <w:pPr>
              <w:jc w:val="center"/>
            </w:pPr>
            <w:r>
              <w:rPr>
                <w:rFonts w:ascii="宋体" w:hAnsi="宋体" w:eastAsia="宋体"/>
                <w:sz w:val="16"/>
              </w:rPr>
              <w:t>20</w:t>
            </w:r>
          </w:p>
        </w:tc>
      </w:tr>
      <w:tr w14:paraId="41DB72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DC6A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855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D068D">
            <w:pPr>
              <w:jc w:val="center"/>
            </w:pPr>
            <w:r>
              <w:rPr>
                <w:rFonts w:ascii="宋体" w:hAnsi="宋体" w:eastAsia="宋体"/>
                <w:sz w:val="16"/>
              </w:rPr>
              <w:t>年度走访对接企业数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3EF1A">
            <w:pPr>
              <w:jc w:val="center"/>
            </w:pPr>
            <w:r>
              <w:rPr>
                <w:rFonts w:ascii="宋体" w:hAnsi="宋体" w:eastAsia="宋体"/>
                <w:sz w:val="16"/>
              </w:rPr>
              <w:t>&gt;=1000家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B6FD7">
            <w:pPr>
              <w:jc w:val="center"/>
            </w:pPr>
            <w:r>
              <w:rPr>
                <w:rFonts w:ascii="宋体" w:hAnsi="宋体" w:eastAsia="宋体"/>
                <w:sz w:val="16"/>
              </w:rPr>
              <w:t>喀什地区2024年驻点招商工作方案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727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9ADB3">
            <w:pPr>
              <w:jc w:val="center"/>
            </w:pPr>
            <w:r>
              <w:rPr>
                <w:rFonts w:ascii="宋体" w:hAnsi="宋体" w:eastAsia="宋体"/>
                <w:sz w:val="16"/>
              </w:rPr>
              <w:t>1050家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7E172">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AD269">
            <w:pPr>
              <w:jc w:val="center"/>
            </w:pPr>
            <w:r>
              <w:rPr>
                <w:rFonts w:ascii="宋体" w:hAnsi="宋体" w:eastAsia="宋体"/>
                <w:sz w:val="16"/>
              </w:rPr>
              <w:t>10</w:t>
            </w:r>
          </w:p>
        </w:tc>
      </w:tr>
    </w:tbl>
    <w:p w14:paraId="6EBE46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42ED695">
        <w:tblPrEx>
          <w:tblCellMar>
            <w:top w:w="0" w:type="dxa"/>
            <w:left w:w="108" w:type="dxa"/>
            <w:bottom w:w="0" w:type="dxa"/>
            <w:right w:w="108" w:type="dxa"/>
          </w:tblCellMar>
        </w:tblPrEx>
        <w:tc>
          <w:tcPr>
            <w:tcW w:w="8848" w:type="dxa"/>
            <w:gridSpan w:val="14"/>
            <w:vAlign w:val="center"/>
          </w:tcPr>
          <w:p w14:paraId="6078F997">
            <w:pPr>
              <w:jc w:val="center"/>
            </w:pPr>
            <w:r>
              <w:rPr>
                <w:rFonts w:ascii="宋体" w:hAnsi="宋体" w:eastAsia="宋体"/>
                <w:sz w:val="24"/>
              </w:rPr>
              <w:t>项目支出绩效自评表</w:t>
            </w:r>
          </w:p>
        </w:tc>
      </w:tr>
      <w:tr w14:paraId="66E8AD51">
        <w:tblPrEx>
          <w:tblCellMar>
            <w:top w:w="0" w:type="dxa"/>
            <w:left w:w="108" w:type="dxa"/>
            <w:bottom w:w="0" w:type="dxa"/>
            <w:right w:w="108" w:type="dxa"/>
          </w:tblCellMar>
        </w:tblPrEx>
        <w:tc>
          <w:tcPr>
            <w:tcW w:w="8848" w:type="dxa"/>
            <w:gridSpan w:val="14"/>
            <w:vAlign w:val="center"/>
          </w:tcPr>
          <w:p w14:paraId="35CA7E4E">
            <w:pPr>
              <w:jc w:val="center"/>
            </w:pPr>
            <w:r>
              <w:rPr>
                <w:rFonts w:ascii="宋体" w:hAnsi="宋体" w:eastAsia="宋体"/>
                <w:sz w:val="24"/>
              </w:rPr>
              <w:t>(2024年度)</w:t>
            </w:r>
          </w:p>
        </w:tc>
      </w:tr>
      <w:tr w14:paraId="687F46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FD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673D20">
            <w:pPr>
              <w:jc w:val="center"/>
            </w:pPr>
            <w:r>
              <w:rPr>
                <w:rFonts w:ascii="宋体" w:hAnsi="宋体" w:eastAsia="宋体"/>
                <w:sz w:val="16"/>
              </w:rPr>
              <w:t>2024年广东省产业援疆招商项目</w:t>
            </w:r>
          </w:p>
        </w:tc>
      </w:tr>
      <w:tr w14:paraId="41E743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AF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B5E94D">
            <w:pPr>
              <w:jc w:val="center"/>
            </w:pPr>
            <w:r>
              <w:rPr>
                <w:rFonts w:ascii="宋体" w:hAnsi="宋体" w:eastAsia="宋体"/>
                <w:sz w:val="16"/>
              </w:rPr>
              <w:t>新疆维吾尔自治区喀什地区招商局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F9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8E9D59">
            <w:pPr>
              <w:jc w:val="center"/>
            </w:pPr>
            <w:r>
              <w:rPr>
                <w:rFonts w:ascii="宋体" w:hAnsi="宋体" w:eastAsia="宋体"/>
                <w:sz w:val="16"/>
              </w:rPr>
              <w:t>新疆维吾尔自治区喀什地区招商局</w:t>
            </w:r>
          </w:p>
        </w:tc>
      </w:tr>
      <w:tr w14:paraId="37CD98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4AE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4AC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DAB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A7F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9A3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336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A03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A099">
            <w:pPr>
              <w:jc w:val="center"/>
            </w:pPr>
            <w:r>
              <w:rPr>
                <w:rFonts w:ascii="宋体" w:hAnsi="宋体" w:eastAsia="宋体"/>
                <w:sz w:val="16"/>
              </w:rPr>
              <w:t>得分</w:t>
            </w:r>
          </w:p>
        </w:tc>
      </w:tr>
      <w:tr w14:paraId="0F17A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223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CE3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F9B90">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B7664">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67F5E">
            <w:pPr>
              <w:jc w:val="center"/>
            </w:pPr>
            <w:r>
              <w:rPr>
                <w:rFonts w:ascii="宋体" w:hAnsi="宋体" w:eastAsia="宋体"/>
                <w:sz w:val="16"/>
              </w:rPr>
              <w:t>158.81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E14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91289">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88A3">
            <w:pPr>
              <w:jc w:val="center"/>
            </w:pPr>
            <w:r>
              <w:rPr>
                <w:rFonts w:ascii="宋体" w:hAnsi="宋体" w:eastAsia="宋体"/>
                <w:sz w:val="16"/>
              </w:rPr>
              <w:t>10.00分</w:t>
            </w:r>
          </w:p>
        </w:tc>
      </w:tr>
      <w:tr w14:paraId="5F8FB0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06B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A1A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E24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BE5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1F7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C61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AE7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A601">
            <w:pPr>
              <w:jc w:val="center"/>
            </w:pPr>
            <w:r>
              <w:rPr>
                <w:rFonts w:ascii="宋体" w:hAnsi="宋体" w:eastAsia="宋体"/>
                <w:sz w:val="16"/>
              </w:rPr>
              <w:t>—</w:t>
            </w:r>
          </w:p>
        </w:tc>
      </w:tr>
      <w:tr w14:paraId="5D3D2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A2E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E36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0F4F9">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3AF92">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F7814">
            <w:pPr>
              <w:jc w:val="center"/>
            </w:pPr>
            <w:r>
              <w:rPr>
                <w:rFonts w:ascii="宋体" w:hAnsi="宋体" w:eastAsia="宋体"/>
                <w:sz w:val="16"/>
              </w:rPr>
              <w:t>158.81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5C1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A64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5ED0">
            <w:pPr>
              <w:jc w:val="center"/>
            </w:pPr>
            <w:r>
              <w:rPr>
                <w:rFonts w:ascii="宋体" w:hAnsi="宋体" w:eastAsia="宋体"/>
                <w:sz w:val="16"/>
              </w:rPr>
              <w:t>—</w:t>
            </w:r>
          </w:p>
        </w:tc>
      </w:tr>
      <w:tr w14:paraId="33D4AA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8C4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A115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EB9F1C">
            <w:pPr>
              <w:jc w:val="center"/>
            </w:pPr>
            <w:r>
              <w:rPr>
                <w:rFonts w:ascii="宋体" w:hAnsi="宋体" w:eastAsia="宋体"/>
                <w:sz w:val="16"/>
              </w:rPr>
              <w:t>实际完成情况</w:t>
            </w:r>
          </w:p>
        </w:tc>
      </w:tr>
      <w:tr w14:paraId="7AB0D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A07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DFB308">
            <w:pPr>
              <w:jc w:val="both"/>
            </w:pPr>
            <w:r>
              <w:rPr>
                <w:rFonts w:ascii="宋体" w:hAnsi="宋体" w:eastAsia="宋体"/>
                <w:sz w:val="16"/>
              </w:rPr>
              <w:t>充分发挥援疆产业平台作用，不断宣传喀什地区投资政策、投资环境和发展优势，加强沟通交流，有效促进我地区现代商贸物流产业、纺织服装产业、新能源产业等合作，着力引进一批产业类重点项目落地喀什。年度精准招商推介企业数量不少于300家、邀请企业来喀考察不少于50家、落地产业项目不少于10个。</w:t>
            </w:r>
            <w:r>
              <w:rPr>
                <w:rFonts w:ascii="宋体" w:hAnsi="宋体" w:eastAsia="宋体"/>
                <w:sz w:val="16"/>
              </w:rPr>
              <w:br w:type="textWrapping"/>
            </w:r>
            <w:r>
              <w:rPr>
                <w:rFonts w:ascii="宋体" w:hAnsi="宋体" w:eastAsia="宋体"/>
                <w:sz w:val="16"/>
              </w:rPr>
              <w:t>通过招</w:t>
            </w:r>
            <w:r>
              <w:rPr>
                <w:rFonts w:hint="eastAsia" w:ascii="宋体" w:hAnsi="宋体"/>
                <w:sz w:val="16"/>
                <w:lang w:eastAsia="zh-CN"/>
              </w:rPr>
              <w:t>商引资</w:t>
            </w:r>
            <w:r>
              <w:rPr>
                <w:rFonts w:ascii="宋体" w:hAnsi="宋体" w:eastAsia="宋体"/>
                <w:sz w:val="16"/>
              </w:rPr>
              <w:t>宣传工作，让更多投资者认识喀什、走进喀什、投资喀什，为更好地支持喀什的建设与发展带来持续动力，提高当地居民就业能力、管理水平，带动就近就业不少于500人，促进社会</w:t>
            </w:r>
            <w:r>
              <w:rPr>
                <w:rFonts w:hint="eastAsia" w:ascii="宋体" w:hAnsi="宋体"/>
                <w:sz w:val="16"/>
                <w:lang w:val="en-US" w:eastAsia="zh-CN"/>
              </w:rPr>
              <w:t>安定</w:t>
            </w:r>
            <w:r>
              <w:rPr>
                <w:rFonts w:ascii="宋体" w:hAnsi="宋体" w:eastAsia="宋体"/>
                <w:sz w:val="16"/>
              </w:rPr>
              <w:t>，进一步铸牢中华民族共同体意识。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E69EFF">
            <w:pPr>
              <w:jc w:val="both"/>
            </w:pPr>
            <w:r>
              <w:rPr>
                <w:rFonts w:ascii="宋体" w:hAnsi="宋体" w:eastAsia="宋体"/>
                <w:sz w:val="16"/>
              </w:rPr>
              <w:t>该项目资金用于5个产业专场推介会，共使用158.81万元。有效促进我地区现代商贸物流产业、纺织服装产业、新能源产业等合作，着力引进一批产业类重点项目落地喀什。喀什地区全年共执行招</w:t>
            </w:r>
            <w:r>
              <w:rPr>
                <w:rFonts w:hint="eastAsia" w:ascii="宋体" w:hAnsi="宋体"/>
                <w:sz w:val="16"/>
                <w:lang w:eastAsia="zh-CN"/>
              </w:rPr>
              <w:t>商引资</w:t>
            </w:r>
            <w:r>
              <w:rPr>
                <w:rFonts w:ascii="宋体" w:hAnsi="宋体" w:eastAsia="宋体"/>
                <w:sz w:val="16"/>
              </w:rPr>
              <w:t>项目628个，引进到位资金639.35亿元，同比增长14.28%。</w:t>
            </w:r>
          </w:p>
        </w:tc>
      </w:tr>
      <w:tr w14:paraId="2736D1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6DC1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92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B4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B8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EC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F9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A0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CCB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5F4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C0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D51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65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A2E03">
            <w:pPr>
              <w:jc w:val="center"/>
            </w:pPr>
            <w:r>
              <w:rPr>
                <w:rFonts w:ascii="宋体" w:hAnsi="宋体" w:eastAsia="宋体"/>
                <w:sz w:val="16"/>
              </w:rPr>
              <w:t>偏差原因分析及改进措施</w:t>
            </w:r>
          </w:p>
        </w:tc>
      </w:tr>
      <w:tr w14:paraId="25185D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DD4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093C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93E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01E2">
            <w:pPr>
              <w:jc w:val="center"/>
            </w:pPr>
            <w:r>
              <w:rPr>
                <w:rFonts w:ascii="宋体" w:hAnsi="宋体" w:eastAsia="宋体"/>
                <w:sz w:val="16"/>
              </w:rPr>
              <w:t>外出参展或招商次数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037F">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69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6B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0C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71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74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D567">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3590">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92377">
            <w:pPr>
              <w:jc w:val="center"/>
            </w:pPr>
            <w:r>
              <w:rPr>
                <w:rFonts w:ascii="宋体" w:hAnsi="宋体" w:eastAsia="宋体"/>
                <w:sz w:val="16"/>
              </w:rPr>
              <w:t>偏差原因：同一场招商推介会，在喀什和乌市分别举办，</w:t>
            </w:r>
            <w:r>
              <w:rPr>
                <w:rFonts w:hint="eastAsia" w:ascii="宋体" w:hAnsi="宋体"/>
                <w:sz w:val="16"/>
                <w:lang w:eastAsia="zh-CN"/>
              </w:rPr>
              <w:t>目的是</w:t>
            </w:r>
            <w:r>
              <w:rPr>
                <w:rFonts w:ascii="宋体" w:hAnsi="宋体" w:eastAsia="宋体"/>
                <w:sz w:val="16"/>
              </w:rPr>
              <w:t>扩大喀什的宣传力度。造成场次增加。改进措施：提高指标设置精准度。</w:t>
            </w:r>
          </w:p>
        </w:tc>
      </w:tr>
      <w:tr w14:paraId="5BA0A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8A4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B3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AD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8BBD">
            <w:pPr>
              <w:jc w:val="center"/>
            </w:pPr>
            <w:r>
              <w:rPr>
                <w:rFonts w:ascii="宋体" w:hAnsi="宋体" w:eastAsia="宋体"/>
                <w:sz w:val="16"/>
              </w:rPr>
              <w:t>招引落地企业家数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26A8">
            <w:pPr>
              <w:jc w:val="center"/>
            </w:pPr>
            <w:r>
              <w:rPr>
                <w:rFonts w:ascii="宋体" w:hAnsi="宋体" w:eastAsia="宋体"/>
                <w:sz w:val="16"/>
              </w:rPr>
              <w:t>&gt;=10家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524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FE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97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F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5E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3350">
            <w:pPr>
              <w:jc w:val="center"/>
            </w:pPr>
            <w:r>
              <w:rPr>
                <w:rFonts w:ascii="宋体" w:hAnsi="宋体" w:eastAsia="宋体"/>
                <w:sz w:val="16"/>
              </w:rPr>
              <w: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C4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3EBC8">
            <w:pPr>
              <w:jc w:val="center"/>
            </w:pPr>
          </w:p>
        </w:tc>
      </w:tr>
      <w:tr w14:paraId="0BA23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D46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A9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ED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585F">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F4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1D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D5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45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6C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97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4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53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4E84D">
            <w:pPr>
              <w:jc w:val="center"/>
            </w:pPr>
          </w:p>
        </w:tc>
      </w:tr>
      <w:tr w14:paraId="26ED6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B2D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69C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42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EAA1">
            <w:pPr>
              <w:jc w:val="center"/>
            </w:pPr>
            <w:r>
              <w:rPr>
                <w:rFonts w:ascii="宋体" w:hAnsi="宋体" w:eastAsia="宋体"/>
                <w:sz w:val="16"/>
              </w:rPr>
              <w:t>招商推介会召开及时率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88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24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44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4E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3C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ED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6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71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5E3BF">
            <w:pPr>
              <w:jc w:val="center"/>
            </w:pPr>
          </w:p>
        </w:tc>
      </w:tr>
      <w:tr w14:paraId="7E39A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94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646A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9D44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E10E">
            <w:pPr>
              <w:jc w:val="center"/>
            </w:pPr>
            <w:r>
              <w:rPr>
                <w:rFonts w:ascii="宋体" w:hAnsi="宋体" w:eastAsia="宋体"/>
                <w:sz w:val="16"/>
              </w:rPr>
              <w:t>招商推介会每次平均成本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9209">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11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89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E3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6F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EA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6B5C">
            <w:pPr>
              <w:jc w:val="center"/>
            </w:pPr>
            <w:r>
              <w:rPr>
                <w:rFonts w:ascii="宋体" w:hAnsi="宋体" w:eastAsia="宋体"/>
                <w:sz w:val="16"/>
              </w:rPr>
              <w:t>=31.76万元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AD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90088">
            <w:pPr>
              <w:jc w:val="center"/>
            </w:pPr>
            <w:r>
              <w:rPr>
                <w:rFonts w:ascii="宋体" w:hAnsi="宋体" w:eastAsia="宋体"/>
                <w:sz w:val="16"/>
              </w:rPr>
              <w:t>偏差原因：招商推介会场次增加1场，造成平均成本降低。改进措施：提高指标设置精准度。</w:t>
            </w:r>
          </w:p>
        </w:tc>
      </w:tr>
      <w:tr w14:paraId="47A8E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ACD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43AE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1884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F844">
            <w:pPr>
              <w:jc w:val="center"/>
            </w:pPr>
            <w:r>
              <w:rPr>
                <w:rFonts w:ascii="宋体" w:hAnsi="宋体" w:eastAsia="宋体"/>
                <w:sz w:val="16"/>
              </w:rPr>
              <w:t>带动当地就业人数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4D78">
            <w:pPr>
              <w:jc w:val="center"/>
            </w:pPr>
            <w:r>
              <w:rPr>
                <w:rFonts w:ascii="宋体" w:hAnsi="宋体" w:eastAsia="宋体"/>
                <w:sz w:val="16"/>
              </w:rPr>
              <w:t>&lt;=200人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4C4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55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2F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94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AA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2E2D">
            <w:pPr>
              <w:jc w:val="center"/>
            </w:pPr>
            <w:r>
              <w:rPr>
                <w:rFonts w:ascii="宋体" w:hAnsi="宋体" w:eastAsia="宋体"/>
                <w:sz w:val="16"/>
              </w:rPr>
              <w:t>=206人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BC15">
            <w:pPr>
              <w:jc w:val="center"/>
            </w:pPr>
            <w:r>
              <w:rPr>
                <w:rFonts w:ascii="宋体" w:hAnsi="宋体" w:eastAsia="宋体"/>
                <w:sz w:val="16"/>
              </w:rPr>
              <w:t>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C0DE3">
            <w:pPr>
              <w:jc w:val="center"/>
            </w:pPr>
            <w:r>
              <w:rPr>
                <w:rFonts w:ascii="宋体" w:hAnsi="宋体" w:eastAsia="宋体"/>
                <w:sz w:val="16"/>
              </w:rPr>
              <w:t>偏差原因：充分发挥了援疆产业平台作用，造成招商引资任务超额完成。改进措施：提高指标设置精准度。</w:t>
            </w:r>
          </w:p>
        </w:tc>
      </w:tr>
      <w:tr w14:paraId="752470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DC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37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CA2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30B5">
            <w:pPr>
              <w:jc w:val="center"/>
            </w:pPr>
            <w:r>
              <w:rPr>
                <w:rFonts w:ascii="宋体" w:hAnsi="宋体" w:eastAsia="宋体"/>
                <w:sz w:val="16"/>
              </w:rPr>
              <w:t>招商引资落地资金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0DEB">
            <w:pPr>
              <w:jc w:val="center"/>
            </w:pPr>
            <w:r>
              <w:rPr>
                <w:rFonts w:ascii="宋体" w:hAnsi="宋体" w:eastAsia="宋体"/>
                <w:sz w:val="16"/>
              </w:rPr>
              <w:t>&gt;=100亿元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D2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6A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DC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4F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09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F4C6">
            <w:pPr>
              <w:jc w:val="center"/>
            </w:pPr>
            <w:r>
              <w:rPr>
                <w:rFonts w:ascii="宋体" w:hAnsi="宋体" w:eastAsia="宋体"/>
                <w:sz w:val="16"/>
              </w:rPr>
              <w:t>=105.76亿元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D5BF">
            <w:pPr>
              <w:jc w:val="center"/>
            </w:pPr>
            <w:r>
              <w:rPr>
                <w:rFonts w:ascii="宋体" w:hAnsi="宋体" w:eastAsia="宋体"/>
                <w:sz w:val="16"/>
              </w:rPr>
              <w:t>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241F0">
            <w:pPr>
              <w:jc w:val="center"/>
            </w:pPr>
            <w:r>
              <w:rPr>
                <w:rFonts w:ascii="宋体" w:hAnsi="宋体" w:eastAsia="宋体"/>
                <w:sz w:val="16"/>
              </w:rPr>
              <w:t>偏差原因：充分发挥了援疆产业平台作用，造成招商引资任务超额完成。改进措施：提高指标设置精准度。</w:t>
            </w:r>
          </w:p>
        </w:tc>
      </w:tr>
      <w:tr w14:paraId="36C76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365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82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08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85F0">
            <w:pPr>
              <w:jc w:val="center"/>
            </w:pPr>
            <w:r>
              <w:rPr>
                <w:rFonts w:ascii="宋体" w:hAnsi="宋体" w:eastAsia="宋体"/>
                <w:sz w:val="16"/>
              </w:rPr>
              <w:t>招商引资落地企业满意度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509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003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0A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2D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12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0C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88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EA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7579A">
            <w:pPr>
              <w:jc w:val="center"/>
            </w:pPr>
            <w:r>
              <w:rPr>
                <w:rFonts w:ascii="宋体" w:hAnsi="宋体" w:eastAsia="宋体"/>
                <w:sz w:val="16"/>
              </w:rPr>
              <w:t>偏差原因：我单位本年度招商工作完成度较高，与落地企业各项沟通较充分，企业较满意；</w:t>
            </w:r>
          </w:p>
        </w:tc>
      </w:tr>
      <w:tr w14:paraId="4593E7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FB5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C07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EA7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EEC7E6">
            <w:pPr>
              <w:jc w:val="center"/>
            </w:pPr>
            <w:r>
              <w:rPr>
                <w:rFonts w:ascii="宋体" w:hAnsi="宋体" w:eastAsia="宋体"/>
                <w:sz w:val="16"/>
              </w:rPr>
              <w:t>76.62分</w:t>
            </w:r>
          </w:p>
        </w:tc>
      </w:tr>
    </w:tbl>
    <w:p w14:paraId="7810F9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D1B5762">
        <w:tblPrEx>
          <w:tblCellMar>
            <w:top w:w="0" w:type="dxa"/>
            <w:left w:w="108" w:type="dxa"/>
            <w:bottom w:w="0" w:type="dxa"/>
            <w:right w:w="108" w:type="dxa"/>
          </w:tblCellMar>
        </w:tblPrEx>
        <w:tc>
          <w:tcPr>
            <w:tcW w:w="8848" w:type="dxa"/>
            <w:gridSpan w:val="14"/>
            <w:vAlign w:val="center"/>
          </w:tcPr>
          <w:p w14:paraId="3C920396">
            <w:pPr>
              <w:jc w:val="center"/>
            </w:pPr>
            <w:r>
              <w:rPr>
                <w:rFonts w:ascii="宋体" w:hAnsi="宋体" w:eastAsia="宋体"/>
                <w:sz w:val="24"/>
              </w:rPr>
              <w:t>项目支出绩效自评表</w:t>
            </w:r>
          </w:p>
        </w:tc>
      </w:tr>
      <w:tr w14:paraId="5A573708">
        <w:tblPrEx>
          <w:tblCellMar>
            <w:top w:w="0" w:type="dxa"/>
            <w:left w:w="108" w:type="dxa"/>
            <w:bottom w:w="0" w:type="dxa"/>
            <w:right w:w="108" w:type="dxa"/>
          </w:tblCellMar>
        </w:tblPrEx>
        <w:tc>
          <w:tcPr>
            <w:tcW w:w="8848" w:type="dxa"/>
            <w:gridSpan w:val="14"/>
            <w:vAlign w:val="center"/>
          </w:tcPr>
          <w:p w14:paraId="2D0F7F14">
            <w:pPr>
              <w:jc w:val="center"/>
            </w:pPr>
            <w:r>
              <w:rPr>
                <w:rFonts w:ascii="宋体" w:hAnsi="宋体" w:eastAsia="宋体"/>
                <w:sz w:val="24"/>
              </w:rPr>
              <w:t>(2024年度)</w:t>
            </w:r>
          </w:p>
        </w:tc>
      </w:tr>
      <w:tr w14:paraId="434E75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AA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58413B">
            <w:pPr>
              <w:jc w:val="center"/>
            </w:pPr>
            <w:r>
              <w:rPr>
                <w:rFonts w:ascii="宋体" w:hAnsi="宋体" w:eastAsia="宋体"/>
                <w:sz w:val="16"/>
              </w:rPr>
              <w:t>2024年度援疆干部南疆工作补贴</w:t>
            </w:r>
          </w:p>
        </w:tc>
      </w:tr>
      <w:tr w14:paraId="1ABC95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81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2278F">
            <w:pPr>
              <w:jc w:val="center"/>
            </w:pPr>
            <w:r>
              <w:rPr>
                <w:rFonts w:ascii="宋体" w:hAnsi="宋体" w:eastAsia="宋体"/>
                <w:sz w:val="16"/>
              </w:rPr>
              <w:t>新疆维吾尔自治区喀什地区招商局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79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70EB65">
            <w:pPr>
              <w:jc w:val="center"/>
            </w:pPr>
            <w:r>
              <w:rPr>
                <w:rFonts w:ascii="宋体" w:hAnsi="宋体" w:eastAsia="宋体"/>
                <w:sz w:val="16"/>
              </w:rPr>
              <w:t>新疆维吾尔自治区喀什地区招商局</w:t>
            </w:r>
          </w:p>
        </w:tc>
      </w:tr>
      <w:tr w14:paraId="448E38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88A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603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B03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02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292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1D1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D99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4148">
            <w:pPr>
              <w:jc w:val="center"/>
            </w:pPr>
            <w:r>
              <w:rPr>
                <w:rFonts w:ascii="宋体" w:hAnsi="宋体" w:eastAsia="宋体"/>
                <w:sz w:val="16"/>
              </w:rPr>
              <w:t>得分</w:t>
            </w:r>
          </w:p>
        </w:tc>
      </w:tr>
      <w:tr w14:paraId="55326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D28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E32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7BEE6">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958D8">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2DDCE">
            <w:pPr>
              <w:jc w:val="center"/>
            </w:pPr>
            <w:r>
              <w:rPr>
                <w:rFonts w:ascii="宋体" w:hAnsi="宋体" w:eastAsia="宋体"/>
                <w:sz w:val="16"/>
              </w:rPr>
              <w:t>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B9C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FFF4E">
            <w:pPr>
              <w:jc w:val="center"/>
            </w:pPr>
            <w:r>
              <w:rPr>
                <w:rFonts w:ascii="宋体" w:hAnsi="宋体" w:eastAsia="宋体"/>
                <w:sz w:val="16"/>
              </w:rPr>
              <w:t>85.8%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2731">
            <w:pPr>
              <w:jc w:val="center"/>
            </w:pPr>
            <w:r>
              <w:rPr>
                <w:rFonts w:ascii="宋体" w:hAnsi="宋体" w:eastAsia="宋体"/>
                <w:sz w:val="16"/>
              </w:rPr>
              <w:t>6.46分</w:t>
            </w:r>
          </w:p>
        </w:tc>
      </w:tr>
      <w:tr w14:paraId="3AF88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687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060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C6BC2">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0E5BC">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01A77">
            <w:pPr>
              <w:jc w:val="center"/>
            </w:pPr>
            <w:r>
              <w:rPr>
                <w:rFonts w:ascii="宋体" w:hAnsi="宋体" w:eastAsia="宋体"/>
                <w:sz w:val="16"/>
              </w:rPr>
              <w:t>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E93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D8B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8461">
            <w:pPr>
              <w:jc w:val="center"/>
            </w:pPr>
            <w:r>
              <w:rPr>
                <w:rFonts w:ascii="宋体" w:hAnsi="宋体" w:eastAsia="宋体"/>
                <w:sz w:val="16"/>
              </w:rPr>
              <w:t>—</w:t>
            </w:r>
          </w:p>
        </w:tc>
      </w:tr>
      <w:tr w14:paraId="0B723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8D1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E4E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B1D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0FF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593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F98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086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DA3C">
            <w:pPr>
              <w:jc w:val="center"/>
            </w:pPr>
            <w:r>
              <w:rPr>
                <w:rFonts w:ascii="宋体" w:hAnsi="宋体" w:eastAsia="宋体"/>
                <w:sz w:val="16"/>
              </w:rPr>
              <w:t>—</w:t>
            </w:r>
          </w:p>
        </w:tc>
      </w:tr>
      <w:tr w14:paraId="2D17DE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8BA7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61E4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56C0C4">
            <w:pPr>
              <w:jc w:val="center"/>
            </w:pPr>
            <w:r>
              <w:rPr>
                <w:rFonts w:ascii="宋体" w:hAnsi="宋体" w:eastAsia="宋体"/>
                <w:sz w:val="16"/>
              </w:rPr>
              <w:t>实际完成情况</w:t>
            </w:r>
          </w:p>
        </w:tc>
      </w:tr>
      <w:tr w14:paraId="04731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C0E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C5AAD">
            <w:pPr>
              <w:jc w:val="both"/>
            </w:pPr>
            <w:r>
              <w:rPr>
                <w:rFonts w:ascii="宋体" w:hAnsi="宋体" w:eastAsia="宋体"/>
                <w:sz w:val="16"/>
              </w:rPr>
              <w:t>2024年援疆干部人才南疆工作补贴,正科级1人，1000元/月，发放金额：1000元/月*12月=12000元，改善援疆干部生活水平。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F4D2D4">
            <w:pPr>
              <w:jc w:val="both"/>
            </w:pPr>
            <w:r>
              <w:rPr>
                <w:rFonts w:ascii="宋体" w:hAnsi="宋体" w:eastAsia="宋体"/>
                <w:sz w:val="16"/>
              </w:rPr>
              <w:t>通过引进1名援疆人才，对其发放援疆干部补贴， 改善了援疆干部生活水平，壮大招</w:t>
            </w:r>
            <w:r>
              <w:rPr>
                <w:rFonts w:hint="eastAsia" w:ascii="宋体" w:hAnsi="宋体"/>
                <w:sz w:val="16"/>
                <w:lang w:eastAsia="zh-CN"/>
              </w:rPr>
              <w:t>商引资</w:t>
            </w:r>
            <w:r>
              <w:rPr>
                <w:rFonts w:ascii="宋体" w:hAnsi="宋体" w:eastAsia="宋体"/>
                <w:sz w:val="16"/>
              </w:rPr>
              <w:t>干部队伍，引进新鲜血液，为喀什地区招</w:t>
            </w:r>
            <w:r>
              <w:rPr>
                <w:rFonts w:hint="eastAsia" w:ascii="宋体" w:hAnsi="宋体"/>
                <w:sz w:val="16"/>
                <w:lang w:eastAsia="zh-CN"/>
              </w:rPr>
              <w:t>商引资</w:t>
            </w:r>
            <w:r>
              <w:rPr>
                <w:rFonts w:ascii="宋体" w:hAnsi="宋体" w:eastAsia="宋体"/>
                <w:sz w:val="16"/>
              </w:rPr>
              <w:t>添砖加瓦。</w:t>
            </w:r>
          </w:p>
        </w:tc>
      </w:tr>
      <w:tr w14:paraId="7256FB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28E8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63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95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68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4FE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2D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0C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1B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75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F7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BCD5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96B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EB6A2">
            <w:pPr>
              <w:jc w:val="center"/>
            </w:pPr>
            <w:r>
              <w:rPr>
                <w:rFonts w:ascii="宋体" w:hAnsi="宋体" w:eastAsia="宋体"/>
                <w:sz w:val="16"/>
              </w:rPr>
              <w:t>偏差原因分析及改进措施</w:t>
            </w:r>
          </w:p>
        </w:tc>
      </w:tr>
      <w:tr w14:paraId="05D940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660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ECD3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CE0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D243">
            <w:pPr>
              <w:jc w:val="center"/>
            </w:pPr>
            <w:r>
              <w:rPr>
                <w:rFonts w:ascii="宋体" w:hAnsi="宋体" w:eastAsia="宋体"/>
                <w:sz w:val="16"/>
              </w:rPr>
              <w:t>补贴援疆干部人数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87A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E8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877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29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68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58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76A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DC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8E3F5">
            <w:pPr>
              <w:jc w:val="center"/>
            </w:pPr>
          </w:p>
        </w:tc>
      </w:tr>
      <w:tr w14:paraId="0BDFC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814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44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64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86F4">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42A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E5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E451">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52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F3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C5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F0C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80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C8FEA">
            <w:pPr>
              <w:jc w:val="center"/>
            </w:pPr>
          </w:p>
        </w:tc>
      </w:tr>
      <w:tr w14:paraId="34F4E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516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108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42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AD62">
            <w:pPr>
              <w:jc w:val="center"/>
            </w:pPr>
            <w:r>
              <w:rPr>
                <w:rFonts w:ascii="宋体" w:hAnsi="宋体" w:eastAsia="宋体"/>
                <w:sz w:val="16"/>
              </w:rPr>
              <w:t>发放南疆工作补贴覆盖率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50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CB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78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4A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2B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59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E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13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E5733">
            <w:pPr>
              <w:jc w:val="center"/>
            </w:pPr>
          </w:p>
        </w:tc>
      </w:tr>
      <w:tr w14:paraId="3CB36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AE9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3C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887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72F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AF1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5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8C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3E3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36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F6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BE18">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A4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BD852">
            <w:pPr>
              <w:jc w:val="center"/>
            </w:pPr>
          </w:p>
        </w:tc>
      </w:tr>
      <w:tr w14:paraId="7EEE8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ECA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3E8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04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0FB5">
            <w:pPr>
              <w:jc w:val="center"/>
            </w:pPr>
            <w:r>
              <w:rPr>
                <w:rFonts w:ascii="宋体" w:hAnsi="宋体" w:eastAsia="宋体"/>
                <w:sz w:val="16"/>
              </w:rPr>
              <w:t>援疆干部南疆工作补贴标准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B5489">
            <w:pPr>
              <w:jc w:val="center"/>
            </w:pPr>
            <w:r>
              <w:rPr>
                <w:rFonts w:ascii="宋体" w:hAnsi="宋体" w:eastAsia="宋体"/>
                <w:sz w:val="16"/>
              </w:rPr>
              <w:t>=1000元/次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96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2354">
            <w:pPr>
              <w:jc w:val="center"/>
            </w:pPr>
            <w:r>
              <w:rPr>
                <w:rFonts w:ascii="宋体" w:hAnsi="宋体" w:eastAsia="宋体"/>
                <w:sz w:val="16"/>
              </w:rPr>
              <w:t>860元/次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5F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8F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45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0A62">
            <w:pPr>
              <w:jc w:val="center"/>
            </w:pPr>
            <w:r>
              <w:rPr>
                <w:rFonts w:ascii="宋体" w:hAnsi="宋体" w:eastAsia="宋体"/>
                <w:sz w:val="16"/>
              </w:rPr>
              <w:t>=860元/次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DB66">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A0DA7">
            <w:pPr>
              <w:jc w:val="center"/>
            </w:pPr>
            <w:r>
              <w:rPr>
                <w:rFonts w:ascii="宋体" w:hAnsi="宋体" w:eastAsia="宋体"/>
                <w:sz w:val="16"/>
              </w:rPr>
              <w:t>偏差原因：上级按照1000元/月批复资金，实际按照860元/月进行发放，故出现偏差</w:t>
            </w:r>
            <w:r>
              <w:rPr>
                <w:rFonts w:hint="eastAsia" w:ascii="宋体" w:hAnsi="宋体"/>
                <w:sz w:val="16"/>
                <w:lang w:eastAsia="zh-CN"/>
              </w:rPr>
              <w:t>；</w:t>
            </w:r>
            <w:r>
              <w:rPr>
                <w:rFonts w:ascii="宋体" w:hAnsi="宋体" w:eastAsia="宋体"/>
                <w:sz w:val="16"/>
              </w:rPr>
              <w:t>改进措施：提高指标设置精准度。</w:t>
            </w:r>
          </w:p>
        </w:tc>
      </w:tr>
      <w:tr w14:paraId="41E35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46F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788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62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FD0E">
            <w:pPr>
              <w:jc w:val="center"/>
            </w:pPr>
            <w:r>
              <w:rPr>
                <w:rFonts w:ascii="宋体" w:hAnsi="宋体" w:eastAsia="宋体"/>
                <w:sz w:val="16"/>
              </w:rPr>
              <w:t>改善援疆干部生活水平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232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0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321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C5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B3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2D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66A9">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CEE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C96A7">
            <w:pPr>
              <w:jc w:val="center"/>
            </w:pPr>
          </w:p>
        </w:tc>
      </w:tr>
      <w:tr w14:paraId="2380A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C5F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47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4E1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127E">
            <w:pPr>
              <w:jc w:val="center"/>
            </w:pPr>
            <w:r>
              <w:rPr>
                <w:rFonts w:ascii="宋体" w:hAnsi="宋体" w:eastAsia="宋体"/>
                <w:sz w:val="16"/>
              </w:rPr>
              <w:t>南疆干部人才满意度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D4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53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7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CE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09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E0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68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EE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A8054">
            <w:pPr>
              <w:jc w:val="center"/>
            </w:pPr>
          </w:p>
        </w:tc>
      </w:tr>
      <w:tr w14:paraId="7B5C07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463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D72E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4D3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987B36">
            <w:pPr>
              <w:jc w:val="center"/>
            </w:pPr>
            <w:r>
              <w:rPr>
                <w:rFonts w:ascii="宋体" w:hAnsi="宋体" w:eastAsia="宋体"/>
                <w:sz w:val="16"/>
              </w:rPr>
              <w:t>89.46分</w:t>
            </w:r>
          </w:p>
        </w:tc>
      </w:tr>
    </w:tbl>
    <w:p w14:paraId="45EEBE53">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23"/>
        <w:gridCol w:w="856"/>
        <w:gridCol w:w="609"/>
        <w:gridCol w:w="696"/>
        <w:gridCol w:w="609"/>
        <w:gridCol w:w="609"/>
        <w:gridCol w:w="609"/>
        <w:gridCol w:w="776"/>
        <w:gridCol w:w="629"/>
        <w:gridCol w:w="579"/>
        <w:gridCol w:w="624"/>
      </w:tblGrid>
      <w:tr w14:paraId="192DF7D4">
        <w:tblPrEx>
          <w:tblCellMar>
            <w:top w:w="0" w:type="dxa"/>
            <w:left w:w="108" w:type="dxa"/>
            <w:bottom w:w="0" w:type="dxa"/>
            <w:right w:w="108" w:type="dxa"/>
          </w:tblCellMar>
        </w:tblPrEx>
        <w:tc>
          <w:tcPr>
            <w:tcW w:w="8848" w:type="dxa"/>
            <w:gridSpan w:val="14"/>
            <w:vAlign w:val="center"/>
          </w:tcPr>
          <w:p w14:paraId="051EA7B2">
            <w:pPr>
              <w:jc w:val="center"/>
            </w:pPr>
            <w:r>
              <w:rPr>
                <w:rFonts w:ascii="宋体" w:hAnsi="宋体" w:eastAsia="宋体"/>
                <w:sz w:val="24"/>
              </w:rPr>
              <w:t>项目支出绩效自评表</w:t>
            </w:r>
          </w:p>
        </w:tc>
      </w:tr>
      <w:tr w14:paraId="5F7BD395">
        <w:tblPrEx>
          <w:tblCellMar>
            <w:top w:w="0" w:type="dxa"/>
            <w:left w:w="108" w:type="dxa"/>
            <w:bottom w:w="0" w:type="dxa"/>
            <w:right w:w="108" w:type="dxa"/>
          </w:tblCellMar>
        </w:tblPrEx>
        <w:tc>
          <w:tcPr>
            <w:tcW w:w="8848" w:type="dxa"/>
            <w:gridSpan w:val="14"/>
            <w:vAlign w:val="center"/>
          </w:tcPr>
          <w:p w14:paraId="4694F801">
            <w:pPr>
              <w:jc w:val="center"/>
            </w:pPr>
            <w:r>
              <w:rPr>
                <w:rFonts w:ascii="宋体" w:hAnsi="宋体" w:eastAsia="宋体"/>
                <w:sz w:val="24"/>
              </w:rPr>
              <w:t>(2024年度)</w:t>
            </w:r>
          </w:p>
        </w:tc>
      </w:tr>
      <w:tr w14:paraId="13CDBB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D1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7594C4">
            <w:pPr>
              <w:jc w:val="center"/>
            </w:pPr>
            <w:r>
              <w:rPr>
                <w:rFonts w:ascii="宋体" w:hAnsi="宋体" w:eastAsia="宋体"/>
                <w:sz w:val="16"/>
              </w:rPr>
              <w:t>2024年驻点招商工作项目</w:t>
            </w:r>
          </w:p>
        </w:tc>
      </w:tr>
      <w:tr w14:paraId="50A3A2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04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25662">
            <w:pPr>
              <w:jc w:val="center"/>
            </w:pPr>
            <w:r>
              <w:rPr>
                <w:rFonts w:ascii="宋体" w:hAnsi="宋体" w:eastAsia="宋体"/>
                <w:sz w:val="16"/>
              </w:rPr>
              <w:t>新疆维吾尔自治区喀什地区招商局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5A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1A7D3D">
            <w:pPr>
              <w:jc w:val="center"/>
            </w:pPr>
            <w:r>
              <w:rPr>
                <w:rFonts w:ascii="宋体" w:hAnsi="宋体" w:eastAsia="宋体"/>
                <w:sz w:val="16"/>
              </w:rPr>
              <w:t>新疆维吾尔自治区喀什地区招商局</w:t>
            </w:r>
          </w:p>
        </w:tc>
      </w:tr>
      <w:tr w14:paraId="036F4E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6CC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CC6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900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8A9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391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035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42F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C255">
            <w:pPr>
              <w:jc w:val="center"/>
            </w:pPr>
            <w:r>
              <w:rPr>
                <w:rFonts w:ascii="宋体" w:hAnsi="宋体" w:eastAsia="宋体"/>
                <w:sz w:val="16"/>
              </w:rPr>
              <w:t>得分</w:t>
            </w:r>
          </w:p>
        </w:tc>
      </w:tr>
      <w:tr w14:paraId="13FB25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50F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B0F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D3842">
            <w:pPr>
              <w:jc w:val="center"/>
            </w:pPr>
            <w:r>
              <w:rPr>
                <w:rFonts w:ascii="宋体" w:hAnsi="宋体" w:eastAsia="宋体"/>
                <w:sz w:val="16"/>
              </w:rPr>
              <w:t>896.64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E6A35">
            <w:pPr>
              <w:jc w:val="center"/>
            </w:pPr>
            <w:r>
              <w:rPr>
                <w:rFonts w:ascii="宋体" w:hAnsi="宋体" w:eastAsia="宋体"/>
                <w:sz w:val="16"/>
              </w:rPr>
              <w:t>896.64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44708">
            <w:pPr>
              <w:jc w:val="center"/>
            </w:pPr>
            <w:r>
              <w:rPr>
                <w:rFonts w:ascii="宋体" w:hAnsi="宋体" w:eastAsia="宋体"/>
                <w:sz w:val="16"/>
              </w:rPr>
              <w:t>847.41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857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70FC3">
            <w:pPr>
              <w:jc w:val="center"/>
            </w:pPr>
            <w:r>
              <w:rPr>
                <w:rFonts w:ascii="宋体" w:hAnsi="宋体" w:eastAsia="宋体"/>
                <w:sz w:val="16"/>
              </w:rPr>
              <w:t>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92E9">
            <w:pPr>
              <w:jc w:val="center"/>
            </w:pPr>
            <w:r>
              <w:rPr>
                <w:rFonts w:ascii="宋体" w:hAnsi="宋体" w:eastAsia="宋体"/>
                <w:sz w:val="16"/>
              </w:rPr>
              <w:t>8.63分</w:t>
            </w:r>
          </w:p>
        </w:tc>
      </w:tr>
      <w:tr w14:paraId="5DE69C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02D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31B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9A9A3">
            <w:pPr>
              <w:jc w:val="center"/>
            </w:pPr>
            <w:r>
              <w:rPr>
                <w:rFonts w:ascii="宋体" w:hAnsi="宋体" w:eastAsia="宋体"/>
                <w:sz w:val="16"/>
              </w:rPr>
              <w:t>896.64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22416">
            <w:pPr>
              <w:jc w:val="center"/>
            </w:pPr>
            <w:r>
              <w:rPr>
                <w:rFonts w:ascii="宋体" w:hAnsi="宋体" w:eastAsia="宋体"/>
                <w:sz w:val="16"/>
              </w:rPr>
              <w:t>896.64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D5E5C">
            <w:pPr>
              <w:jc w:val="center"/>
            </w:pPr>
            <w:r>
              <w:rPr>
                <w:rFonts w:ascii="宋体" w:hAnsi="宋体" w:eastAsia="宋体"/>
                <w:sz w:val="16"/>
              </w:rPr>
              <w:t>847.41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4FB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666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24CC1">
            <w:pPr>
              <w:jc w:val="center"/>
            </w:pPr>
            <w:r>
              <w:rPr>
                <w:rFonts w:ascii="宋体" w:hAnsi="宋体" w:eastAsia="宋体"/>
                <w:sz w:val="16"/>
              </w:rPr>
              <w:t>—</w:t>
            </w:r>
          </w:p>
        </w:tc>
      </w:tr>
      <w:tr w14:paraId="7BEEC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9EE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30A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E3D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8CC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D45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6A6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A2F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18B7">
            <w:pPr>
              <w:jc w:val="center"/>
            </w:pPr>
            <w:r>
              <w:rPr>
                <w:rFonts w:ascii="宋体" w:hAnsi="宋体" w:eastAsia="宋体"/>
                <w:sz w:val="16"/>
              </w:rPr>
              <w:t>—</w:t>
            </w:r>
          </w:p>
        </w:tc>
      </w:tr>
      <w:tr w14:paraId="2CA5F7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E34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7C21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C9E134">
            <w:pPr>
              <w:jc w:val="center"/>
            </w:pPr>
            <w:r>
              <w:rPr>
                <w:rFonts w:ascii="宋体" w:hAnsi="宋体" w:eastAsia="宋体"/>
                <w:sz w:val="16"/>
              </w:rPr>
              <w:t>实际完成情况</w:t>
            </w:r>
          </w:p>
        </w:tc>
      </w:tr>
      <w:tr w14:paraId="55DB5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31B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388FB">
            <w:pPr>
              <w:jc w:val="both"/>
            </w:pPr>
            <w:r>
              <w:rPr>
                <w:rFonts w:ascii="宋体" w:hAnsi="宋体" w:eastAsia="宋体"/>
                <w:sz w:val="16"/>
              </w:rPr>
              <w:t>落实地委和自治区高质量发展会议精神，充分利用5个驻外招商</w:t>
            </w:r>
            <w:r>
              <w:rPr>
                <w:rFonts w:hint="eastAsia" w:ascii="宋体" w:hAnsi="宋体"/>
                <w:sz w:val="16"/>
                <w:lang w:eastAsia="zh-CN"/>
              </w:rPr>
              <w:t>片区</w:t>
            </w:r>
            <w:r>
              <w:rPr>
                <w:rFonts w:ascii="宋体" w:hAnsi="宋体" w:eastAsia="宋体"/>
                <w:sz w:val="16"/>
              </w:rPr>
              <w:t>积极开展双向投资促进、产业推介和项目对接，每个招商分局1个季度计划召开1次专题推介会，坚持合作交流与宣传展示相结合，围绕我区“重点产业”开展招商，积极开展“引进来”工作，以更高水平开放助推喀什经济高质量发展。驻外招商片区人员不少于25人，每个招商片区分局招引落地企业固定资产投入不少于20个亿，2024年预计全地区招</w:t>
            </w:r>
            <w:r>
              <w:rPr>
                <w:rFonts w:hint="eastAsia" w:ascii="宋体" w:hAnsi="宋体"/>
                <w:sz w:val="16"/>
                <w:lang w:eastAsia="zh-CN"/>
              </w:rPr>
              <w:t>商引资</w:t>
            </w:r>
            <w:r>
              <w:rPr>
                <w:rFonts w:ascii="宋体" w:hAnsi="宋体" w:eastAsia="宋体"/>
                <w:sz w:val="16"/>
              </w:rPr>
              <w:t>区外到位资金达500亿元。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76588F">
            <w:pPr>
              <w:jc w:val="both"/>
            </w:pPr>
            <w:r>
              <w:rPr>
                <w:rFonts w:ascii="宋体" w:hAnsi="宋体" w:eastAsia="宋体"/>
                <w:sz w:val="16"/>
              </w:rPr>
              <w:t>2024年，依托四省市援疆优势，选派25名专职招商干部到长三角、珠三角、京津冀、山东、川渝五个片区驻点招商。共计走访企业、商协会1480家，邀请来喀考察企业372家，促成签约落地项目29个。印制《招商投资指南》等宣传资料2万册，加大了对喀什对外形象的宣传力度。全年共执行招</w:t>
            </w:r>
            <w:r>
              <w:rPr>
                <w:rFonts w:hint="eastAsia" w:ascii="宋体" w:hAnsi="宋体"/>
                <w:sz w:val="16"/>
                <w:lang w:eastAsia="zh-CN"/>
              </w:rPr>
              <w:t>商引资</w:t>
            </w:r>
            <w:r>
              <w:rPr>
                <w:rFonts w:ascii="宋体" w:hAnsi="宋体" w:eastAsia="宋体"/>
                <w:sz w:val="16"/>
              </w:rPr>
              <w:t>项目628个，引进到位资金505.09亿元，同比增长14.28%。</w:t>
            </w:r>
          </w:p>
        </w:tc>
      </w:tr>
      <w:tr w14:paraId="4DD5BA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F1E8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A9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F7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08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B7C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8A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CAA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9A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E76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9D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F6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D0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BCE7A">
            <w:pPr>
              <w:jc w:val="center"/>
            </w:pPr>
            <w:r>
              <w:rPr>
                <w:rFonts w:ascii="宋体" w:hAnsi="宋体" w:eastAsia="宋体"/>
                <w:sz w:val="16"/>
              </w:rPr>
              <w:t>偏差原因分析及改进措施</w:t>
            </w:r>
          </w:p>
        </w:tc>
      </w:tr>
      <w:tr w14:paraId="66F4D7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5C6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19A1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018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F9AF">
            <w:pPr>
              <w:jc w:val="center"/>
            </w:pPr>
            <w:r>
              <w:rPr>
                <w:rFonts w:ascii="宋体" w:hAnsi="宋体" w:eastAsia="宋体"/>
                <w:sz w:val="16"/>
              </w:rPr>
              <w:t>5个驻外招商片区人数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21BC">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A8A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15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E69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2C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EC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BD47">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2A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792C9">
            <w:pPr>
              <w:jc w:val="center"/>
            </w:pPr>
          </w:p>
        </w:tc>
      </w:tr>
      <w:tr w14:paraId="1CCBA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40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20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E6C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9DA6">
            <w:pPr>
              <w:jc w:val="center"/>
            </w:pPr>
            <w:r>
              <w:rPr>
                <w:rFonts w:ascii="宋体" w:hAnsi="宋体" w:eastAsia="宋体"/>
                <w:sz w:val="16"/>
              </w:rPr>
              <w:t>宣传优惠政策汇编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9C90">
            <w:pPr>
              <w:jc w:val="center"/>
            </w:pPr>
            <w:r>
              <w:rPr>
                <w:rFonts w:ascii="宋体" w:hAnsi="宋体" w:eastAsia="宋体"/>
                <w:sz w:val="16"/>
              </w:rPr>
              <w:t>&gt;=20000册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9E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BF0C">
            <w:pPr>
              <w:jc w:val="center"/>
            </w:pPr>
            <w:r>
              <w:rPr>
                <w:rFonts w:ascii="宋体" w:hAnsi="宋体" w:eastAsia="宋体"/>
                <w:sz w:val="16"/>
              </w:rPr>
              <w:t>20000册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8C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03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E9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38DC">
            <w:pPr>
              <w:jc w:val="center"/>
            </w:pPr>
            <w:r>
              <w:rPr>
                <w:rFonts w:ascii="宋体" w:hAnsi="宋体" w:eastAsia="宋体"/>
                <w:sz w:val="16"/>
              </w:rPr>
              <w:t>=20000册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F2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DC96F">
            <w:pPr>
              <w:jc w:val="center"/>
            </w:pPr>
          </w:p>
        </w:tc>
      </w:tr>
      <w:tr w14:paraId="4418C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45D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BB7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072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AD8C">
            <w:pPr>
              <w:jc w:val="center"/>
            </w:pPr>
            <w:r>
              <w:rPr>
                <w:rFonts w:ascii="宋体" w:hAnsi="宋体" w:eastAsia="宋体"/>
                <w:sz w:val="16"/>
              </w:rPr>
              <w:t>外出参展或招商次数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D5A2">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32C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0887">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02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6F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7B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7740">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A6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D0055">
            <w:pPr>
              <w:jc w:val="center"/>
            </w:pPr>
          </w:p>
        </w:tc>
      </w:tr>
      <w:tr w14:paraId="2A184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35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AB8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A8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D0E9">
            <w:pPr>
              <w:jc w:val="center"/>
            </w:pPr>
            <w:r>
              <w:rPr>
                <w:rFonts w:ascii="宋体" w:hAnsi="宋体" w:eastAsia="宋体"/>
                <w:sz w:val="16"/>
              </w:rPr>
              <w:t>外聘人员人数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F8C9">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59A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2F99">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08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A1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5F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F3BC">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48ADD">
            <w:pPr>
              <w:jc w:val="center"/>
            </w:pPr>
            <w:r>
              <w:rPr>
                <w:rFonts w:ascii="宋体" w:hAnsi="宋体" w:eastAsia="宋体"/>
                <w:sz w:val="16"/>
              </w:rPr>
              <w:t>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BEC2C">
            <w:pPr>
              <w:jc w:val="center"/>
            </w:pPr>
            <w:r>
              <w:rPr>
                <w:rFonts w:ascii="宋体" w:hAnsi="宋体" w:eastAsia="宋体"/>
                <w:sz w:val="16"/>
              </w:rPr>
              <w:t>偏差原因：本单位办公场所搬迁至经开区，原聘用的</w:t>
            </w:r>
            <w:r>
              <w:rPr>
                <w:rFonts w:hint="eastAsia" w:ascii="宋体" w:hAnsi="宋体"/>
                <w:sz w:val="16"/>
                <w:lang w:val="en-US" w:eastAsia="zh-CN"/>
              </w:rPr>
              <w:t>人员</w:t>
            </w:r>
            <w:r>
              <w:rPr>
                <w:rFonts w:hint="eastAsia" w:ascii="宋体" w:hAnsi="宋体"/>
                <w:sz w:val="16"/>
                <w:lang w:eastAsia="zh-CN"/>
              </w:rPr>
              <w:t>不再</w:t>
            </w:r>
            <w:r>
              <w:rPr>
                <w:rFonts w:ascii="宋体" w:hAnsi="宋体" w:eastAsia="宋体"/>
                <w:sz w:val="16"/>
              </w:rPr>
              <w:t>聘用，造成指标偏差。改进措施：按照工作实际设置指标。</w:t>
            </w:r>
          </w:p>
        </w:tc>
      </w:tr>
      <w:tr w14:paraId="52677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9F5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E2A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92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7787">
            <w:pPr>
              <w:jc w:val="center"/>
            </w:pPr>
            <w:r>
              <w:rPr>
                <w:rFonts w:ascii="宋体" w:hAnsi="宋体" w:eastAsia="宋体"/>
                <w:sz w:val="16"/>
              </w:rPr>
              <w:t>驻外招商片区人员到达率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E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0A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9C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8F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87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C6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12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965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EC30C">
            <w:pPr>
              <w:jc w:val="center"/>
            </w:pPr>
          </w:p>
        </w:tc>
      </w:tr>
      <w:tr w14:paraId="2E2F8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49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376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85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6B8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39B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5A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8B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46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B0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8EA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49E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52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0FFB7">
            <w:pPr>
              <w:jc w:val="center"/>
            </w:pPr>
          </w:p>
        </w:tc>
      </w:tr>
      <w:tr w14:paraId="28B71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A7E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7021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6D3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2ACF">
            <w:pPr>
              <w:jc w:val="center"/>
            </w:pPr>
            <w:r>
              <w:rPr>
                <w:rFonts w:ascii="宋体" w:hAnsi="宋体" w:eastAsia="宋体"/>
                <w:sz w:val="16"/>
              </w:rPr>
              <w:t>宣传优惠政策成本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B819">
            <w:pPr>
              <w:jc w:val="center"/>
            </w:pPr>
            <w:r>
              <w:rPr>
                <w:rFonts w:ascii="宋体" w:hAnsi="宋体" w:eastAsia="宋体"/>
                <w:sz w:val="16"/>
              </w:rPr>
              <w:t>&lt;=128万元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E14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8E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78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31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B5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6E87">
            <w:pPr>
              <w:jc w:val="center"/>
            </w:pPr>
            <w:r>
              <w:rPr>
                <w:rFonts w:ascii="宋体" w:hAnsi="宋体" w:eastAsia="宋体"/>
                <w:sz w:val="16"/>
              </w:rPr>
              <w: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3B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12CC4">
            <w:pPr>
              <w:jc w:val="center"/>
            </w:pPr>
          </w:p>
        </w:tc>
      </w:tr>
      <w:tr w14:paraId="625539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2B8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A67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4E8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B185">
            <w:pPr>
              <w:jc w:val="center"/>
            </w:pPr>
            <w:r>
              <w:rPr>
                <w:rFonts w:ascii="宋体" w:hAnsi="宋体" w:eastAsia="宋体"/>
                <w:sz w:val="16"/>
              </w:rPr>
              <w:t>招商引资工作支出费用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D7C0">
            <w:pPr>
              <w:jc w:val="center"/>
            </w:pPr>
            <w:r>
              <w:rPr>
                <w:rFonts w:ascii="宋体" w:hAnsi="宋体" w:eastAsia="宋体"/>
                <w:sz w:val="16"/>
              </w:rPr>
              <w:t>&lt;=748.64万元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BB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1A35">
            <w:pPr>
              <w:jc w:val="center"/>
            </w:pPr>
            <w:r>
              <w:rPr>
                <w:rFonts w:ascii="宋体" w:hAnsi="宋体" w:eastAsia="宋体"/>
                <w:sz w:val="16"/>
              </w:rPr>
              <w:t>208.04万元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1D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62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E7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4D96">
            <w:pPr>
              <w:jc w:val="center"/>
            </w:pPr>
            <w:r>
              <w:rPr>
                <w:rFonts w:ascii="宋体" w:hAnsi="宋体" w:eastAsia="宋体"/>
                <w:sz w:val="16"/>
              </w:rPr>
              <w:t>=707.34万元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FE81">
            <w:pPr>
              <w:jc w:val="center"/>
            </w:pPr>
            <w:r>
              <w:rPr>
                <w:rFonts w:ascii="宋体" w:hAnsi="宋体" w:eastAsia="宋体"/>
                <w:sz w:val="16"/>
              </w:rPr>
              <w:t>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85FD1">
            <w:pPr>
              <w:jc w:val="center"/>
            </w:pPr>
            <w:r>
              <w:rPr>
                <w:rFonts w:ascii="宋体" w:hAnsi="宋体" w:eastAsia="宋体"/>
                <w:sz w:val="16"/>
              </w:rPr>
              <w:t>偏差原因：指标值设置不精准，造成偏差。改进措施：提高指标设置精准度。</w:t>
            </w:r>
          </w:p>
        </w:tc>
      </w:tr>
      <w:tr w14:paraId="3E3F7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131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6A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5EB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1291">
            <w:pPr>
              <w:jc w:val="center"/>
            </w:pPr>
            <w:r>
              <w:rPr>
                <w:rFonts w:ascii="宋体" w:hAnsi="宋体" w:eastAsia="宋体"/>
                <w:sz w:val="16"/>
              </w:rPr>
              <w:t>劳务费支出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8A1C">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BD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EB42">
            <w:pPr>
              <w:jc w:val="center"/>
            </w:pPr>
            <w:r>
              <w:rPr>
                <w:rFonts w:ascii="宋体" w:hAnsi="宋体" w:eastAsia="宋体"/>
                <w:sz w:val="16"/>
              </w:rPr>
              <w:t>21.12万元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B4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D6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EC9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DED11">
            <w:pPr>
              <w:jc w:val="center"/>
            </w:pPr>
            <w:r>
              <w:rPr>
                <w:rFonts w:ascii="宋体" w:hAnsi="宋体" w:eastAsia="宋体"/>
                <w:sz w:val="16"/>
              </w:rPr>
              <w:t>=12.07万元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2095">
            <w:pPr>
              <w:jc w:val="center"/>
            </w:pPr>
            <w:r>
              <w:rPr>
                <w:rFonts w:ascii="宋体" w:hAnsi="宋体" w:eastAsia="宋体"/>
                <w:sz w:val="16"/>
              </w:rPr>
              <w:t>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DF55B">
            <w:pPr>
              <w:jc w:val="center"/>
            </w:pPr>
            <w:r>
              <w:rPr>
                <w:rFonts w:ascii="宋体" w:hAnsi="宋体" w:eastAsia="宋体"/>
                <w:sz w:val="16"/>
              </w:rPr>
              <w:t>偏差原因：解聘三名工作人员，造成劳务费支出结余，指标未完成。改进措施：提高指标设置精准度。</w:t>
            </w:r>
          </w:p>
        </w:tc>
      </w:tr>
      <w:tr w14:paraId="2A8128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FAE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6E7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5DA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1366">
            <w:pPr>
              <w:jc w:val="center"/>
            </w:pPr>
            <w:r>
              <w:rPr>
                <w:rFonts w:ascii="宋体" w:hAnsi="宋体" w:eastAsia="宋体"/>
                <w:sz w:val="16"/>
              </w:rPr>
              <w:t>2024年招商引资区外到位资金总额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9D97">
            <w:pPr>
              <w:jc w:val="center"/>
            </w:pPr>
            <w:r>
              <w:rPr>
                <w:rFonts w:ascii="宋体" w:hAnsi="宋体" w:eastAsia="宋体"/>
                <w:sz w:val="16"/>
              </w:rPr>
              <w:t>&gt;=500亿元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535D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2608">
            <w:pPr>
              <w:jc w:val="center"/>
            </w:pPr>
            <w:r>
              <w:rPr>
                <w:rFonts w:ascii="宋体" w:hAnsi="宋体" w:eastAsia="宋体"/>
                <w:sz w:val="16"/>
              </w:rPr>
              <w:t>400亿元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77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8D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6B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BFA0">
            <w:pPr>
              <w:jc w:val="center"/>
            </w:pPr>
            <w:r>
              <w:rPr>
                <w:rFonts w:ascii="宋体" w:hAnsi="宋体" w:eastAsia="宋体"/>
                <w:sz w:val="16"/>
              </w:rPr>
              <w:t>=505.09亿元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AFAE">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F593B">
            <w:pPr>
              <w:jc w:val="center"/>
            </w:pPr>
            <w:r>
              <w:rPr>
                <w:rFonts w:ascii="宋体" w:hAnsi="宋体" w:eastAsia="宋体"/>
                <w:sz w:val="16"/>
              </w:rPr>
              <w:t>偏差原因：全地区形成全民招商大格局，任务超额完成。改进措施：提高指标设置精准度。</w:t>
            </w:r>
          </w:p>
        </w:tc>
      </w:tr>
      <w:tr w14:paraId="6A648F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858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49D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2E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B6229">
            <w:pPr>
              <w:jc w:val="center"/>
            </w:pPr>
            <w:r>
              <w:rPr>
                <w:rFonts w:ascii="宋体" w:hAnsi="宋体" w:eastAsia="宋体"/>
                <w:sz w:val="16"/>
              </w:rPr>
              <w:t>促进就业人数增加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218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37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A1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4A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EC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70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B0A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0F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147D8">
            <w:pPr>
              <w:jc w:val="center"/>
            </w:pPr>
          </w:p>
        </w:tc>
      </w:tr>
      <w:tr w14:paraId="53560C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669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AA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99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2BB5">
            <w:pPr>
              <w:jc w:val="center"/>
            </w:pPr>
            <w:r>
              <w:rPr>
                <w:rFonts w:ascii="宋体" w:hAnsi="宋体" w:eastAsia="宋体"/>
                <w:sz w:val="16"/>
              </w:rPr>
              <w:t>驻外招商片区人员满意度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5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B0E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94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26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2BD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90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B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21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0165A">
            <w:pPr>
              <w:jc w:val="center"/>
            </w:pPr>
          </w:p>
        </w:tc>
      </w:tr>
      <w:tr w14:paraId="621B7F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ED6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D1FA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0C7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C39CA8">
            <w:pPr>
              <w:jc w:val="center"/>
            </w:pPr>
            <w:r>
              <w:rPr>
                <w:rFonts w:ascii="宋体" w:hAnsi="宋体" w:eastAsia="宋体"/>
                <w:sz w:val="16"/>
              </w:rPr>
              <w:t>88.19分</w:t>
            </w:r>
          </w:p>
        </w:tc>
      </w:tr>
    </w:tbl>
    <w:p w14:paraId="7233200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E473924">
        <w:tblPrEx>
          <w:tblCellMar>
            <w:top w:w="0" w:type="dxa"/>
            <w:left w:w="108" w:type="dxa"/>
            <w:bottom w:w="0" w:type="dxa"/>
            <w:right w:w="108" w:type="dxa"/>
          </w:tblCellMar>
        </w:tblPrEx>
        <w:tc>
          <w:tcPr>
            <w:tcW w:w="8848" w:type="dxa"/>
            <w:gridSpan w:val="14"/>
            <w:vAlign w:val="center"/>
          </w:tcPr>
          <w:p w14:paraId="40317AA4">
            <w:pPr>
              <w:jc w:val="center"/>
            </w:pPr>
            <w:r>
              <w:rPr>
                <w:rFonts w:ascii="宋体" w:hAnsi="宋体" w:eastAsia="宋体"/>
                <w:sz w:val="24"/>
              </w:rPr>
              <w:t>项目支出绩效自评表</w:t>
            </w:r>
          </w:p>
        </w:tc>
      </w:tr>
      <w:tr w14:paraId="5702D22E">
        <w:tblPrEx>
          <w:tblCellMar>
            <w:top w:w="0" w:type="dxa"/>
            <w:left w:w="108" w:type="dxa"/>
            <w:bottom w:w="0" w:type="dxa"/>
            <w:right w:w="108" w:type="dxa"/>
          </w:tblCellMar>
        </w:tblPrEx>
        <w:tc>
          <w:tcPr>
            <w:tcW w:w="8848" w:type="dxa"/>
            <w:gridSpan w:val="14"/>
            <w:vAlign w:val="center"/>
          </w:tcPr>
          <w:p w14:paraId="40A2335E">
            <w:pPr>
              <w:jc w:val="center"/>
            </w:pPr>
            <w:r>
              <w:rPr>
                <w:rFonts w:ascii="宋体" w:hAnsi="宋体" w:eastAsia="宋体"/>
                <w:sz w:val="24"/>
              </w:rPr>
              <w:t>(2024年度)</w:t>
            </w:r>
          </w:p>
        </w:tc>
      </w:tr>
      <w:tr w14:paraId="2DE0EE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9B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5EC038">
            <w:pPr>
              <w:jc w:val="center"/>
            </w:pPr>
            <w:r>
              <w:rPr>
                <w:rFonts w:ascii="宋体" w:hAnsi="宋体" w:eastAsia="宋体"/>
                <w:sz w:val="16"/>
              </w:rPr>
              <w:t>2024年鲁喀企业家交流项目</w:t>
            </w:r>
          </w:p>
        </w:tc>
      </w:tr>
      <w:tr w14:paraId="7AA0D9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D0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D3981">
            <w:pPr>
              <w:jc w:val="center"/>
            </w:pPr>
            <w:r>
              <w:rPr>
                <w:rFonts w:ascii="宋体" w:hAnsi="宋体" w:eastAsia="宋体"/>
                <w:sz w:val="16"/>
              </w:rPr>
              <w:t>新疆维吾尔自治区喀什地区招商局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557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C81678">
            <w:pPr>
              <w:jc w:val="center"/>
            </w:pPr>
            <w:r>
              <w:rPr>
                <w:rFonts w:ascii="宋体" w:hAnsi="宋体" w:eastAsia="宋体"/>
                <w:sz w:val="16"/>
              </w:rPr>
              <w:t>新疆维吾尔自治区喀什地区招商局</w:t>
            </w:r>
          </w:p>
        </w:tc>
      </w:tr>
      <w:tr w14:paraId="20C923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FE0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CF2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BC1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408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2A3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3E8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752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6AE0">
            <w:pPr>
              <w:jc w:val="center"/>
            </w:pPr>
            <w:r>
              <w:rPr>
                <w:rFonts w:ascii="宋体" w:hAnsi="宋体" w:eastAsia="宋体"/>
                <w:sz w:val="16"/>
              </w:rPr>
              <w:t>得分</w:t>
            </w:r>
          </w:p>
        </w:tc>
      </w:tr>
      <w:tr w14:paraId="6876E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BDB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E09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980AA">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125A4">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E5A0E">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E7C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5CE0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912C">
            <w:pPr>
              <w:jc w:val="center"/>
            </w:pPr>
            <w:r>
              <w:rPr>
                <w:rFonts w:ascii="宋体" w:hAnsi="宋体" w:eastAsia="宋体"/>
                <w:sz w:val="16"/>
              </w:rPr>
              <w:t>10.00分</w:t>
            </w:r>
          </w:p>
        </w:tc>
      </w:tr>
      <w:tr w14:paraId="22F76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012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C1B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0F9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526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D5C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5F8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0EA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440F">
            <w:pPr>
              <w:jc w:val="center"/>
            </w:pPr>
            <w:r>
              <w:rPr>
                <w:rFonts w:ascii="宋体" w:hAnsi="宋体" w:eastAsia="宋体"/>
                <w:sz w:val="16"/>
              </w:rPr>
              <w:t>—</w:t>
            </w:r>
          </w:p>
        </w:tc>
      </w:tr>
      <w:tr w14:paraId="24443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E51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A7E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8DBB3">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733C2">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B2179">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D2F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7D3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43E0">
            <w:pPr>
              <w:jc w:val="center"/>
            </w:pPr>
            <w:r>
              <w:rPr>
                <w:rFonts w:ascii="宋体" w:hAnsi="宋体" w:eastAsia="宋体"/>
                <w:sz w:val="16"/>
              </w:rPr>
              <w:t>—</w:t>
            </w:r>
          </w:p>
        </w:tc>
      </w:tr>
      <w:tr w14:paraId="4527D8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7E4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041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9F7170">
            <w:pPr>
              <w:jc w:val="center"/>
            </w:pPr>
            <w:r>
              <w:rPr>
                <w:rFonts w:ascii="宋体" w:hAnsi="宋体" w:eastAsia="宋体"/>
                <w:sz w:val="16"/>
              </w:rPr>
              <w:t>实际完成情况</w:t>
            </w:r>
          </w:p>
        </w:tc>
      </w:tr>
      <w:tr w14:paraId="44494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855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E63D5">
            <w:pPr>
              <w:jc w:val="both"/>
            </w:pPr>
            <w:r>
              <w:rPr>
                <w:rFonts w:ascii="宋体" w:hAnsi="宋体" w:eastAsia="宋体"/>
                <w:sz w:val="16"/>
              </w:rPr>
              <w:t>片区分局年度内走访对接企业200家以上，其中500强企业不少于15家.片区分局年度</w:t>
            </w:r>
            <w:bookmarkStart w:id="0" w:name="_GoBack"/>
            <w:bookmarkEnd w:id="0"/>
            <w:r>
              <w:rPr>
                <w:rFonts w:ascii="宋体" w:hAnsi="宋体" w:eastAsia="宋体"/>
                <w:sz w:val="16"/>
              </w:rPr>
              <w:t>招引区外项目签约合同金额20亿元，其中亿元以上工业制造业项目不少于5个，力促项目落地当年形成投资4亿元以上.各片区分局年度内开展百人以上规模招商推介活动4场次。年底招</w:t>
            </w:r>
            <w:r>
              <w:rPr>
                <w:rFonts w:hint="eastAsia" w:ascii="宋体" w:hAnsi="宋体"/>
                <w:sz w:val="16"/>
                <w:lang w:eastAsia="zh-CN"/>
              </w:rPr>
              <w:t>商引资</w:t>
            </w:r>
            <w:r>
              <w:rPr>
                <w:rFonts w:ascii="宋体" w:hAnsi="宋体" w:eastAsia="宋体"/>
                <w:sz w:val="16"/>
              </w:rPr>
              <w:t>落地资金达500亿元。加强了喀什与援疆省市的交流交融。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2F7F69">
            <w:pPr>
              <w:jc w:val="both"/>
            </w:pPr>
            <w:r>
              <w:rPr>
                <w:rFonts w:ascii="宋体" w:hAnsi="宋体" w:eastAsia="宋体"/>
                <w:sz w:val="16"/>
              </w:rPr>
              <w:t>成功举办</w:t>
            </w:r>
            <w:r>
              <w:rPr>
                <w:rFonts w:hint="eastAsia" w:ascii="宋体" w:hAnsi="宋体"/>
                <w:sz w:val="16"/>
                <w:lang w:eastAsia="zh-CN"/>
              </w:rPr>
              <w:t>一期</w:t>
            </w:r>
            <w:r>
              <w:rPr>
                <w:rFonts w:ascii="宋体" w:hAnsi="宋体" w:eastAsia="宋体"/>
                <w:sz w:val="16"/>
              </w:rPr>
              <w:t>大型招商推介会，有效促进我地区现代商贸物流产业、纺织服装产业、新能源产业等合作，着力引进一批产业类重点项目落地喀什。有效加强了喀什地区与山东省企业家的交流交融。成功招引一批山东企业来喀投资兴业。</w:t>
            </w:r>
          </w:p>
        </w:tc>
      </w:tr>
      <w:tr w14:paraId="014C35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A76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A2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D0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A03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A56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99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67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FDE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5F9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65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D4A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1E3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06D83">
            <w:pPr>
              <w:jc w:val="center"/>
            </w:pPr>
            <w:r>
              <w:rPr>
                <w:rFonts w:ascii="宋体" w:hAnsi="宋体" w:eastAsia="宋体"/>
                <w:sz w:val="16"/>
              </w:rPr>
              <w:t>偏差原因分析及改进措施</w:t>
            </w:r>
          </w:p>
        </w:tc>
      </w:tr>
      <w:tr w14:paraId="0ACE7C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700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F407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267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EA8F">
            <w:pPr>
              <w:jc w:val="center"/>
            </w:pPr>
            <w:r>
              <w:rPr>
                <w:rFonts w:ascii="宋体" w:hAnsi="宋体" w:eastAsia="宋体"/>
                <w:sz w:val="16"/>
              </w:rPr>
              <w:t>宣传优惠政策汇编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668C">
            <w:pPr>
              <w:jc w:val="center"/>
            </w:pPr>
            <w:r>
              <w:rPr>
                <w:rFonts w:ascii="宋体" w:hAnsi="宋体" w:eastAsia="宋体"/>
                <w:sz w:val="16"/>
              </w:rPr>
              <w:t>&gt;=500册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8F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6235">
            <w:pPr>
              <w:jc w:val="center"/>
            </w:pPr>
            <w:r>
              <w:rPr>
                <w:rFonts w:ascii="宋体" w:hAnsi="宋体" w:eastAsia="宋体"/>
                <w:sz w:val="16"/>
              </w:rPr>
              <w:t>400册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C3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B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F1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5FF9">
            <w:pPr>
              <w:jc w:val="center"/>
            </w:pPr>
            <w:r>
              <w:rPr>
                <w:rFonts w:ascii="宋体" w:hAnsi="宋体" w:eastAsia="宋体"/>
                <w:sz w:val="16"/>
              </w:rPr>
              <w: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BF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26CCB">
            <w:pPr>
              <w:jc w:val="center"/>
            </w:pPr>
          </w:p>
        </w:tc>
      </w:tr>
      <w:tr w14:paraId="65F704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E08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CE9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1A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3102">
            <w:pPr>
              <w:jc w:val="center"/>
            </w:pPr>
            <w:r>
              <w:rPr>
                <w:rFonts w:ascii="宋体" w:hAnsi="宋体" w:eastAsia="宋体"/>
                <w:sz w:val="16"/>
              </w:rPr>
              <w:t>外出参展或招商次数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AD6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43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F74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FF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50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8A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949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12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EA71C">
            <w:pPr>
              <w:jc w:val="center"/>
            </w:pPr>
          </w:p>
        </w:tc>
      </w:tr>
      <w:tr w14:paraId="704A8E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68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D4A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07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6A06">
            <w:pPr>
              <w:jc w:val="center"/>
            </w:pPr>
            <w:r>
              <w:rPr>
                <w:rFonts w:ascii="宋体" w:hAnsi="宋体" w:eastAsia="宋体"/>
                <w:sz w:val="16"/>
              </w:rPr>
              <w:t>驻外招商片区人员到达率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AD6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A8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D6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84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B9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B47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2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36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12449">
            <w:pPr>
              <w:jc w:val="center"/>
            </w:pPr>
          </w:p>
        </w:tc>
      </w:tr>
      <w:tr w14:paraId="62226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91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6B8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14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E6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DDD7">
            <w:pPr>
              <w:jc w:val="center"/>
            </w:pPr>
            <w:r>
              <w:rPr>
                <w:rFonts w:ascii="宋体" w:hAnsi="宋体" w:eastAsia="宋体"/>
                <w:sz w:val="16"/>
              </w:rPr>
              <w:t>=2024年12月5日前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EB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BA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6E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99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472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9D8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0E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1690C">
            <w:pPr>
              <w:jc w:val="center"/>
            </w:pPr>
          </w:p>
        </w:tc>
      </w:tr>
      <w:tr w14:paraId="46EA6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0B3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B149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490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3EB7B">
            <w:pPr>
              <w:jc w:val="center"/>
            </w:pPr>
            <w:r>
              <w:rPr>
                <w:rFonts w:ascii="宋体" w:hAnsi="宋体" w:eastAsia="宋体"/>
                <w:sz w:val="16"/>
              </w:rPr>
              <w:t>宣传优惠政策成本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9F93">
            <w:pPr>
              <w:jc w:val="center"/>
            </w:pPr>
            <w:r>
              <w:rPr>
                <w:rFonts w:ascii="宋体" w:hAnsi="宋体" w:eastAsia="宋体"/>
                <w:sz w:val="16"/>
              </w:rPr>
              <w:t>&lt;=64元/册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09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53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36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8B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45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EF44">
            <w:pPr>
              <w:jc w:val="center"/>
            </w:pPr>
            <w:r>
              <w:rPr>
                <w:rFonts w:ascii="宋体" w:hAnsi="宋体" w:eastAsia="宋体"/>
                <w:sz w:val="16"/>
              </w:rPr>
              <w:t>=64元/册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4B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542D1">
            <w:pPr>
              <w:jc w:val="center"/>
            </w:pPr>
          </w:p>
        </w:tc>
      </w:tr>
      <w:tr w14:paraId="01F39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8E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B80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B4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FD13">
            <w:pPr>
              <w:jc w:val="center"/>
            </w:pPr>
            <w:r>
              <w:rPr>
                <w:rFonts w:ascii="宋体" w:hAnsi="宋体" w:eastAsia="宋体"/>
                <w:sz w:val="16"/>
              </w:rPr>
              <w:t>招商引资工作支出费用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5C1F">
            <w:pPr>
              <w:jc w:val="center"/>
            </w:pPr>
            <w:r>
              <w:rPr>
                <w:rFonts w:ascii="宋体" w:hAnsi="宋体" w:eastAsia="宋体"/>
                <w:sz w:val="16"/>
              </w:rPr>
              <w:t>&lt;=3.54万元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19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91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3E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A9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95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9C8A">
            <w:pPr>
              <w:jc w:val="center"/>
            </w:pPr>
            <w:r>
              <w:rPr>
                <w:rFonts w:ascii="宋体" w:hAnsi="宋体" w:eastAsia="宋体"/>
                <w:sz w:val="16"/>
              </w:rPr>
              <w:t>=3.54万元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1E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6EB8E">
            <w:pPr>
              <w:jc w:val="center"/>
            </w:pPr>
          </w:p>
        </w:tc>
      </w:tr>
      <w:tr w14:paraId="24192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401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082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9EB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07BB">
            <w:pPr>
              <w:jc w:val="center"/>
            </w:pPr>
            <w:r>
              <w:rPr>
                <w:rFonts w:ascii="宋体" w:hAnsi="宋体" w:eastAsia="宋体"/>
                <w:sz w:val="16"/>
              </w:rPr>
              <w:t>2024年招商引资区外到位资金总额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0AAB">
            <w:pPr>
              <w:jc w:val="center"/>
            </w:pPr>
            <w:r>
              <w:rPr>
                <w:rFonts w:ascii="宋体" w:hAnsi="宋体" w:eastAsia="宋体"/>
                <w:sz w:val="16"/>
              </w:rPr>
              <w:t>&gt;=500亿元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93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D1AC">
            <w:pPr>
              <w:jc w:val="center"/>
            </w:pPr>
            <w:r>
              <w:rPr>
                <w:rFonts w:ascii="宋体" w:hAnsi="宋体" w:eastAsia="宋体"/>
                <w:sz w:val="16"/>
              </w:rPr>
              <w:t>400亿元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40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2F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93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7E97">
            <w:pPr>
              <w:jc w:val="center"/>
            </w:pPr>
            <w:r>
              <w:rPr>
                <w:rFonts w:ascii="宋体" w:hAnsi="宋体" w:eastAsia="宋体"/>
                <w:sz w:val="16"/>
              </w:rPr>
              <w:t>=500亿元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768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63C6C">
            <w:pPr>
              <w:jc w:val="center"/>
            </w:pPr>
          </w:p>
        </w:tc>
      </w:tr>
      <w:tr w14:paraId="68A98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4CA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6FA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98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C453">
            <w:pPr>
              <w:jc w:val="center"/>
            </w:pPr>
            <w:r>
              <w:rPr>
                <w:rFonts w:ascii="宋体" w:hAnsi="宋体" w:eastAsia="宋体"/>
                <w:sz w:val="16"/>
              </w:rPr>
              <w:t>加强援疆省市与喀什的交往交融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384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6F5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AD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F1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CD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32F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7CA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3E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B0468">
            <w:pPr>
              <w:jc w:val="center"/>
            </w:pPr>
          </w:p>
        </w:tc>
      </w:tr>
      <w:tr w14:paraId="5F9F8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8F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A0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83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DF61">
            <w:pPr>
              <w:jc w:val="center"/>
            </w:pPr>
            <w:r>
              <w:rPr>
                <w:rFonts w:ascii="宋体" w:hAnsi="宋体" w:eastAsia="宋体"/>
                <w:sz w:val="16"/>
              </w:rPr>
              <w:t>驻点招商工作人员满意度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15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9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FA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4F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92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86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5A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FD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D7DBD">
            <w:pPr>
              <w:jc w:val="center"/>
            </w:pPr>
          </w:p>
        </w:tc>
      </w:tr>
      <w:tr w14:paraId="640791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A51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F06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642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DD683D">
            <w:pPr>
              <w:jc w:val="center"/>
            </w:pPr>
            <w:r>
              <w:rPr>
                <w:rFonts w:ascii="宋体" w:hAnsi="宋体" w:eastAsia="宋体"/>
                <w:sz w:val="16"/>
              </w:rPr>
              <w:t>100分</w:t>
            </w:r>
          </w:p>
        </w:tc>
      </w:tr>
    </w:tbl>
    <w:p w14:paraId="2BF00653">
      <w:r>
        <w:br w:type="page"/>
      </w:r>
    </w:p>
    <w:p w14:paraId="7D08C43A">
      <w:pPr>
        <w:spacing w:line="640" w:lineRule="exact"/>
        <w:ind w:firstLine="640"/>
        <w:jc w:val="both"/>
        <w:outlineLvl w:val="2"/>
      </w:pPr>
      <w:r>
        <w:rPr>
          <w:rFonts w:ascii="黑体" w:hAnsi="黑体" w:eastAsia="黑体"/>
          <w:sz w:val="32"/>
        </w:rPr>
        <w:t>十二、其他需说明的事项</w:t>
      </w:r>
    </w:p>
    <w:p w14:paraId="5869069C">
      <w:pPr>
        <w:spacing w:line="580" w:lineRule="exact"/>
        <w:ind w:firstLine="640"/>
        <w:jc w:val="both"/>
      </w:pPr>
      <w:r>
        <w:rPr>
          <w:rFonts w:ascii="仿宋_GB2312" w:hAnsi="仿宋_GB2312" w:eastAsia="仿宋_GB2312"/>
          <w:b w:val="0"/>
          <w:sz w:val="32"/>
        </w:rPr>
        <w:t>本部门无其他需说明的事项。</w:t>
      </w:r>
    </w:p>
    <w:p w14:paraId="0FE9685E">
      <w:r>
        <w:br w:type="page"/>
      </w:r>
    </w:p>
    <w:p w14:paraId="28E14C48">
      <w:pPr>
        <w:spacing w:line="240" w:lineRule="auto"/>
        <w:jc w:val="center"/>
        <w:outlineLvl w:val="1"/>
      </w:pPr>
      <w:r>
        <w:rPr>
          <w:rFonts w:ascii="黑体" w:hAnsi="黑体" w:eastAsia="黑体"/>
          <w:sz w:val="32"/>
        </w:rPr>
        <w:t>第三部分 专业名词解释</w:t>
      </w:r>
    </w:p>
    <w:p w14:paraId="1A2DBF0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F99E9E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D2000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76FCB6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07A51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66B78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F88432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23004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4F9FE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B07E91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B878C1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6B365B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4FE2F1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D91C4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5FDBE51">
      <w:r>
        <w:br w:type="page"/>
      </w:r>
    </w:p>
    <w:p w14:paraId="41F6781C">
      <w:pPr>
        <w:spacing w:line="240" w:lineRule="auto"/>
        <w:jc w:val="center"/>
        <w:outlineLvl w:val="1"/>
      </w:pPr>
      <w:r>
        <w:rPr>
          <w:rFonts w:ascii="黑体" w:hAnsi="黑体" w:eastAsia="黑体"/>
          <w:sz w:val="32"/>
        </w:rPr>
        <w:t>第四部分 部门决算报表（见附表）</w:t>
      </w:r>
    </w:p>
    <w:p w14:paraId="486E9799">
      <w:pPr>
        <w:spacing w:line="240" w:lineRule="auto"/>
        <w:ind w:firstLine="640"/>
        <w:jc w:val="both"/>
      </w:pPr>
      <w:r>
        <w:rPr>
          <w:rFonts w:ascii="仿宋_GB2312" w:hAnsi="仿宋_GB2312" w:eastAsia="仿宋_GB2312"/>
          <w:b w:val="0"/>
          <w:sz w:val="32"/>
        </w:rPr>
        <w:t>一、《收入支出决算总表》</w:t>
      </w:r>
    </w:p>
    <w:p w14:paraId="38F64778">
      <w:pPr>
        <w:spacing w:line="240" w:lineRule="auto"/>
        <w:ind w:firstLine="640"/>
        <w:jc w:val="both"/>
      </w:pPr>
      <w:r>
        <w:rPr>
          <w:rFonts w:ascii="仿宋_GB2312" w:hAnsi="仿宋_GB2312" w:eastAsia="仿宋_GB2312"/>
          <w:b w:val="0"/>
          <w:sz w:val="32"/>
        </w:rPr>
        <w:t>二、《收入决算表》</w:t>
      </w:r>
    </w:p>
    <w:p w14:paraId="5CF49817">
      <w:pPr>
        <w:spacing w:line="240" w:lineRule="auto"/>
        <w:ind w:firstLine="640"/>
        <w:jc w:val="both"/>
      </w:pPr>
      <w:r>
        <w:rPr>
          <w:rFonts w:ascii="仿宋_GB2312" w:hAnsi="仿宋_GB2312" w:eastAsia="仿宋_GB2312"/>
          <w:b w:val="0"/>
          <w:sz w:val="32"/>
        </w:rPr>
        <w:t>三、《支出决算表》</w:t>
      </w:r>
    </w:p>
    <w:p w14:paraId="340499D4">
      <w:pPr>
        <w:spacing w:line="240" w:lineRule="auto"/>
        <w:ind w:firstLine="640"/>
        <w:jc w:val="both"/>
      </w:pPr>
      <w:r>
        <w:rPr>
          <w:rFonts w:ascii="仿宋_GB2312" w:hAnsi="仿宋_GB2312" w:eastAsia="仿宋_GB2312"/>
          <w:b w:val="0"/>
          <w:sz w:val="32"/>
        </w:rPr>
        <w:t>四、《财政拨款收入支出决算总表》</w:t>
      </w:r>
    </w:p>
    <w:p w14:paraId="6843E1DF">
      <w:pPr>
        <w:spacing w:line="240" w:lineRule="auto"/>
        <w:ind w:firstLine="640"/>
        <w:jc w:val="both"/>
      </w:pPr>
      <w:r>
        <w:rPr>
          <w:rFonts w:ascii="仿宋_GB2312" w:hAnsi="仿宋_GB2312" w:eastAsia="仿宋_GB2312"/>
          <w:b w:val="0"/>
          <w:sz w:val="32"/>
        </w:rPr>
        <w:t>五、《一般公共预算财政拨款支出决算表》</w:t>
      </w:r>
    </w:p>
    <w:p w14:paraId="715E45D4">
      <w:pPr>
        <w:spacing w:line="240" w:lineRule="auto"/>
        <w:ind w:firstLine="640"/>
        <w:jc w:val="both"/>
      </w:pPr>
      <w:r>
        <w:rPr>
          <w:rFonts w:ascii="仿宋_GB2312" w:hAnsi="仿宋_GB2312" w:eastAsia="仿宋_GB2312"/>
          <w:b w:val="0"/>
          <w:sz w:val="32"/>
        </w:rPr>
        <w:t>六、《一般公共预算财政拨款基本支出决算表》</w:t>
      </w:r>
    </w:p>
    <w:p w14:paraId="1CD9CD6C">
      <w:pPr>
        <w:spacing w:line="240" w:lineRule="auto"/>
        <w:ind w:firstLine="640"/>
        <w:jc w:val="both"/>
      </w:pPr>
      <w:r>
        <w:rPr>
          <w:rFonts w:ascii="仿宋_GB2312" w:hAnsi="仿宋_GB2312" w:eastAsia="仿宋_GB2312"/>
          <w:b w:val="0"/>
          <w:sz w:val="32"/>
        </w:rPr>
        <w:t>七、《政府性基金预算财政拨款收入支出决算表》</w:t>
      </w:r>
    </w:p>
    <w:p w14:paraId="5FBDF9A7">
      <w:pPr>
        <w:spacing w:line="240" w:lineRule="auto"/>
        <w:ind w:firstLine="640"/>
        <w:jc w:val="both"/>
      </w:pPr>
      <w:r>
        <w:rPr>
          <w:rFonts w:ascii="仿宋_GB2312" w:hAnsi="仿宋_GB2312" w:eastAsia="仿宋_GB2312"/>
          <w:b w:val="0"/>
          <w:sz w:val="32"/>
        </w:rPr>
        <w:t>八、《国有资本经营预算财政拨款收入支出决算表》</w:t>
      </w:r>
    </w:p>
    <w:p w14:paraId="59CE63BA">
      <w:pPr>
        <w:spacing w:line="240" w:lineRule="auto"/>
        <w:ind w:firstLine="640"/>
        <w:jc w:val="both"/>
      </w:pPr>
      <w:r>
        <w:rPr>
          <w:rFonts w:ascii="仿宋_GB2312" w:hAnsi="仿宋_GB2312" w:eastAsia="仿宋_GB2312"/>
          <w:b w:val="0"/>
          <w:sz w:val="32"/>
        </w:rPr>
        <w:t>九、《财政拨款“三公”经费支出决算表》</w:t>
      </w:r>
    </w:p>
    <w:p w14:paraId="369E71AB">
      <w:pPr>
        <w:spacing w:line="240" w:lineRule="auto"/>
        <w:ind w:firstLine="640"/>
        <w:jc w:val="both"/>
      </w:pPr>
    </w:p>
    <w:p w14:paraId="455DF5BB">
      <w:pPr>
        <w:spacing w:line="240" w:lineRule="auto"/>
        <w:ind w:firstLine="640"/>
        <w:jc w:val="both"/>
      </w:pPr>
    </w:p>
    <w:p w14:paraId="12B99426">
      <w:pPr>
        <w:spacing w:line="240" w:lineRule="auto"/>
        <w:ind w:firstLine="640"/>
        <w:jc w:val="both"/>
      </w:pPr>
    </w:p>
    <w:p w14:paraId="1AD15575">
      <w:pPr>
        <w:spacing w:line="240" w:lineRule="auto"/>
        <w:ind w:firstLine="640"/>
        <w:jc w:val="both"/>
      </w:pPr>
    </w:p>
    <w:p w14:paraId="77C3EB3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1114B8"/>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E61DCC"/>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5484</Words>
  <Characters>6210</Characters>
  <Lines>0</Lines>
  <Paragraphs>0</Paragraphs>
  <TotalTime>5</TotalTime>
  <ScaleCrop>false</ScaleCrop>
  <LinksUpToDate>false</LinksUpToDate>
  <CharactersWithSpaces>6218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2025-09-04T05:40:14Z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