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新疆维吾尔自治区喀什地区民族事务委员会2024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A103988">
      <w:r>
        <w:br w:type="page"/>
      </w:r>
    </w:p>
    <w:p w14:paraId="3FAAEBD9">
      <w:pPr>
        <w:spacing w:line="640" w:lineRule="exact"/>
        <w:jc w:val="center"/>
        <w:outlineLvl w:val="1"/>
      </w:pPr>
      <w:r>
        <w:rPr>
          <w:rFonts w:ascii="黑体" w:hAnsi="黑体" w:eastAsia="黑体"/>
          <w:sz w:val="32"/>
        </w:rPr>
        <w:t>第一部分 部门概况</w:t>
      </w:r>
    </w:p>
    <w:p w14:paraId="40F91F47">
      <w:pPr>
        <w:spacing w:line="640" w:lineRule="exact"/>
        <w:ind w:firstLine="640"/>
        <w:jc w:val="both"/>
        <w:outlineLvl w:val="2"/>
      </w:pPr>
      <w:r>
        <w:rPr>
          <w:rFonts w:ascii="黑体" w:hAnsi="黑体" w:eastAsia="黑体"/>
          <w:sz w:val="32"/>
        </w:rPr>
        <w:t>一、主要职能</w:t>
      </w:r>
    </w:p>
    <w:p w14:paraId="0136A66F">
      <w:pPr>
        <w:spacing w:line="580" w:lineRule="exact"/>
        <w:ind w:firstLine="640"/>
        <w:jc w:val="both"/>
      </w:pPr>
      <w:r>
        <w:rPr>
          <w:rFonts w:ascii="仿宋_GB2312" w:hAnsi="仿宋_GB2312" w:eastAsia="仿宋_GB2312"/>
          <w:sz w:val="32"/>
        </w:rPr>
        <w:t>本部门主要职能</w:t>
      </w:r>
      <w:r>
        <w:rPr>
          <w:rFonts w:hint="eastAsia" w:ascii="仿宋_GB2312" w:hAnsi="仿宋_GB2312" w:eastAsia="仿宋_GB2312"/>
          <w:sz w:val="32"/>
          <w:lang w:val="en-US" w:eastAsia="zh-CN"/>
        </w:rPr>
        <w:t>涉密</w:t>
      </w:r>
      <w:r>
        <w:rPr>
          <w:rFonts w:ascii="仿宋_GB2312" w:hAnsi="仿宋_GB2312" w:eastAsia="仿宋_GB2312"/>
          <w:sz w:val="32"/>
        </w:rPr>
        <w:t>不予公开。</w:t>
      </w:r>
    </w:p>
    <w:p w14:paraId="02671577">
      <w:pPr>
        <w:spacing w:line="640" w:lineRule="exact"/>
        <w:ind w:firstLine="640"/>
        <w:jc w:val="both"/>
        <w:outlineLvl w:val="2"/>
      </w:pPr>
      <w:r>
        <w:rPr>
          <w:rFonts w:ascii="黑体" w:hAnsi="黑体" w:eastAsia="黑体"/>
          <w:sz w:val="32"/>
        </w:rPr>
        <w:t>二、机构设置及人员情况</w:t>
      </w:r>
    </w:p>
    <w:p w14:paraId="7AFFE501">
      <w:pPr>
        <w:spacing w:line="580" w:lineRule="exact"/>
        <w:ind w:firstLine="640"/>
        <w:jc w:val="both"/>
      </w:pPr>
      <w:r>
        <w:rPr>
          <w:rFonts w:ascii="仿宋_GB2312" w:hAnsi="仿宋_GB2312" w:eastAsia="仿宋_GB2312"/>
          <w:sz w:val="32"/>
        </w:rPr>
        <w:t>本部门机构设置及人员情况</w:t>
      </w:r>
      <w:r>
        <w:rPr>
          <w:rFonts w:hint="eastAsia" w:ascii="仿宋_GB2312" w:hAnsi="仿宋_GB2312" w:eastAsia="仿宋_GB2312"/>
          <w:sz w:val="32"/>
          <w:lang w:val="en-US" w:eastAsia="zh-CN"/>
        </w:rPr>
        <w:t>涉密</w:t>
      </w:r>
      <w:r>
        <w:rPr>
          <w:rFonts w:ascii="仿宋_GB2312" w:hAnsi="仿宋_GB2312" w:eastAsia="仿宋_GB2312"/>
          <w:sz w:val="32"/>
        </w:rPr>
        <w:t>不予公开。</w:t>
      </w:r>
    </w:p>
    <w:p w14:paraId="7BCDF484">
      <w:r>
        <w:br w:type="page"/>
      </w:r>
    </w:p>
    <w:p w14:paraId="562C553D">
      <w:pPr>
        <w:spacing w:line="240" w:lineRule="auto"/>
        <w:jc w:val="center"/>
        <w:outlineLvl w:val="1"/>
      </w:pPr>
      <w:r>
        <w:rPr>
          <w:rFonts w:ascii="黑体" w:hAnsi="黑体" w:eastAsia="黑体"/>
          <w:sz w:val="32"/>
        </w:rPr>
        <w:t>第二部分 部门决算情况说明</w:t>
      </w:r>
    </w:p>
    <w:p w14:paraId="17BFA47F">
      <w:pPr>
        <w:spacing w:line="640" w:lineRule="exact"/>
        <w:ind w:firstLine="640"/>
        <w:jc w:val="both"/>
        <w:outlineLvl w:val="2"/>
      </w:pPr>
      <w:r>
        <w:rPr>
          <w:rFonts w:ascii="黑体" w:hAnsi="黑体" w:eastAsia="黑体"/>
          <w:sz w:val="32"/>
        </w:rPr>
        <w:t>一、收入支出决算总体情况说明</w:t>
      </w:r>
    </w:p>
    <w:p w14:paraId="6DA9BA34">
      <w:pPr>
        <w:spacing w:line="580" w:lineRule="exact"/>
        <w:ind w:firstLine="640"/>
        <w:jc w:val="both"/>
      </w:pPr>
      <w:r>
        <w:rPr>
          <w:rFonts w:ascii="仿宋_GB2312" w:hAnsi="仿宋_GB2312" w:eastAsia="仿宋_GB2312"/>
          <w:b/>
          <w:sz w:val="32"/>
        </w:rPr>
        <w:t>2024年度收入总计1,033.63万元，</w:t>
      </w:r>
      <w:r>
        <w:rPr>
          <w:rFonts w:ascii="仿宋_GB2312" w:hAnsi="仿宋_GB2312" w:eastAsia="仿宋_GB2312"/>
          <w:b w:val="0"/>
          <w:sz w:val="32"/>
        </w:rPr>
        <w:t>其中：本年收入合计1,033.63万元，使用非财政拨款结余（含专用结余）0.00万元，年初结转和结余0.00万元。</w:t>
      </w:r>
    </w:p>
    <w:p w14:paraId="21E1CE59">
      <w:pPr>
        <w:spacing w:line="580" w:lineRule="exact"/>
        <w:ind w:firstLine="640"/>
        <w:jc w:val="both"/>
      </w:pPr>
      <w:r>
        <w:rPr>
          <w:rFonts w:ascii="仿宋_GB2312" w:hAnsi="仿宋_GB2312" w:eastAsia="仿宋_GB2312"/>
          <w:b/>
          <w:sz w:val="32"/>
        </w:rPr>
        <w:t>2024年度支出总计1,033.63万元，</w:t>
      </w:r>
      <w:r>
        <w:rPr>
          <w:rFonts w:ascii="仿宋_GB2312" w:hAnsi="仿宋_GB2312" w:eastAsia="仿宋_GB2312"/>
          <w:b w:val="0"/>
          <w:sz w:val="32"/>
        </w:rPr>
        <w:t>其中：本年支出合计1,033.63万元，结余分配0.00万元，年末结转和结余0.00万元。</w:t>
      </w:r>
    </w:p>
    <w:p w14:paraId="1FF852AF">
      <w:pPr>
        <w:spacing w:line="580" w:lineRule="exact"/>
        <w:ind w:firstLine="640"/>
        <w:jc w:val="both"/>
      </w:pPr>
      <w:r>
        <w:rPr>
          <w:rFonts w:ascii="仿宋_GB2312" w:hAnsi="仿宋_GB2312" w:eastAsia="仿宋_GB2312"/>
          <w:b w:val="0"/>
          <w:sz w:val="32"/>
        </w:rPr>
        <w:t>收入支出总体与上年相比，减少138.42万元，下降11.81%，主要原因是：本年在职人员减少，相关人员经费较上年减少，减少奖励金经费，减少（创建办）迎国检相关保障工作经费项目、民族团结创建专项工作保障等项目经费，导致相关经费减少。</w:t>
      </w:r>
    </w:p>
    <w:p w14:paraId="59F748CD">
      <w:pPr>
        <w:spacing w:line="640" w:lineRule="exact"/>
        <w:ind w:firstLine="640"/>
        <w:jc w:val="both"/>
        <w:outlineLvl w:val="2"/>
      </w:pPr>
      <w:r>
        <w:rPr>
          <w:rFonts w:ascii="黑体" w:hAnsi="黑体" w:eastAsia="黑体"/>
          <w:sz w:val="32"/>
        </w:rPr>
        <w:t>二、收入决算情况说明</w:t>
      </w:r>
    </w:p>
    <w:p w14:paraId="5E79DF55">
      <w:pPr>
        <w:spacing w:line="580" w:lineRule="exact"/>
        <w:ind w:firstLine="640"/>
        <w:jc w:val="both"/>
      </w:pPr>
      <w:r>
        <w:rPr>
          <w:rFonts w:ascii="仿宋_GB2312" w:hAnsi="仿宋_GB2312" w:eastAsia="仿宋_GB2312"/>
          <w:b/>
          <w:sz w:val="32"/>
        </w:rPr>
        <w:t>本年收入1,033.63万元，</w:t>
      </w:r>
      <w:r>
        <w:rPr>
          <w:rFonts w:ascii="仿宋_GB2312" w:hAnsi="仿宋_GB2312" w:eastAsia="仿宋_GB2312"/>
          <w:b w:val="0"/>
          <w:sz w:val="32"/>
        </w:rPr>
        <w:t>其中：财政拨款收入866.91万元，占83.87%；上级补助收入0.00万元，占0.00%；事业收入0.00万元，占0.00%；经营收入0.00万元，占0.00%；附属单位上缴收入0.00万元，占0.00%；其他收入166.71万元，占16.13%。</w:t>
      </w:r>
    </w:p>
    <w:p w14:paraId="0BF29A21">
      <w:pPr>
        <w:spacing w:line="640" w:lineRule="exact"/>
        <w:ind w:firstLine="640"/>
        <w:jc w:val="both"/>
        <w:outlineLvl w:val="2"/>
      </w:pPr>
      <w:r>
        <w:rPr>
          <w:rFonts w:ascii="黑体" w:hAnsi="黑体" w:eastAsia="黑体"/>
          <w:sz w:val="32"/>
        </w:rPr>
        <w:t>三、支出决算情况说明</w:t>
      </w:r>
    </w:p>
    <w:p w14:paraId="2B036F3A">
      <w:pPr>
        <w:spacing w:line="580" w:lineRule="exact"/>
        <w:ind w:firstLine="640"/>
        <w:jc w:val="both"/>
      </w:pPr>
      <w:r>
        <w:rPr>
          <w:rFonts w:ascii="仿宋_GB2312" w:hAnsi="仿宋_GB2312" w:eastAsia="仿宋_GB2312"/>
          <w:b/>
          <w:sz w:val="32"/>
        </w:rPr>
        <w:t>本年支出1,033.63万元，</w:t>
      </w:r>
      <w:r>
        <w:rPr>
          <w:rFonts w:ascii="仿宋_GB2312" w:hAnsi="仿宋_GB2312" w:eastAsia="仿宋_GB2312"/>
          <w:b w:val="0"/>
          <w:sz w:val="32"/>
        </w:rPr>
        <w:t>其中：基本支出794.30万元，占76.85%；项目支出239.33万元，占23.15%；上缴上级支出0.00万元，占0.00%；经营支出0.00万元，占0.00%；对附属单位补助支出0.00万元，占0.00%。</w:t>
      </w:r>
    </w:p>
    <w:p w14:paraId="7149EF74">
      <w:pPr>
        <w:spacing w:line="640" w:lineRule="exact"/>
        <w:ind w:firstLine="640"/>
        <w:jc w:val="both"/>
        <w:outlineLvl w:val="2"/>
      </w:pPr>
      <w:r>
        <w:rPr>
          <w:rFonts w:ascii="黑体" w:hAnsi="黑体" w:eastAsia="黑体"/>
          <w:sz w:val="32"/>
        </w:rPr>
        <w:t>四、财政拨款收入支出决算总体情况说明</w:t>
      </w:r>
    </w:p>
    <w:p w14:paraId="7DC8FA36">
      <w:pPr>
        <w:spacing w:line="580" w:lineRule="exact"/>
        <w:ind w:firstLine="640"/>
        <w:jc w:val="both"/>
      </w:pPr>
      <w:r>
        <w:rPr>
          <w:rFonts w:ascii="仿宋_GB2312" w:hAnsi="仿宋_GB2312" w:eastAsia="仿宋_GB2312"/>
          <w:b/>
          <w:sz w:val="32"/>
        </w:rPr>
        <w:t>2024年度财政拨款收入总计866.91万元，</w:t>
      </w:r>
      <w:r>
        <w:rPr>
          <w:rFonts w:ascii="仿宋_GB2312" w:hAnsi="仿宋_GB2312" w:eastAsia="仿宋_GB2312"/>
          <w:b w:val="0"/>
          <w:sz w:val="32"/>
        </w:rPr>
        <w:t>其中：年初财政拨款结转和结余0.00万元，本年财政拨款收入866.91万元。</w:t>
      </w:r>
      <w:r>
        <w:rPr>
          <w:rFonts w:ascii="仿宋_GB2312" w:hAnsi="仿宋_GB2312" w:eastAsia="仿宋_GB2312"/>
          <w:b/>
          <w:sz w:val="32"/>
        </w:rPr>
        <w:t>财政拨款支出总计866.91万元，</w:t>
      </w:r>
      <w:r>
        <w:rPr>
          <w:rFonts w:ascii="仿宋_GB2312" w:hAnsi="仿宋_GB2312" w:eastAsia="仿宋_GB2312"/>
          <w:b w:val="0"/>
          <w:sz w:val="32"/>
        </w:rPr>
        <w:t>其中：年末财政拨款结转和结余0.00万元，本年财政拨款支出866.91万元。</w:t>
      </w:r>
    </w:p>
    <w:p w14:paraId="7010BE8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305.14万元，下降26.03%，主要原因是：本年在职人员减少，相关人员经费较上年减少，减少奖励金经费，减少（创建办）迎国检相关保障工作经费项目、民族团结创建专项工作保障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年初预算数1,032.21万元，决算数866.91万元，预决算差异率-16.01%，主要原因是：本年在职人员减少，年中调减人员经费，年中调减民族团结进步专项工作保障项目，导致预决算存在差异。</w:t>
      </w:r>
    </w:p>
    <w:p w14:paraId="6B4CF989">
      <w:pPr>
        <w:spacing w:line="640" w:lineRule="exact"/>
        <w:ind w:firstLine="640"/>
        <w:jc w:val="both"/>
        <w:outlineLvl w:val="2"/>
      </w:pPr>
      <w:r>
        <w:rPr>
          <w:rFonts w:ascii="黑体" w:hAnsi="黑体" w:eastAsia="黑体"/>
          <w:sz w:val="32"/>
        </w:rPr>
        <w:t>五、一般公共预算财政拨款支出决算情况说明</w:t>
      </w:r>
    </w:p>
    <w:p w14:paraId="5F57A17E">
      <w:pPr>
        <w:spacing w:line="640" w:lineRule="exact"/>
        <w:ind w:firstLine="640"/>
        <w:jc w:val="both"/>
        <w:outlineLvl w:val="3"/>
      </w:pPr>
      <w:r>
        <w:rPr>
          <w:rFonts w:ascii="楷体_GB2312" w:hAnsi="楷体_GB2312" w:eastAsia="楷体_GB2312"/>
          <w:b/>
          <w:sz w:val="32"/>
        </w:rPr>
        <w:t>（一）一般公共预算财政拨款支出决算总体情况</w:t>
      </w:r>
    </w:p>
    <w:p w14:paraId="017079C8">
      <w:pPr>
        <w:spacing w:line="580" w:lineRule="exact"/>
        <w:ind w:firstLine="640"/>
        <w:jc w:val="both"/>
      </w:pPr>
      <w:r>
        <w:rPr>
          <w:rFonts w:ascii="仿宋_GB2312" w:hAnsi="仿宋_GB2312" w:eastAsia="仿宋_GB2312"/>
          <w:b/>
          <w:sz w:val="32"/>
        </w:rPr>
        <w:t>2024年度一般公共预算财政拨款支出866.91万元，</w:t>
      </w:r>
      <w:r>
        <w:rPr>
          <w:rFonts w:ascii="仿宋_GB2312" w:hAnsi="仿宋_GB2312" w:eastAsia="仿宋_GB2312"/>
          <w:b w:val="0"/>
          <w:sz w:val="32"/>
        </w:rPr>
        <w:t>占本年支出合计的83.87%。</w:t>
      </w:r>
      <w:r>
        <w:rPr>
          <w:rFonts w:ascii="仿宋_GB2312" w:hAnsi="仿宋_GB2312" w:eastAsia="仿宋_GB2312"/>
          <w:b/>
          <w:sz w:val="32"/>
        </w:rPr>
        <w:t>与上年相比，</w:t>
      </w:r>
      <w:r>
        <w:rPr>
          <w:rFonts w:ascii="仿宋_GB2312" w:hAnsi="仿宋_GB2312" w:eastAsia="仿宋_GB2312"/>
          <w:b w:val="0"/>
          <w:sz w:val="32"/>
        </w:rPr>
        <w:t>减少305.14万元，下降26.03%，主要原因是：本年在职人员减少，相关人员经费较上年减少，减少奖励金经费，减少（创建办）迎国检相关保障工作经费项目、民族团结创建专项工作保障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年初预算数1,032.21万元，决算数866.91万元，预决算差异率-16.01%，主要原因是：本年在职人员减少，年中调减人员经费，年中调减民族团结进步专项工作保障项目，导致预决算存在差异。</w:t>
      </w:r>
    </w:p>
    <w:p w14:paraId="2573FA76">
      <w:pPr>
        <w:spacing w:line="640" w:lineRule="exact"/>
        <w:ind w:firstLine="640"/>
        <w:jc w:val="both"/>
        <w:outlineLvl w:val="3"/>
      </w:pPr>
      <w:r>
        <w:rPr>
          <w:rFonts w:ascii="楷体_GB2312" w:hAnsi="楷体_GB2312" w:eastAsia="楷体_GB2312"/>
          <w:b/>
          <w:sz w:val="32"/>
        </w:rPr>
        <w:t>（二）一般公共预算财政拨款支出决算结构情况</w:t>
      </w:r>
    </w:p>
    <w:p w14:paraId="5C82F1F0">
      <w:pPr>
        <w:spacing w:line="580" w:lineRule="exact"/>
        <w:ind w:firstLine="640"/>
        <w:jc w:val="both"/>
      </w:pPr>
      <w:r>
        <w:rPr>
          <w:rFonts w:ascii="仿宋_GB2312" w:hAnsi="仿宋_GB2312" w:eastAsia="仿宋_GB2312"/>
          <w:b w:val="0"/>
          <w:sz w:val="32"/>
        </w:rPr>
        <w:t>1.一般公共服务支出(类)651.22万元,占75.12%。</w:t>
      </w:r>
    </w:p>
    <w:p w14:paraId="08EF5125">
      <w:pPr>
        <w:spacing w:line="580" w:lineRule="exact"/>
        <w:ind w:firstLine="640"/>
        <w:jc w:val="both"/>
      </w:pPr>
      <w:r>
        <w:rPr>
          <w:rFonts w:ascii="仿宋_GB2312" w:hAnsi="仿宋_GB2312" w:eastAsia="仿宋_GB2312"/>
          <w:b w:val="0"/>
          <w:sz w:val="32"/>
        </w:rPr>
        <w:t>2.社会保障和就业支出(类)130.06万元,占15.00%。</w:t>
      </w:r>
    </w:p>
    <w:p w14:paraId="5FD9DE80">
      <w:pPr>
        <w:spacing w:line="580" w:lineRule="exact"/>
        <w:ind w:firstLine="640"/>
        <w:jc w:val="both"/>
      </w:pPr>
      <w:r>
        <w:rPr>
          <w:rFonts w:ascii="仿宋_GB2312" w:hAnsi="仿宋_GB2312" w:eastAsia="仿宋_GB2312"/>
          <w:b w:val="0"/>
          <w:sz w:val="32"/>
        </w:rPr>
        <w:t>3.卫生健康支出(类)32.22万元,占3.72%。</w:t>
      </w:r>
    </w:p>
    <w:p w14:paraId="03F82F55">
      <w:pPr>
        <w:spacing w:line="580" w:lineRule="exact"/>
        <w:ind w:firstLine="640"/>
        <w:jc w:val="both"/>
      </w:pPr>
      <w:r>
        <w:rPr>
          <w:rFonts w:ascii="仿宋_GB2312" w:hAnsi="仿宋_GB2312" w:eastAsia="仿宋_GB2312"/>
          <w:b w:val="0"/>
          <w:sz w:val="32"/>
        </w:rPr>
        <w:t>4.住房保障支出(类)53.42万元,占6.16%。</w:t>
      </w:r>
    </w:p>
    <w:p w14:paraId="181A3F09">
      <w:pPr>
        <w:spacing w:line="640" w:lineRule="exact"/>
        <w:ind w:firstLine="640"/>
        <w:jc w:val="both"/>
        <w:outlineLvl w:val="3"/>
      </w:pPr>
      <w:r>
        <w:rPr>
          <w:rFonts w:ascii="楷体_GB2312" w:hAnsi="楷体_GB2312" w:eastAsia="楷体_GB2312"/>
          <w:b/>
          <w:sz w:val="32"/>
        </w:rPr>
        <w:t>（三）一般公共预算财政拨款支出决算具体情况</w:t>
      </w:r>
    </w:p>
    <w:p w14:paraId="193FC4F4">
      <w:pPr>
        <w:spacing w:line="580" w:lineRule="exact"/>
        <w:ind w:firstLine="640"/>
        <w:jc w:val="both"/>
      </w:pPr>
      <w:r>
        <w:rPr>
          <w:rFonts w:ascii="仿宋_GB2312" w:hAnsi="仿宋_GB2312" w:eastAsia="仿宋_GB2312"/>
          <w:b w:val="0"/>
          <w:sz w:val="32"/>
        </w:rPr>
        <w:t>1.一般公共服务支出(类)民族事务(款)行政运行(项):支出决算数为574.36万元，比上年决算减少162.08万元，下降22.01%,主要原因是：本年在职人员减少，相关人员经费较上年减少，减少奖励金经费，导致相关经费减少。</w:t>
      </w:r>
    </w:p>
    <w:p w14:paraId="0BD6818F">
      <w:pPr>
        <w:spacing w:line="580" w:lineRule="exact"/>
        <w:ind w:firstLine="640"/>
        <w:jc w:val="both"/>
      </w:pPr>
      <w:r>
        <w:rPr>
          <w:rFonts w:ascii="仿宋_GB2312" w:hAnsi="仿宋_GB2312" w:eastAsia="仿宋_GB2312"/>
          <w:b w:val="0"/>
          <w:sz w:val="32"/>
        </w:rPr>
        <w:t>2.一般公共服务支出(类)民族事务(款)一般行政管理事务(项):支出决算数为72.61万元，比上年决算减少128.06万元，下降63.82%,主要原因是：本年减少（创建办）迎国检相关保障工作经费项目、民族团结创建专项工作保障等项目经费，导致相关经费减少。</w:t>
      </w:r>
    </w:p>
    <w:p w14:paraId="57D2E4E9">
      <w:pPr>
        <w:spacing w:line="580" w:lineRule="exact"/>
        <w:ind w:firstLine="640"/>
        <w:jc w:val="both"/>
      </w:pPr>
      <w:r>
        <w:rPr>
          <w:rFonts w:ascii="仿宋_GB2312" w:hAnsi="仿宋_GB2312" w:eastAsia="仿宋_GB2312"/>
          <w:b w:val="0"/>
          <w:sz w:val="32"/>
        </w:rPr>
        <w:t>3.一般公共服务支出(类)党委办公厅（室）及相关机构事务(款)一般行政管理事务(项):支出决算数为0.00万元，比上年决算减少2.00万元，下降100.00%,主要原因是：本年无第一书记为民办实事经费项目，导致经费较上年减少。</w:t>
      </w:r>
    </w:p>
    <w:p w14:paraId="41451991">
      <w:pPr>
        <w:spacing w:line="580" w:lineRule="exact"/>
        <w:ind w:firstLine="640"/>
        <w:jc w:val="both"/>
      </w:pPr>
      <w:r>
        <w:rPr>
          <w:rFonts w:ascii="仿宋_GB2312" w:hAnsi="仿宋_GB2312" w:eastAsia="仿宋_GB2312"/>
          <w:b w:val="0"/>
          <w:sz w:val="32"/>
        </w:rPr>
        <w:t>4.一般公共服务支出(类)统战事务(款)宗教事务(项):支出决算数为4.24万元，比上年决算增加3.26万元，增长332.65%,主要原因是：本年增加ZS人员生活补助，导致经费较上年增加。</w:t>
      </w:r>
    </w:p>
    <w:p w14:paraId="7293DC40">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5.社会保障和就业支出(类)行政事业单位养老支出(款)行政单位离退休(项):支出决算数为32.99万元，比上年决算增加8.17万元，增长32.92%,主要原因是：本年增加退休人员基础绩效奖，退休费支出增加。</w:t>
      </w:r>
    </w:p>
    <w:p w14:paraId="1B5B0606">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63.29万元，比上年决算减少6.63万元，下降9.48%,主要原因是：本年在职人员减少，单位基本养老保险缴费较上年减少。</w:t>
      </w:r>
    </w:p>
    <w:p w14:paraId="6D7DD078">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33.79万元，比上年决算增加25.70万元，增长317.68%,主要原因是：本年新增退休人员较上年增加，职业年金缴费支出增加。</w:t>
      </w:r>
    </w:p>
    <w:p w14:paraId="53FF4EC9">
      <w:pPr>
        <w:spacing w:line="580" w:lineRule="exact"/>
        <w:ind w:firstLine="640"/>
        <w:jc w:val="both"/>
      </w:pPr>
      <w:r>
        <w:rPr>
          <w:rFonts w:ascii="仿宋_GB2312" w:hAnsi="仿宋_GB2312" w:eastAsia="仿宋_GB2312"/>
          <w:b w:val="0"/>
          <w:sz w:val="32"/>
        </w:rPr>
        <w:t>8.社会保障和就业支出(类)抚恤(款)死亡抚恤(项):支出决算数为0.00万元，比上年决算减少32.59万元，下降100.00%,主要原因是：本年无新增死亡人员，死亡抚恤支出较上年减少。</w:t>
      </w:r>
    </w:p>
    <w:p w14:paraId="43E89498">
      <w:pPr>
        <w:spacing w:line="580" w:lineRule="exact"/>
        <w:ind w:firstLine="640"/>
        <w:jc w:val="both"/>
      </w:pPr>
      <w:r>
        <w:rPr>
          <w:rFonts w:ascii="仿宋_GB2312" w:hAnsi="仿宋_GB2312" w:eastAsia="仿宋_GB2312"/>
          <w:b w:val="0"/>
          <w:sz w:val="32"/>
        </w:rPr>
        <w:t>9.卫生健康支出(类)行政事业单位医疗(款)行政单位医疗(项):支出决算数为26.98万元，比上年决算减少2.73万元，下降9.19%,主要原因是：本年在职人员减少，行政单位医疗支出较上年减少。</w:t>
      </w:r>
    </w:p>
    <w:p w14:paraId="1E589914">
      <w:pPr>
        <w:spacing w:line="580" w:lineRule="exact"/>
        <w:ind w:firstLine="640"/>
        <w:jc w:val="both"/>
      </w:pPr>
      <w:r>
        <w:rPr>
          <w:rFonts w:ascii="仿宋_GB2312" w:hAnsi="仿宋_GB2312" w:eastAsia="仿宋_GB2312"/>
          <w:b w:val="0"/>
          <w:sz w:val="32"/>
        </w:rPr>
        <w:t>10.卫生健康支出(类)行政事业单位医疗(款)公务员医疗补助(项):支出决算数为5.24万元，比上年决算减少1.34万元，下降20.36%,主要原因是：本年在职人员减少，公务员医疗补助较上年减少。</w:t>
      </w:r>
    </w:p>
    <w:p w14:paraId="52112B83">
      <w:pPr>
        <w:spacing w:line="580" w:lineRule="exact"/>
        <w:ind w:firstLine="640"/>
        <w:jc w:val="both"/>
      </w:pPr>
      <w:r>
        <w:rPr>
          <w:rFonts w:ascii="仿宋_GB2312" w:hAnsi="仿宋_GB2312" w:eastAsia="仿宋_GB2312"/>
          <w:b w:val="0"/>
          <w:sz w:val="32"/>
        </w:rPr>
        <w:t>11.住房保障支出(类)住房改革支出(款)住房公积金(项):支出决算数为53.42万元，比上年决算减少5.07万元，下降8.67%,主要原因是：本年在职人员减少，住房公积金缴费较上年减少。</w:t>
      </w:r>
    </w:p>
    <w:p w14:paraId="6EA14DB8">
      <w:pPr>
        <w:spacing w:line="580" w:lineRule="exact"/>
        <w:ind w:firstLine="640"/>
        <w:jc w:val="both"/>
      </w:pPr>
      <w:r>
        <w:rPr>
          <w:rFonts w:ascii="仿宋_GB2312" w:hAnsi="仿宋_GB2312" w:eastAsia="仿宋_GB2312"/>
          <w:b w:val="0"/>
          <w:sz w:val="32"/>
        </w:rPr>
        <w:t>12.其他支出(类)其他支出(款)其他支出(项):支出决算数为0.00万元，比上年决算减少1.74万元，下降100.00%,主要原因是：本年科目调整，专项项目经费上年在其他支出科目列支，本年调整至一般行政管理事务科目列支，导致相关经费减少。</w:t>
      </w:r>
    </w:p>
    <w:p w14:paraId="4BC9F921">
      <w:pPr>
        <w:spacing w:line="640" w:lineRule="exact"/>
        <w:ind w:firstLine="640"/>
        <w:jc w:val="both"/>
        <w:outlineLvl w:val="2"/>
      </w:pPr>
      <w:r>
        <w:rPr>
          <w:rFonts w:ascii="黑体" w:hAnsi="黑体" w:eastAsia="黑体"/>
          <w:sz w:val="32"/>
        </w:rPr>
        <w:t>六、一般公共预算财政拨款基本支出决算情况说明</w:t>
      </w:r>
    </w:p>
    <w:p w14:paraId="4783CACB">
      <w:pPr>
        <w:spacing w:line="580" w:lineRule="exact"/>
        <w:ind w:firstLine="640"/>
        <w:jc w:val="both"/>
      </w:pPr>
      <w:r>
        <w:rPr>
          <w:rFonts w:ascii="仿宋_GB2312" w:hAnsi="仿宋_GB2312" w:eastAsia="仿宋_GB2312"/>
          <w:b w:val="0"/>
          <w:sz w:val="32"/>
        </w:rPr>
        <w:t>2024年度一般公共预算财政拨款基本支出794.30万元，其中：</w:t>
      </w:r>
      <w:r>
        <w:rPr>
          <w:rFonts w:ascii="仿宋_GB2312" w:hAnsi="仿宋_GB2312" w:eastAsia="仿宋_GB2312"/>
          <w:b/>
          <w:sz w:val="32"/>
        </w:rPr>
        <w:t>人员经费750.11万元，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5259F015">
      <w:pPr>
        <w:spacing w:line="580" w:lineRule="exact"/>
        <w:ind w:firstLine="640"/>
        <w:jc w:val="both"/>
      </w:pPr>
      <w:r>
        <w:rPr>
          <w:rFonts w:ascii="仿宋_GB2312" w:hAnsi="仿宋_GB2312" w:eastAsia="仿宋_GB2312"/>
          <w:b/>
          <w:sz w:val="32"/>
        </w:rPr>
        <w:t>公用经费44.19万元，</w:t>
      </w:r>
      <w:r>
        <w:rPr>
          <w:rFonts w:ascii="仿宋_GB2312" w:hAnsi="仿宋_GB2312" w:eastAsia="仿宋_GB2312"/>
          <w:b w:val="0"/>
          <w:sz w:val="32"/>
        </w:rPr>
        <w:t>包括：办公费、水费、电费、邮电费、取暖费、差旅费、维修（护）费、专用材料费、工会经费、公务用车运行维护费、其他交通费用、其他商品和服务支出。</w:t>
      </w:r>
    </w:p>
    <w:p w14:paraId="61D4D479">
      <w:pPr>
        <w:spacing w:line="640" w:lineRule="exact"/>
        <w:ind w:firstLine="640"/>
        <w:jc w:val="both"/>
        <w:outlineLvl w:val="2"/>
      </w:pPr>
      <w:r>
        <w:rPr>
          <w:rFonts w:ascii="黑体" w:hAnsi="黑体" w:eastAsia="黑体"/>
          <w:sz w:val="32"/>
        </w:rPr>
        <w:t>七、政府性基金预算财政拨款收入支出决算情况说明</w:t>
      </w:r>
    </w:p>
    <w:p w14:paraId="0E067C7C">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054A1F0">
      <w:pPr>
        <w:spacing w:line="640" w:lineRule="exact"/>
        <w:ind w:firstLine="640"/>
        <w:jc w:val="both"/>
        <w:outlineLvl w:val="2"/>
      </w:pPr>
      <w:r>
        <w:rPr>
          <w:rFonts w:ascii="黑体" w:hAnsi="黑体" w:eastAsia="黑体"/>
          <w:sz w:val="32"/>
        </w:rPr>
        <w:t>八、国有资本经营预算财政拨款收入支出决算情况说明</w:t>
      </w:r>
    </w:p>
    <w:p w14:paraId="778744D9">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F549509">
      <w:pPr>
        <w:spacing w:line="640" w:lineRule="exact"/>
        <w:ind w:firstLine="640"/>
        <w:jc w:val="both"/>
        <w:outlineLvl w:val="2"/>
      </w:pPr>
      <w:r>
        <w:rPr>
          <w:rFonts w:ascii="黑体" w:hAnsi="黑体" w:eastAsia="黑体"/>
          <w:sz w:val="32"/>
        </w:rPr>
        <w:t>九、财政拨款“三公”经费支出决算情况说明</w:t>
      </w:r>
    </w:p>
    <w:p w14:paraId="077A108F">
      <w:pPr>
        <w:spacing w:line="580" w:lineRule="exact"/>
        <w:ind w:firstLine="640"/>
        <w:jc w:val="both"/>
      </w:pPr>
      <w:r>
        <w:rPr>
          <w:rFonts w:ascii="仿宋_GB2312" w:hAnsi="仿宋_GB2312" w:eastAsia="仿宋_GB2312"/>
          <w:b/>
          <w:sz w:val="32"/>
        </w:rPr>
        <w:t>2024年度财政拨款“三公”经费支出7.24万元，</w:t>
      </w:r>
      <w:r>
        <w:rPr>
          <w:rFonts w:ascii="仿宋_GB2312" w:hAnsi="仿宋_GB2312" w:eastAsia="仿宋_GB2312"/>
          <w:b w:val="0"/>
          <w:sz w:val="32"/>
        </w:rPr>
        <w:t>比上年减少1.16万元，下降13.81%，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7.24万元，占100.00%，比上年减少1.16万元，下降13.81%，主要原因是：严格落实中央八项规定精神，厉行节约，减少公务用车运行维护费。公务接待费支出0.00万元，占0.00%，比上年增加0.00万元，增长0.00%，主要原因是：2023年与2024年均未安排公务接待费支出。</w:t>
      </w:r>
    </w:p>
    <w:p w14:paraId="508EA20D">
      <w:pPr>
        <w:spacing w:line="580" w:lineRule="exact"/>
        <w:ind w:firstLine="640"/>
        <w:jc w:val="both"/>
      </w:pPr>
      <w:r>
        <w:rPr>
          <w:rFonts w:ascii="仿宋_GB2312" w:hAnsi="仿宋_GB2312" w:eastAsia="仿宋_GB2312"/>
          <w:b/>
          <w:sz w:val="32"/>
        </w:rPr>
        <w:t>具体情况如下：</w:t>
      </w:r>
    </w:p>
    <w:p w14:paraId="125CC8F0">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EF66C80">
      <w:pPr>
        <w:spacing w:line="580" w:lineRule="exact"/>
        <w:ind w:firstLine="640"/>
        <w:jc w:val="both"/>
      </w:pPr>
      <w:r>
        <w:rPr>
          <w:rFonts w:ascii="仿宋_GB2312" w:hAnsi="仿宋_GB2312" w:eastAsia="仿宋_GB2312"/>
          <w:b w:val="0"/>
          <w:sz w:val="32"/>
        </w:rPr>
        <w:t>公务用车购置及运行维护费7.24万元，其中：公务用车购置费0.00万元，公务用车运行维护费7.24万元。公务用车运行维护费开支内容包括车辆加油费、维修费、保险费、过路费等。公务用车购置数0辆，公务用车保有量1辆。国有资产占用情况中固定资产车辆2辆，与公务用车保有量差异原因是：</w:t>
      </w:r>
      <w:r>
        <w:rPr>
          <w:rFonts w:hint="eastAsia" w:ascii="仿宋_GB2312" w:hAnsi="仿宋_GB2312" w:eastAsia="仿宋_GB2312"/>
          <w:b w:val="0"/>
          <w:sz w:val="32"/>
          <w:lang w:eastAsia="zh-CN"/>
        </w:rPr>
        <w:t>本部门</w:t>
      </w:r>
      <w:r>
        <w:rPr>
          <w:rFonts w:ascii="仿宋_GB2312" w:hAnsi="仿宋_GB2312" w:eastAsia="仿宋_GB2312"/>
          <w:b w:val="0"/>
          <w:sz w:val="32"/>
        </w:rPr>
        <w:t>有1辆公务用车，因涉改原因，需划拨至地委统战部，但暂未办理完成资产系统划转，暂未产生经费。</w:t>
      </w:r>
    </w:p>
    <w:p w14:paraId="2985A498">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E4DD65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7.24万元，决算数7.24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7.24万元，决算数7.24万元，预决算差异率0.00%，主要原因是：严格按照预算执行，预决算无差异。公务接待费全年预算数0.00万元，决算数0.00万元，预决算差异率0.00%，主要原因是：本部门无公务接待费。</w:t>
      </w:r>
    </w:p>
    <w:p w14:paraId="00069A3F">
      <w:pPr>
        <w:spacing w:line="640" w:lineRule="exact"/>
        <w:ind w:firstLine="640"/>
        <w:jc w:val="both"/>
        <w:outlineLvl w:val="2"/>
      </w:pPr>
      <w:r>
        <w:rPr>
          <w:rFonts w:ascii="黑体" w:hAnsi="黑体" w:eastAsia="黑体"/>
          <w:sz w:val="32"/>
        </w:rPr>
        <w:t>十、其他重要事项的情况说明</w:t>
      </w:r>
    </w:p>
    <w:p w14:paraId="763850A3">
      <w:pPr>
        <w:spacing w:line="640" w:lineRule="exact"/>
        <w:ind w:firstLine="640"/>
        <w:jc w:val="both"/>
        <w:outlineLvl w:val="3"/>
      </w:pPr>
      <w:r>
        <w:rPr>
          <w:rFonts w:ascii="楷体_GB2312" w:hAnsi="楷体_GB2312" w:eastAsia="楷体_GB2312"/>
          <w:b/>
          <w:sz w:val="32"/>
        </w:rPr>
        <w:t>（一）机关运行经费及公用经费支出情况</w:t>
      </w:r>
    </w:p>
    <w:p w14:paraId="04673E15">
      <w:pPr>
        <w:spacing w:line="580" w:lineRule="exact"/>
        <w:ind w:firstLine="640"/>
        <w:jc w:val="both"/>
      </w:pPr>
      <w:r>
        <w:rPr>
          <w:rFonts w:ascii="仿宋_GB2312" w:hAnsi="仿宋_GB2312" w:eastAsia="仿宋_GB2312"/>
          <w:b w:val="0"/>
          <w:sz w:val="32"/>
        </w:rPr>
        <w:t>2024年度新疆维吾尔自治区喀什地区民族事务委员会（行政单位和参照公务员法管理事业单位）机关运行经费支出44.19万元，比上年增加1.46万元，增长3.42%，主要原因是：本年办公费、差旅费、水电费等公用经费支出增加。</w:t>
      </w:r>
    </w:p>
    <w:p w14:paraId="3C51AD00">
      <w:pPr>
        <w:spacing w:line="640" w:lineRule="exact"/>
        <w:ind w:firstLine="640"/>
        <w:jc w:val="both"/>
        <w:outlineLvl w:val="3"/>
      </w:pPr>
      <w:r>
        <w:rPr>
          <w:rFonts w:ascii="楷体_GB2312" w:hAnsi="楷体_GB2312" w:eastAsia="楷体_GB2312"/>
          <w:b/>
          <w:sz w:val="32"/>
        </w:rPr>
        <w:t>（二）政府采购情况</w:t>
      </w:r>
    </w:p>
    <w:p w14:paraId="34DA7D37">
      <w:pPr>
        <w:spacing w:line="580" w:lineRule="exact"/>
        <w:ind w:firstLine="640"/>
        <w:jc w:val="both"/>
      </w:pPr>
      <w:r>
        <w:rPr>
          <w:rFonts w:ascii="仿宋_GB2312" w:hAnsi="仿宋_GB2312" w:eastAsia="仿宋_GB2312"/>
          <w:b w:val="0"/>
          <w:sz w:val="32"/>
        </w:rPr>
        <w:t>2024年度政府采购支出总额173.58万元，其中：政府采购货物支出15.61万元、政府采购工程支出0.17万元、政府采购服务支出157.80万元。</w:t>
      </w:r>
    </w:p>
    <w:p w14:paraId="3637674E">
      <w:pPr>
        <w:spacing w:line="580" w:lineRule="exact"/>
        <w:ind w:firstLine="640"/>
        <w:jc w:val="both"/>
      </w:pPr>
      <w:r>
        <w:rPr>
          <w:rFonts w:ascii="仿宋_GB2312" w:hAnsi="仿宋_GB2312" w:eastAsia="仿宋_GB2312"/>
          <w:b w:val="0"/>
          <w:sz w:val="32"/>
        </w:rPr>
        <w:t>授予中小企业合同金额133.23万元，占政府采购支出总额的76.75%，其中：授予小微企业合同金额133.23万元，占政府采购支出总额的76.75%。</w:t>
      </w:r>
    </w:p>
    <w:p w14:paraId="21D012A2">
      <w:pPr>
        <w:spacing w:line="640" w:lineRule="exact"/>
        <w:ind w:firstLine="640"/>
        <w:jc w:val="both"/>
        <w:outlineLvl w:val="3"/>
      </w:pPr>
      <w:r>
        <w:rPr>
          <w:rFonts w:ascii="楷体_GB2312" w:hAnsi="楷体_GB2312" w:eastAsia="楷体_GB2312"/>
          <w:b/>
          <w:sz w:val="32"/>
        </w:rPr>
        <w:t>（三）国有资产占用情况说明</w:t>
      </w:r>
    </w:p>
    <w:p w14:paraId="394A1ACE">
      <w:pPr>
        <w:spacing w:line="580" w:lineRule="exact"/>
        <w:ind w:firstLine="640"/>
        <w:jc w:val="both"/>
      </w:pPr>
      <w:r>
        <w:rPr>
          <w:rFonts w:ascii="仿宋_GB2312" w:hAnsi="仿宋_GB2312" w:eastAsia="仿宋_GB2312"/>
          <w:b w:val="0"/>
          <w:sz w:val="32"/>
        </w:rPr>
        <w:t>截至2024年12月31日，房屋0.00平方米，价值0.00万元。车辆2辆，价值29.42万元，其中：副部（省）级及以上领导用车0辆、主要负责人用车0辆、机要通信用车0辆、应急保障用车0辆、执法执勤用车0辆、特种专业技术用车0辆、离退休干部服务用车0辆、其他用车2辆，其他用车主要是：一般公务用车和单位业务用车。单价100万元（含）以上设备（不含车辆）0台（套）。</w:t>
      </w:r>
    </w:p>
    <w:p w14:paraId="4715F244">
      <w:pPr>
        <w:spacing w:line="640" w:lineRule="exact"/>
        <w:ind w:firstLine="640"/>
        <w:jc w:val="both"/>
        <w:outlineLvl w:val="2"/>
      </w:pPr>
      <w:r>
        <w:rPr>
          <w:rFonts w:ascii="黑体" w:hAnsi="黑体" w:eastAsia="黑体"/>
          <w:sz w:val="32"/>
        </w:rPr>
        <w:t>十一、预算绩效的情况说明</w:t>
      </w:r>
    </w:p>
    <w:p w14:paraId="2B8D982B">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根据预算绩效管理要求，本部门2024年度预算绩效管理形成整体支出绩效自评表1个，全年预算总额1,249.02万元，实际执行总额1,033.62万元；预算绩效评价项目</w:t>
      </w:r>
      <w:r>
        <w:rPr>
          <w:rFonts w:hint="eastAsia" w:ascii="仿宋_GB2312" w:hAnsi="仿宋_GB2312" w:eastAsia="仿宋_GB2312"/>
          <w:b w:val="0"/>
          <w:sz w:val="32"/>
          <w:lang w:val="en-US" w:eastAsia="zh-CN"/>
        </w:rPr>
        <w:t>10</w:t>
      </w:r>
      <w:r>
        <w:rPr>
          <w:rFonts w:ascii="仿宋_GB2312" w:hAnsi="仿宋_GB2312" w:eastAsia="仿宋_GB2312"/>
          <w:b w:val="0"/>
          <w:sz w:val="32"/>
        </w:rPr>
        <w:t>个，全年预算数</w:t>
      </w:r>
      <w:r>
        <w:rPr>
          <w:rFonts w:hint="eastAsia" w:ascii="仿宋_GB2312" w:hAnsi="仿宋_GB2312" w:eastAsia="仿宋_GB2312"/>
          <w:b w:val="0"/>
          <w:sz w:val="32"/>
        </w:rPr>
        <w:t>451.7</w:t>
      </w:r>
      <w:r>
        <w:rPr>
          <w:rFonts w:ascii="仿宋_GB2312" w:hAnsi="仿宋_GB2312" w:eastAsia="仿宋_GB2312"/>
          <w:b w:val="0"/>
          <w:sz w:val="32"/>
        </w:rPr>
        <w:t>万元，全年执行数</w:t>
      </w:r>
      <w:r>
        <w:rPr>
          <w:rFonts w:hint="eastAsia" w:ascii="仿宋_GB2312" w:hAnsi="仿宋_GB2312" w:eastAsia="仿宋_GB2312"/>
          <w:b w:val="0"/>
          <w:sz w:val="32"/>
        </w:rPr>
        <w:t>239.33</w:t>
      </w:r>
      <w:r>
        <w:rPr>
          <w:rFonts w:ascii="仿宋_GB2312" w:hAnsi="仿宋_GB2312" w:eastAsia="仿宋_GB2312"/>
          <w:b w:val="0"/>
          <w:sz w:val="32"/>
        </w:rPr>
        <w:t>万元。预算绩效管理取得的成效：是做“真”绩效评价，做“深”重点评价，做“好”结果应用，树牢“过紧日子”思想，抓好各项绩效管理工作，充分发挥财政资金效益，确保资金精准高效使用。二是提高了项目绩效目标设置质量，严格落实审核流程，科学、合理、全面设置核心指标，去除无用指标，将预算指标设置与实际执行内容、部门经济分类科目相衔接。三是秉持项目资金精准、绩效管理全覆盖、“花钱必问效，无效必问责</w:t>
      </w:r>
      <w:r>
        <w:rPr>
          <w:rFonts w:hint="eastAsia" w:ascii="仿宋_GB2312" w:hAnsi="仿宋_GB2312" w:eastAsia="仿宋_GB2312"/>
          <w:b w:val="0"/>
          <w:sz w:val="32"/>
          <w:lang w:eastAsia="zh-CN"/>
        </w:rPr>
        <w:t>”“</w:t>
      </w:r>
      <w:r>
        <w:rPr>
          <w:rFonts w:ascii="仿宋_GB2312" w:hAnsi="仿宋_GB2312" w:eastAsia="仿宋_GB2312"/>
          <w:b w:val="0"/>
          <w:sz w:val="32"/>
        </w:rPr>
        <w:t>谁使用、谁负责”、绩效管理与资金执行同步、运用绩效评价结果改进项目管理的绩效管理“六个理念”，构建全方位预算绩效管理格局，健全全过程预算绩效管理链条，完善全覆盖预算绩效管理体系，建立资金绩效管理与资金分配挂钩的机制，着力提高资金的配置效率和使用效益，加强预算绩效管理，为提高项目资金的配置效率和使用效益提供有力保障。发现的问题及原因：一是项目由于年初成本指标值设置较高，导致项目成本指标部分未能完成；二是项目实施过程中民族科与财务室缺乏沟通，不能及时提供支付手续，导致项目进展缓慢；三是现场评价的工作量少，后续效益评价具体措施和方法较少。下一步改进措施：一是切实针对项目实施过程中所产生的项目管理费用，科学合理设定绩效目标，确保设定的绩效目标能够完成。二是切实针对沟通不畅的问题，完善绩效目标设定工作，将现场评价指标纳入绩效目标管理，有力提升绩效评价的科学性。三是切实带着问题、带着思考进行绩效评价工作，从问题中总结经验，完成绩效评价工作。具体附部门整体支出绩效自评表，项目支出绩效自评表和部门评价报告。</w:t>
      </w:r>
    </w:p>
    <w:p w14:paraId="3082F59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F85FE2D">
        <w:tblPrEx>
          <w:tblCellMar>
            <w:top w:w="0" w:type="dxa"/>
            <w:left w:w="108" w:type="dxa"/>
            <w:bottom w:w="0" w:type="dxa"/>
            <w:right w:w="108" w:type="dxa"/>
          </w:tblCellMar>
        </w:tblPrEx>
        <w:tc>
          <w:tcPr>
            <w:tcW w:w="8847" w:type="dxa"/>
            <w:gridSpan w:val="9"/>
            <w:vAlign w:val="center"/>
          </w:tcPr>
          <w:p w14:paraId="0108351B">
            <w:pPr>
              <w:jc w:val="center"/>
            </w:pPr>
            <w:r>
              <w:rPr>
                <w:rFonts w:ascii="宋体" w:hAnsi="宋体" w:eastAsia="宋体"/>
                <w:sz w:val="24"/>
              </w:rPr>
              <w:t>部门整体支出绩效自评表</w:t>
            </w:r>
          </w:p>
        </w:tc>
      </w:tr>
      <w:tr w14:paraId="4E99A72A">
        <w:tblPrEx>
          <w:tblCellMar>
            <w:top w:w="0" w:type="dxa"/>
            <w:left w:w="108" w:type="dxa"/>
            <w:bottom w:w="0" w:type="dxa"/>
            <w:right w:w="108" w:type="dxa"/>
          </w:tblCellMar>
        </w:tblPrEx>
        <w:tc>
          <w:tcPr>
            <w:tcW w:w="8847" w:type="dxa"/>
            <w:gridSpan w:val="9"/>
            <w:vAlign w:val="center"/>
          </w:tcPr>
          <w:p w14:paraId="7B8B73B6">
            <w:pPr>
              <w:jc w:val="center"/>
            </w:pPr>
            <w:r>
              <w:rPr>
                <w:rFonts w:ascii="宋体" w:hAnsi="宋体" w:eastAsia="宋体"/>
                <w:sz w:val="24"/>
              </w:rPr>
              <w:t>（2024年度）</w:t>
            </w:r>
          </w:p>
        </w:tc>
      </w:tr>
      <w:tr w14:paraId="7ED427F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EE52B">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9BE99A6">
            <w:pPr>
              <w:jc w:val="center"/>
            </w:pPr>
            <w:r>
              <w:rPr>
                <w:rFonts w:ascii="宋体" w:hAnsi="宋体" w:eastAsia="宋体"/>
                <w:sz w:val="16"/>
              </w:rPr>
              <w:t>新疆维吾尔自治区喀什地区民族事务委员会</w:t>
            </w:r>
          </w:p>
        </w:tc>
      </w:tr>
      <w:tr w14:paraId="3AA1A29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48AC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7442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9A78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721D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A663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C348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5821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A25AC">
            <w:pPr>
              <w:jc w:val="center"/>
            </w:pPr>
            <w:r>
              <w:rPr>
                <w:rFonts w:ascii="宋体" w:hAnsi="宋体" w:eastAsia="宋体"/>
                <w:sz w:val="16"/>
              </w:rPr>
              <w:t>得分</w:t>
            </w:r>
          </w:p>
        </w:tc>
      </w:tr>
      <w:tr w14:paraId="17247E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5CC7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01213">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41C00">
            <w:pPr>
              <w:jc w:val="center"/>
            </w:pPr>
            <w:r>
              <w:rPr>
                <w:rFonts w:ascii="宋体" w:hAnsi="宋体" w:eastAsia="宋体"/>
                <w:sz w:val="16"/>
              </w:rPr>
              <w:t>1,157.52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96CCB">
            <w:pPr>
              <w:jc w:val="center"/>
            </w:pPr>
            <w:r>
              <w:rPr>
                <w:rFonts w:ascii="宋体" w:hAnsi="宋体" w:eastAsia="宋体"/>
                <w:sz w:val="16"/>
              </w:rPr>
              <w:t>1,249.02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CD489">
            <w:pPr>
              <w:jc w:val="center"/>
            </w:pPr>
            <w:r>
              <w:rPr>
                <w:rFonts w:ascii="宋体" w:hAnsi="宋体" w:eastAsia="宋体"/>
                <w:sz w:val="16"/>
              </w:rPr>
              <w:t>1,033.62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747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3D9B8">
            <w:pPr>
              <w:jc w:val="center"/>
            </w:pPr>
            <w:r>
              <w:rPr>
                <w:rFonts w:ascii="宋体" w:hAnsi="宋体" w:eastAsia="宋体"/>
                <w:sz w:val="16"/>
              </w:rPr>
              <w:t>82.75%</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8FF07">
            <w:pPr>
              <w:jc w:val="center"/>
            </w:pPr>
            <w:r>
              <w:rPr>
                <w:rFonts w:ascii="宋体" w:hAnsi="宋体" w:eastAsia="宋体"/>
                <w:sz w:val="16"/>
              </w:rPr>
              <w:t>8.28</w:t>
            </w:r>
          </w:p>
        </w:tc>
      </w:tr>
      <w:tr w14:paraId="7BD7AF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5D0F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8F76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04D84">
            <w:pPr>
              <w:jc w:val="center"/>
            </w:pPr>
            <w:r>
              <w:rPr>
                <w:rFonts w:ascii="宋体" w:hAnsi="宋体" w:eastAsia="宋体"/>
                <w:sz w:val="16"/>
              </w:rPr>
              <w:t>5.87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D7558">
            <w:pPr>
              <w:jc w:val="center"/>
            </w:pPr>
            <w:r>
              <w:rPr>
                <w:rFonts w:ascii="宋体" w:hAnsi="宋体" w:eastAsia="宋体"/>
                <w:sz w:val="16"/>
              </w:rPr>
              <w:t>10.16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2C95F">
            <w:pPr>
              <w:jc w:val="center"/>
            </w:pPr>
            <w:r>
              <w:rPr>
                <w:rFonts w:ascii="宋体" w:hAnsi="宋体" w:eastAsia="宋体"/>
                <w:sz w:val="16"/>
              </w:rPr>
              <w:t>10.16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326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82C6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E3E05">
            <w:pPr>
              <w:jc w:val="center"/>
            </w:pPr>
            <w:r>
              <w:rPr>
                <w:rFonts w:ascii="宋体" w:hAnsi="宋体" w:eastAsia="宋体"/>
                <w:sz w:val="16"/>
              </w:rPr>
              <w:t>—</w:t>
            </w:r>
          </w:p>
        </w:tc>
      </w:tr>
      <w:tr w14:paraId="158D37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71C0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3908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F150D">
            <w:pPr>
              <w:jc w:val="center"/>
            </w:pPr>
            <w:r>
              <w:rPr>
                <w:rFonts w:ascii="宋体" w:hAnsi="宋体" w:eastAsia="宋体"/>
                <w:sz w:val="16"/>
              </w:rPr>
              <w:t>1,026.34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8070B">
            <w:pPr>
              <w:jc w:val="center"/>
            </w:pPr>
            <w:r>
              <w:rPr>
                <w:rFonts w:ascii="宋体" w:hAnsi="宋体" w:eastAsia="宋体"/>
                <w:sz w:val="16"/>
              </w:rPr>
              <w:t>937.57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C8B17">
            <w:pPr>
              <w:jc w:val="center"/>
            </w:pPr>
            <w:r>
              <w:rPr>
                <w:rFonts w:ascii="宋体" w:hAnsi="宋体" w:eastAsia="宋体"/>
                <w:sz w:val="16"/>
              </w:rPr>
              <w:t>856.75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A4E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0957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86C78">
            <w:pPr>
              <w:jc w:val="center"/>
            </w:pPr>
            <w:r>
              <w:rPr>
                <w:rFonts w:ascii="宋体" w:hAnsi="宋体" w:eastAsia="宋体"/>
                <w:sz w:val="16"/>
              </w:rPr>
              <w:t>—</w:t>
            </w:r>
          </w:p>
        </w:tc>
      </w:tr>
      <w:tr w14:paraId="4EC92E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FFD1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5342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4CA5C">
            <w:pPr>
              <w:jc w:val="center"/>
            </w:pPr>
            <w:r>
              <w:rPr>
                <w:rFonts w:ascii="宋体" w:hAnsi="宋体" w:eastAsia="宋体"/>
                <w:sz w:val="16"/>
              </w:rPr>
              <w:t>125.31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D2134">
            <w:pPr>
              <w:jc w:val="center"/>
            </w:pPr>
            <w:r>
              <w:rPr>
                <w:rFonts w:ascii="宋体" w:hAnsi="宋体" w:eastAsia="宋体"/>
                <w:sz w:val="16"/>
              </w:rPr>
              <w:t>301.29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4E310">
            <w:pPr>
              <w:jc w:val="center"/>
            </w:pPr>
            <w:r>
              <w:rPr>
                <w:rFonts w:ascii="宋体" w:hAnsi="宋体" w:eastAsia="宋体"/>
                <w:sz w:val="16"/>
              </w:rPr>
              <w:t>166.71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0D0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A1C4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116E1">
            <w:pPr>
              <w:jc w:val="center"/>
            </w:pPr>
            <w:r>
              <w:rPr>
                <w:rFonts w:ascii="宋体" w:hAnsi="宋体" w:eastAsia="宋体"/>
                <w:sz w:val="16"/>
              </w:rPr>
              <w:t>—</w:t>
            </w:r>
          </w:p>
        </w:tc>
      </w:tr>
      <w:tr w14:paraId="1A84C7B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4775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49F4F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8CBF0F">
            <w:pPr>
              <w:jc w:val="center"/>
            </w:pPr>
            <w:r>
              <w:rPr>
                <w:rFonts w:ascii="宋体" w:hAnsi="宋体" w:eastAsia="宋体"/>
                <w:sz w:val="16"/>
              </w:rPr>
              <w:t>实际完成情况</w:t>
            </w:r>
          </w:p>
        </w:tc>
      </w:tr>
      <w:tr w14:paraId="6BCD68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CC649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788548">
            <w:pPr>
              <w:jc w:val="both"/>
            </w:pPr>
            <w:r>
              <w:rPr>
                <w:rFonts w:ascii="宋体" w:hAnsi="宋体" w:eastAsia="宋体"/>
                <w:sz w:val="16"/>
              </w:rPr>
              <w:t>2024年地区民委重点工作为民族、铸牢基地命名、少数民族发展资金3类，坚持以</w:t>
            </w:r>
            <w:r>
              <w:rPr>
                <w:rFonts w:hint="eastAsia" w:ascii="宋体" w:hAnsi="宋体"/>
                <w:sz w:val="16"/>
                <w:lang w:eastAsia="zh-CN"/>
              </w:rPr>
              <w:t>习近平新时代</w:t>
            </w:r>
            <w:r>
              <w:rPr>
                <w:rFonts w:ascii="宋体" w:hAnsi="宋体" w:eastAsia="宋体"/>
                <w:sz w:val="16"/>
              </w:rPr>
              <w:t>中国特色社会主义思想为指导，深入学习贯彻党的二十大精神，认真学习贯彻习近平总书记听取自治区和兵团工作汇报时重要讲话精神，贯彻落实中央民族工作会议、工作会议和自治区党委历届全会、地委扩大会议精神，以铸牢中华民族共同体意识为主线做好民族工作，计划命名地区铸牢意识教育实践基地个数50个，计划举办铸牢中华民族共同体意识专题培训不少于2期，积极对接山东、广东前指对接，组织青少年、</w:t>
            </w:r>
            <w:r>
              <w:rPr>
                <w:rFonts w:hint="eastAsia" w:ascii="宋体" w:hAnsi="宋体"/>
                <w:sz w:val="16"/>
                <w:lang w:eastAsia="zh-CN"/>
              </w:rPr>
              <w:t>民族团结进步模范</w:t>
            </w:r>
            <w:r>
              <w:rPr>
                <w:rFonts w:ascii="宋体" w:hAnsi="宋体" w:eastAsia="宋体"/>
                <w:sz w:val="16"/>
              </w:rPr>
              <w:t>人员参加“三交”活动，推动新时代民族工作高质量发展、和睦和谐。</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1F9350">
            <w:pPr>
              <w:jc w:val="both"/>
            </w:pPr>
            <w:r>
              <w:rPr>
                <w:rFonts w:ascii="宋体" w:hAnsi="宋体" w:eastAsia="宋体"/>
                <w:sz w:val="16"/>
              </w:rPr>
              <w:t>2024年地区民宗局重点工作为民族和少数民族发展资金2类，坚持以习近平新时代中国特色社会主义思想为指导，深入学习贯彻党的二十大精神、</w:t>
            </w:r>
            <w:r>
              <w:rPr>
                <w:rFonts w:hint="eastAsia" w:ascii="宋体" w:hAnsi="宋体"/>
                <w:sz w:val="16"/>
                <w:lang w:eastAsia="zh-CN"/>
              </w:rPr>
              <w:t>党的二十届三中全会</w:t>
            </w:r>
            <w:r>
              <w:rPr>
                <w:rFonts w:ascii="宋体" w:hAnsi="宋体" w:eastAsia="宋体"/>
                <w:sz w:val="16"/>
              </w:rPr>
              <w:t>精神，完整准确贯彻新时代党的治疆方略，推动铸牢中华民族共同体意识工作进入新阶段、迈上新台阶。为全地区124家民族贸易和民族特需商品生产企业发放民贸民品企业生产贷款贴息资金10053.93万元，举办喀什地区2024年铸牢中华民族共同体意识民族工作业务骨干培训班和2024粤喀“手拉手”铸牢中华民族共同体意识业务骨干（三大员）培训，其中2024粤喀“手拉手”铸牢中华民族共同体意识业务骨干（三大员）培训人员类别分别有指导员、讲播员、宣讲员三类，开展了广东前指粤喀“手拉手”团结共进项目和鲁疆同心 爱在山东在鲁新疆班学生融情行动项目，让民创骨干近距离感受到了中华优秀传统文化和各民族交往交流交融的历史，增强对中华民族共同体的认同感，为喀什地区民族团结进步创建工作提供借鉴，有效提升了铸牢中华民族共同体意识。</w:t>
            </w:r>
          </w:p>
        </w:tc>
      </w:tr>
      <w:tr w14:paraId="45DB772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0DE0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BD96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3E6D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F1A30">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3690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DFED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D78E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EFE3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2D39C">
            <w:pPr>
              <w:jc w:val="center"/>
            </w:pPr>
            <w:r>
              <w:rPr>
                <w:rFonts w:ascii="宋体" w:hAnsi="宋体" w:eastAsia="宋体"/>
                <w:sz w:val="16"/>
              </w:rPr>
              <w:t>得分</w:t>
            </w:r>
          </w:p>
        </w:tc>
      </w:tr>
      <w:tr w14:paraId="61B93CB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2A06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C8D2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4703E">
            <w:pPr>
              <w:jc w:val="center"/>
            </w:pPr>
            <w:r>
              <w:rPr>
                <w:rFonts w:ascii="宋体" w:hAnsi="宋体" w:eastAsia="宋体"/>
                <w:sz w:val="16"/>
              </w:rPr>
              <w:t>民族重点工作种类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ED614">
            <w:pPr>
              <w:jc w:val="center"/>
            </w:pPr>
            <w:r>
              <w:rPr>
                <w:rFonts w:ascii="宋体" w:hAnsi="宋体" w:eastAsia="宋体"/>
                <w:sz w:val="16"/>
              </w:rPr>
              <w:t>=2类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A89B6">
            <w:pPr>
              <w:jc w:val="center"/>
            </w:pPr>
            <w:r>
              <w:rPr>
                <w:rFonts w:ascii="宋体" w:hAnsi="宋体" w:eastAsia="宋体"/>
                <w:sz w:val="16"/>
              </w:rPr>
              <w:t>喀什地区贯彻落实年度重点任务清单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F6D7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802BC">
            <w:pPr>
              <w:jc w:val="center"/>
            </w:pPr>
            <w:r>
              <w:rPr>
                <w:rFonts w:ascii="宋体" w:hAnsi="宋体" w:eastAsia="宋体"/>
                <w:sz w:val="16"/>
              </w:rPr>
              <w:t>2类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B71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6D821">
            <w:pPr>
              <w:jc w:val="center"/>
            </w:pPr>
            <w:r>
              <w:rPr>
                <w:rFonts w:ascii="宋体" w:hAnsi="宋体" w:eastAsia="宋体"/>
                <w:sz w:val="16"/>
              </w:rPr>
              <w:t>18</w:t>
            </w:r>
          </w:p>
        </w:tc>
      </w:tr>
      <w:tr w14:paraId="0B6E55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D8D0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D88F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87A5F">
            <w:pPr>
              <w:jc w:val="center"/>
            </w:pPr>
            <w:r>
              <w:rPr>
                <w:rFonts w:ascii="宋体" w:hAnsi="宋体" w:eastAsia="宋体"/>
                <w:sz w:val="16"/>
              </w:rPr>
              <w:t>落实民贸民品贷款贴息政策企业数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0770F">
            <w:pPr>
              <w:jc w:val="center"/>
            </w:pPr>
            <w:r>
              <w:rPr>
                <w:rFonts w:ascii="宋体" w:hAnsi="宋体" w:eastAsia="宋体"/>
                <w:sz w:val="16"/>
              </w:rPr>
              <w:t>=124个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D7B5F">
            <w:pPr>
              <w:jc w:val="center"/>
            </w:pPr>
            <w:r>
              <w:rPr>
                <w:rFonts w:ascii="宋体" w:hAnsi="宋体" w:eastAsia="宋体"/>
                <w:sz w:val="16"/>
              </w:rPr>
              <w:t>2024年共同发展科要点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7B7A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58169">
            <w:pPr>
              <w:jc w:val="center"/>
            </w:pPr>
            <w:r>
              <w:rPr>
                <w:rFonts w:ascii="宋体" w:hAnsi="宋体" w:eastAsia="宋体"/>
                <w:sz w:val="16"/>
              </w:rPr>
              <w:t>124个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CE6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917BF">
            <w:pPr>
              <w:jc w:val="center"/>
            </w:pPr>
            <w:r>
              <w:rPr>
                <w:rFonts w:ascii="宋体" w:hAnsi="宋体" w:eastAsia="宋体"/>
                <w:sz w:val="16"/>
              </w:rPr>
              <w:t>18</w:t>
            </w:r>
          </w:p>
        </w:tc>
      </w:tr>
      <w:tr w14:paraId="7F6EAE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EBC7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68F0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750EF">
            <w:pPr>
              <w:jc w:val="center"/>
            </w:pPr>
            <w:r>
              <w:rPr>
                <w:rFonts w:ascii="宋体" w:hAnsi="宋体" w:eastAsia="宋体"/>
                <w:sz w:val="16"/>
              </w:rPr>
              <w:t>铸牢中华民族共同体意识专题培训期数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92305">
            <w:pPr>
              <w:jc w:val="center"/>
            </w:pPr>
            <w:r>
              <w:rPr>
                <w:rFonts w:ascii="宋体" w:hAnsi="宋体" w:eastAsia="宋体"/>
                <w:sz w:val="16"/>
              </w:rPr>
              <w:t>&gt;=2期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6AB7D">
            <w:pPr>
              <w:jc w:val="center"/>
            </w:pPr>
            <w:r>
              <w:rPr>
                <w:rFonts w:ascii="宋体" w:hAnsi="宋体" w:eastAsia="宋体"/>
                <w:sz w:val="16"/>
              </w:rPr>
              <w:t>喀什地区贯彻落实年度重点任务清单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D559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F3006">
            <w:pPr>
              <w:jc w:val="center"/>
            </w:pPr>
            <w:r>
              <w:rPr>
                <w:rFonts w:ascii="宋体" w:hAnsi="宋体" w:eastAsia="宋体"/>
                <w:sz w:val="16"/>
              </w:rPr>
              <w:t>2期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BC1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63321">
            <w:pPr>
              <w:jc w:val="center"/>
            </w:pPr>
            <w:r>
              <w:rPr>
                <w:rFonts w:ascii="宋体" w:hAnsi="宋体" w:eastAsia="宋体"/>
                <w:sz w:val="16"/>
              </w:rPr>
              <w:t>18</w:t>
            </w:r>
          </w:p>
        </w:tc>
      </w:tr>
      <w:tr w14:paraId="4AB213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9F71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7771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939EC">
            <w:pPr>
              <w:jc w:val="center"/>
            </w:pPr>
            <w:r>
              <w:rPr>
                <w:rFonts w:ascii="宋体" w:hAnsi="宋体" w:eastAsia="宋体"/>
                <w:sz w:val="16"/>
              </w:rPr>
              <w:t>组织参加“三交”活动人员类别</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5CC98">
            <w:pPr>
              <w:jc w:val="center"/>
            </w:pPr>
            <w:r>
              <w:rPr>
                <w:rFonts w:ascii="宋体" w:hAnsi="宋体" w:eastAsia="宋体"/>
                <w:sz w:val="16"/>
              </w:rPr>
              <w:t>&gt;=2类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2EEFE">
            <w:pPr>
              <w:jc w:val="center"/>
            </w:pPr>
            <w:r>
              <w:rPr>
                <w:rFonts w:ascii="宋体" w:hAnsi="宋体" w:eastAsia="宋体"/>
                <w:sz w:val="16"/>
              </w:rPr>
              <w:t>喀什地区贯彻落实年度重点任务清单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58BD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B285D">
            <w:pPr>
              <w:jc w:val="center"/>
            </w:pPr>
            <w:r>
              <w:rPr>
                <w:rFonts w:ascii="宋体" w:hAnsi="宋体" w:eastAsia="宋体"/>
                <w:sz w:val="16"/>
              </w:rPr>
              <w:t>3类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4AEB3">
            <w:pPr>
              <w:jc w:val="center"/>
            </w:pPr>
            <w:r>
              <w:rPr>
                <w:rFonts w:ascii="宋体" w:hAnsi="宋体" w:eastAsia="宋体"/>
                <w:sz w:val="16"/>
              </w:rPr>
              <w:t>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1DA7B">
            <w:pPr>
              <w:jc w:val="center"/>
            </w:pPr>
            <w:r>
              <w:rPr>
                <w:rFonts w:ascii="宋体" w:hAnsi="宋体" w:eastAsia="宋体"/>
                <w:sz w:val="16"/>
              </w:rPr>
              <w:t>18</w:t>
            </w:r>
          </w:p>
        </w:tc>
      </w:tr>
      <w:tr w14:paraId="4463CD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DD948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BF48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9A3A7">
            <w:pPr>
              <w:jc w:val="center"/>
            </w:pPr>
            <w:r>
              <w:rPr>
                <w:rFonts w:ascii="宋体" w:hAnsi="宋体" w:eastAsia="宋体"/>
                <w:sz w:val="16"/>
              </w:rPr>
              <w:t>与对口援疆省市开展“三交”活动次数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7BE73">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E8E15">
            <w:pPr>
              <w:jc w:val="center"/>
            </w:pPr>
            <w:r>
              <w:rPr>
                <w:rFonts w:ascii="宋体" w:hAnsi="宋体" w:eastAsia="宋体"/>
                <w:sz w:val="16"/>
              </w:rPr>
              <w:t>喀什地区贯彻落实年度重点任务清单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8BF9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B77C3">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8512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60F14">
            <w:pPr>
              <w:jc w:val="center"/>
            </w:pPr>
            <w:r>
              <w:rPr>
                <w:rFonts w:ascii="宋体" w:hAnsi="宋体" w:eastAsia="宋体"/>
                <w:sz w:val="16"/>
              </w:rPr>
              <w:t>18</w:t>
            </w:r>
          </w:p>
        </w:tc>
      </w:tr>
    </w:tbl>
    <w:p w14:paraId="16143F7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6B85ACD7">
        <w:tblPrEx>
          <w:tblCellMar>
            <w:top w:w="0" w:type="dxa"/>
            <w:left w:w="108" w:type="dxa"/>
            <w:bottom w:w="0" w:type="dxa"/>
            <w:right w:w="108" w:type="dxa"/>
          </w:tblCellMar>
        </w:tblPrEx>
        <w:tc>
          <w:tcPr>
            <w:tcW w:w="8848" w:type="dxa"/>
            <w:gridSpan w:val="14"/>
            <w:vAlign w:val="center"/>
          </w:tcPr>
          <w:p w14:paraId="2D13F67E">
            <w:pPr>
              <w:jc w:val="center"/>
            </w:pPr>
            <w:r>
              <w:rPr>
                <w:rFonts w:ascii="宋体" w:hAnsi="宋体" w:eastAsia="宋体"/>
                <w:sz w:val="24"/>
              </w:rPr>
              <w:t>项目支出绩效自评表</w:t>
            </w:r>
          </w:p>
        </w:tc>
      </w:tr>
      <w:tr w14:paraId="076B8CF4">
        <w:tblPrEx>
          <w:tblCellMar>
            <w:top w:w="0" w:type="dxa"/>
            <w:left w:w="108" w:type="dxa"/>
            <w:bottom w:w="0" w:type="dxa"/>
            <w:right w:w="108" w:type="dxa"/>
          </w:tblCellMar>
        </w:tblPrEx>
        <w:tc>
          <w:tcPr>
            <w:tcW w:w="8848" w:type="dxa"/>
            <w:gridSpan w:val="14"/>
            <w:vAlign w:val="center"/>
          </w:tcPr>
          <w:p w14:paraId="4ECF9786">
            <w:pPr>
              <w:jc w:val="center"/>
            </w:pPr>
            <w:r>
              <w:rPr>
                <w:rFonts w:ascii="宋体" w:hAnsi="宋体" w:eastAsia="宋体"/>
                <w:sz w:val="24"/>
              </w:rPr>
              <w:t>(2024年度)</w:t>
            </w:r>
          </w:p>
        </w:tc>
      </w:tr>
      <w:tr w14:paraId="1D368B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EBFF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3A50F4">
            <w:pPr>
              <w:jc w:val="center"/>
            </w:pPr>
            <w:r>
              <w:rPr>
                <w:rFonts w:ascii="宋体" w:hAnsi="宋体" w:eastAsia="宋体"/>
                <w:sz w:val="16"/>
              </w:rPr>
              <w:t>“鲁疆同心爱在山东”在鲁新疆班学生融情行动 项目</w:t>
            </w:r>
          </w:p>
        </w:tc>
      </w:tr>
      <w:tr w14:paraId="692435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82D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EFE291">
            <w:pPr>
              <w:jc w:val="center"/>
            </w:pPr>
            <w:r>
              <w:rPr>
                <w:rFonts w:ascii="宋体" w:hAnsi="宋体" w:eastAsia="宋体"/>
                <w:sz w:val="16"/>
              </w:rPr>
              <w:t>“鲁疆同心爱在山东”在鲁新疆班学生融情行动项目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4B7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1E3492">
            <w:pPr>
              <w:jc w:val="center"/>
            </w:pPr>
            <w:r>
              <w:rPr>
                <w:rFonts w:ascii="宋体" w:hAnsi="宋体" w:eastAsia="宋体"/>
                <w:sz w:val="16"/>
              </w:rPr>
              <w:t>新疆维吾尔自治区喀什地区民族事务委员会</w:t>
            </w:r>
          </w:p>
        </w:tc>
      </w:tr>
      <w:tr w14:paraId="7818C6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89A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82EA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8B7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930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B9B4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5DAE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6790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A3C52">
            <w:pPr>
              <w:jc w:val="center"/>
            </w:pPr>
            <w:r>
              <w:rPr>
                <w:rFonts w:ascii="宋体" w:hAnsi="宋体" w:eastAsia="宋体"/>
                <w:sz w:val="16"/>
              </w:rPr>
              <w:t>得分</w:t>
            </w:r>
          </w:p>
        </w:tc>
      </w:tr>
      <w:tr w14:paraId="6E6D43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561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A46A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38D46">
            <w:pPr>
              <w:jc w:val="center"/>
            </w:pPr>
            <w:r>
              <w:rPr>
                <w:rFonts w:ascii="宋体" w:hAnsi="宋体" w:eastAsia="宋体"/>
                <w:sz w:val="16"/>
              </w:rPr>
              <w:t>84.66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581A1">
            <w:pPr>
              <w:jc w:val="center"/>
            </w:pPr>
            <w:r>
              <w:rPr>
                <w:rFonts w:ascii="宋体" w:hAnsi="宋体" w:eastAsia="宋体"/>
                <w:sz w:val="16"/>
              </w:rPr>
              <w:t>84.66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C70A8">
            <w:pPr>
              <w:jc w:val="center"/>
            </w:pPr>
            <w:r>
              <w:rPr>
                <w:rFonts w:ascii="宋体" w:hAnsi="宋体" w:eastAsia="宋体"/>
                <w:sz w:val="16"/>
              </w:rPr>
              <w:t>83.78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2F3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3C374">
            <w:pPr>
              <w:jc w:val="center"/>
            </w:pPr>
            <w:r>
              <w:rPr>
                <w:rFonts w:ascii="宋体" w:hAnsi="宋体" w:eastAsia="宋体"/>
                <w:sz w:val="16"/>
              </w:rPr>
              <w:t>99.0%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8BAC">
            <w:pPr>
              <w:jc w:val="center"/>
            </w:pPr>
            <w:r>
              <w:rPr>
                <w:rFonts w:ascii="宋体" w:hAnsi="宋体" w:eastAsia="宋体"/>
                <w:sz w:val="16"/>
              </w:rPr>
              <w:t>9.74分</w:t>
            </w:r>
          </w:p>
        </w:tc>
      </w:tr>
      <w:tr w14:paraId="3B6F2D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143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D948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D43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FE4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474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7B4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C93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EE79C">
            <w:pPr>
              <w:jc w:val="center"/>
            </w:pPr>
            <w:r>
              <w:rPr>
                <w:rFonts w:ascii="宋体" w:hAnsi="宋体" w:eastAsia="宋体"/>
                <w:sz w:val="16"/>
              </w:rPr>
              <w:t>—</w:t>
            </w:r>
          </w:p>
        </w:tc>
      </w:tr>
      <w:tr w14:paraId="73F954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C90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49E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CE2B3">
            <w:pPr>
              <w:jc w:val="center"/>
            </w:pPr>
            <w:r>
              <w:rPr>
                <w:rFonts w:ascii="宋体" w:hAnsi="宋体" w:eastAsia="宋体"/>
                <w:sz w:val="16"/>
              </w:rPr>
              <w:t>84.66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A0CCC">
            <w:pPr>
              <w:jc w:val="center"/>
            </w:pPr>
            <w:r>
              <w:rPr>
                <w:rFonts w:ascii="宋体" w:hAnsi="宋体" w:eastAsia="宋体"/>
                <w:sz w:val="16"/>
              </w:rPr>
              <w:t>84.66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4A33A">
            <w:pPr>
              <w:jc w:val="center"/>
            </w:pPr>
            <w:r>
              <w:rPr>
                <w:rFonts w:ascii="宋体" w:hAnsi="宋体" w:eastAsia="宋体"/>
                <w:sz w:val="16"/>
              </w:rPr>
              <w:t>83.78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09C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BFA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04A2">
            <w:pPr>
              <w:jc w:val="center"/>
            </w:pPr>
            <w:r>
              <w:rPr>
                <w:rFonts w:ascii="宋体" w:hAnsi="宋体" w:eastAsia="宋体"/>
                <w:sz w:val="16"/>
              </w:rPr>
              <w:t>—</w:t>
            </w:r>
          </w:p>
        </w:tc>
      </w:tr>
      <w:tr w14:paraId="731DB4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3990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051C7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4E103F">
            <w:pPr>
              <w:jc w:val="center"/>
            </w:pPr>
            <w:r>
              <w:rPr>
                <w:rFonts w:ascii="宋体" w:hAnsi="宋体" w:eastAsia="宋体"/>
                <w:sz w:val="16"/>
              </w:rPr>
              <w:t>实际完成情况</w:t>
            </w:r>
          </w:p>
        </w:tc>
      </w:tr>
      <w:tr w14:paraId="2186B9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7D78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0092A9">
            <w:pPr>
              <w:jc w:val="both"/>
            </w:pPr>
            <w:r>
              <w:rPr>
                <w:rFonts w:ascii="宋体" w:hAnsi="宋体" w:eastAsia="宋体"/>
                <w:sz w:val="16"/>
              </w:rPr>
              <w:t>计划组织山东济南市长清第一中学、青岛六十六中、青岛六十八中、烟台牟平一中、淄博实验中学、潍坊中学、济宁市育才中学、威海一中8所学校1343余名新疆班的学生组成研学团队，到山东爱国主义教育基地、红色教育基地、博物馆等地方研学。研学活动围绕感受发展成就、厚植爱国情怀、凝聚价值认同等多主题开展融情交流活动，购置部分教学设备和图书，使新疆班学生感受中华优秀文化深厚底蕴，不断增强“五个认同”，树立正确的人生观和价值观，全方位推进铸牢中华民族共同体意识教育如心如脑，成为担当民族复兴大任的时代新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75C2E2">
            <w:pPr>
              <w:jc w:val="both"/>
            </w:pPr>
            <w:r>
              <w:rPr>
                <w:rFonts w:ascii="宋体" w:hAnsi="宋体" w:eastAsia="宋体"/>
                <w:sz w:val="16"/>
              </w:rPr>
              <w:t>组织烟台牟平一中、潍坊中学、淄博第四中学、济宁市育才中学、济南市长清第一中学、青岛六十六中、青岛六十八中、威海一中8所学校1768名新疆班学生组成研学团队，本次活动以文化研修为纽带，深化了学生们对中华优秀传统文化的认知，引导他们从历史维度增强“五个认同”，深刻体会中华优秀传统文化是各民族共有的精神家园，为铸牢中华民族共同体意识夯实了文化根基、注入了青春力量。</w:t>
            </w:r>
          </w:p>
        </w:tc>
      </w:tr>
      <w:tr w14:paraId="4DD83A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FC79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72E0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EB1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68CC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774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0367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32AA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E14B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C7DC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9C8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4EC5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1E8E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42C98">
            <w:pPr>
              <w:jc w:val="center"/>
            </w:pPr>
            <w:r>
              <w:rPr>
                <w:rFonts w:ascii="宋体" w:hAnsi="宋体" w:eastAsia="宋体"/>
                <w:sz w:val="16"/>
              </w:rPr>
              <w:t>偏差原因分析及改进措施</w:t>
            </w:r>
          </w:p>
        </w:tc>
      </w:tr>
      <w:tr w14:paraId="60A817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4D4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9EFA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3643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67CBE">
            <w:pPr>
              <w:jc w:val="center"/>
            </w:pPr>
            <w:r>
              <w:rPr>
                <w:rFonts w:ascii="宋体" w:hAnsi="宋体" w:eastAsia="宋体"/>
                <w:sz w:val="16"/>
              </w:rPr>
              <w:t>参与学校总数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A78E">
            <w:pPr>
              <w:jc w:val="center"/>
            </w:pPr>
            <w:r>
              <w:rPr>
                <w:rFonts w:ascii="宋体" w:hAnsi="宋体" w:eastAsia="宋体"/>
                <w:sz w:val="16"/>
              </w:rPr>
              <w:t>=8所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14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E23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48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E66F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EBE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15399">
            <w:pPr>
              <w:jc w:val="center"/>
            </w:pPr>
            <w:r>
              <w:rPr>
                <w:rFonts w:ascii="宋体" w:hAnsi="宋体" w:eastAsia="宋体"/>
                <w:sz w:val="16"/>
              </w:rPr>
              <w:t>=8所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B65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8E3EC">
            <w:pPr>
              <w:jc w:val="center"/>
            </w:pPr>
          </w:p>
        </w:tc>
      </w:tr>
      <w:tr w14:paraId="27B500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7F9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D44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46C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CDFA">
            <w:pPr>
              <w:jc w:val="center"/>
            </w:pPr>
            <w:r>
              <w:rPr>
                <w:rFonts w:ascii="宋体" w:hAnsi="宋体" w:eastAsia="宋体"/>
                <w:sz w:val="16"/>
              </w:rPr>
              <w:t>参与活动学生总数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559C">
            <w:pPr>
              <w:jc w:val="center"/>
            </w:pPr>
            <w:r>
              <w:rPr>
                <w:rFonts w:ascii="宋体" w:hAnsi="宋体" w:eastAsia="宋体"/>
                <w:sz w:val="16"/>
              </w:rPr>
              <w:t>&gt;=1343人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24D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90A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E48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685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A9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26F10">
            <w:pPr>
              <w:jc w:val="center"/>
            </w:pPr>
            <w:r>
              <w:rPr>
                <w:rFonts w:ascii="宋体" w:hAnsi="宋体" w:eastAsia="宋体"/>
                <w:sz w:val="16"/>
              </w:rPr>
              <w:t>=1768人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C6810">
            <w:pPr>
              <w:jc w:val="center"/>
            </w:pPr>
            <w:r>
              <w:rPr>
                <w:rFonts w:ascii="宋体" w:hAnsi="宋体" w:eastAsia="宋体"/>
                <w:sz w:val="16"/>
              </w:rPr>
              <w:t>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8DC4F">
            <w:pPr>
              <w:jc w:val="center"/>
            </w:pPr>
            <w:r>
              <w:rPr>
                <w:rFonts w:ascii="宋体" w:hAnsi="宋体" w:eastAsia="宋体"/>
                <w:sz w:val="16"/>
              </w:rPr>
              <w:t>偏差原因：项目实际参与人数比计划参与人多；改进措施：进一步做好预算目标设定。</w:t>
            </w:r>
          </w:p>
        </w:tc>
      </w:tr>
      <w:tr w14:paraId="258804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813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3FD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9E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3FEC5">
            <w:pPr>
              <w:jc w:val="center"/>
            </w:pPr>
            <w:r>
              <w:rPr>
                <w:rFonts w:ascii="宋体" w:hAnsi="宋体" w:eastAsia="宋体"/>
                <w:sz w:val="16"/>
              </w:rPr>
              <w:t>项目研学活动验收合格率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C58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4B3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8F6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61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73DF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05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6FC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BD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99823">
            <w:pPr>
              <w:jc w:val="center"/>
            </w:pPr>
          </w:p>
        </w:tc>
      </w:tr>
      <w:tr w14:paraId="5932FB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887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665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1DDD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C8CC8">
            <w:pPr>
              <w:jc w:val="center"/>
            </w:pPr>
            <w:r>
              <w:rPr>
                <w:rFonts w:ascii="宋体" w:hAnsi="宋体" w:eastAsia="宋体"/>
                <w:sz w:val="16"/>
              </w:rPr>
              <w:t>项目支付及时率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D63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5AE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84D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E9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237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70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B3E1">
            <w:pPr>
              <w:jc w:val="center"/>
            </w:pPr>
            <w:r>
              <w:rPr>
                <w:rFonts w:ascii="宋体" w:hAnsi="宋体" w:eastAsia="宋体"/>
                <w:sz w:val="16"/>
              </w:rPr>
              <w:t>=98.96%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B836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7C638">
            <w:pPr>
              <w:jc w:val="center"/>
            </w:pPr>
            <w:r>
              <w:rPr>
                <w:rFonts w:ascii="宋体" w:hAnsi="宋体" w:eastAsia="宋体"/>
                <w:sz w:val="16"/>
              </w:rPr>
              <w:t>偏差原因：项目剩余资金为该项目审计费用；改进措施：提升设定绩效目标的准确性、科学性。</w:t>
            </w:r>
          </w:p>
        </w:tc>
      </w:tr>
      <w:tr w14:paraId="3780FE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E32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F04A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083F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D329">
            <w:pPr>
              <w:jc w:val="center"/>
            </w:pPr>
            <w:r>
              <w:rPr>
                <w:rFonts w:ascii="宋体" w:hAnsi="宋体" w:eastAsia="宋体"/>
                <w:sz w:val="16"/>
              </w:rPr>
              <w:t>研学活动费用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3A36">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323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0D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8A3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ED5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11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BAE3F">
            <w:pPr>
              <w:jc w:val="center"/>
            </w:pPr>
            <w:r>
              <w:rPr>
                <w:rFonts w:ascii="宋体" w:hAnsi="宋体" w:eastAsia="宋体"/>
                <w:sz w:val="16"/>
              </w:rPr>
              <w:t>=83.78万元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4B82E">
            <w:pPr>
              <w:jc w:val="center"/>
            </w:pPr>
            <w:r>
              <w:rPr>
                <w:rFonts w:ascii="宋体" w:hAnsi="宋体" w:eastAsia="宋体"/>
                <w:sz w:val="16"/>
              </w:rPr>
              <w:t>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84A3B">
            <w:pPr>
              <w:jc w:val="center"/>
            </w:pPr>
            <w:r>
              <w:rPr>
                <w:rFonts w:ascii="宋体" w:hAnsi="宋体" w:eastAsia="宋体"/>
                <w:sz w:val="16"/>
              </w:rPr>
              <w:t>偏差原因：项目研学活动费用增加；改进措施：制定绩效目标需强化调研，切实摸清摸准实际可能产生的费用，做好绩效目标。</w:t>
            </w:r>
          </w:p>
        </w:tc>
      </w:tr>
      <w:tr w14:paraId="7C393E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25D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685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347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4543">
            <w:pPr>
              <w:jc w:val="center"/>
            </w:pPr>
            <w:r>
              <w:rPr>
                <w:rFonts w:ascii="宋体" w:hAnsi="宋体" w:eastAsia="宋体"/>
                <w:sz w:val="16"/>
              </w:rPr>
              <w:t>项目实施管理费用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72A59">
            <w:pPr>
              <w:jc w:val="center"/>
            </w:pPr>
            <w:r>
              <w:rPr>
                <w:rFonts w:ascii="宋体" w:hAnsi="宋体" w:eastAsia="宋体"/>
                <w:sz w:val="16"/>
              </w:rPr>
              <w:t>&lt;=4.66万元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A51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344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B9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1B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901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A644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AC79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FB70C">
            <w:pPr>
              <w:jc w:val="center"/>
            </w:pPr>
            <w:r>
              <w:rPr>
                <w:rFonts w:ascii="宋体" w:hAnsi="宋体" w:eastAsia="宋体"/>
                <w:sz w:val="16"/>
              </w:rPr>
              <w:t>偏差原因：因项目实施完毕后已跨年，无法开展项目审计，故未支出该笔费用；改进措施：下一步，及时</w:t>
            </w:r>
            <w:r>
              <w:rPr>
                <w:rFonts w:hint="eastAsia" w:ascii="宋体" w:hAnsi="宋体"/>
                <w:sz w:val="16"/>
                <w:lang w:eastAsia="zh-CN"/>
              </w:rPr>
              <w:t>筹集</w:t>
            </w:r>
            <w:r>
              <w:rPr>
                <w:rFonts w:ascii="宋体" w:hAnsi="宋体" w:eastAsia="宋体"/>
                <w:sz w:val="16"/>
              </w:rPr>
              <w:t>资金，做好该项目的审计准备工作。</w:t>
            </w:r>
          </w:p>
        </w:tc>
      </w:tr>
      <w:tr w14:paraId="67F8B4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EC0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93F3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F97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EE3BE">
            <w:pPr>
              <w:jc w:val="center"/>
            </w:pPr>
            <w:r>
              <w:rPr>
                <w:rFonts w:ascii="宋体" w:hAnsi="宋体" w:eastAsia="宋体"/>
                <w:sz w:val="16"/>
              </w:rPr>
              <w:t>推动铸牢中华民族共同体意识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5114A">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6C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BC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75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7C9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C5F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504C3">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8000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46283">
            <w:pPr>
              <w:jc w:val="center"/>
            </w:pPr>
          </w:p>
        </w:tc>
      </w:tr>
      <w:tr w14:paraId="09C646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9EA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324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279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A63FC">
            <w:pPr>
              <w:jc w:val="center"/>
            </w:pPr>
            <w:r>
              <w:rPr>
                <w:rFonts w:ascii="宋体" w:hAnsi="宋体" w:eastAsia="宋体"/>
                <w:sz w:val="16"/>
              </w:rPr>
              <w:t>研学学生满意度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B3B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40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714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74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D046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AD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CF74">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C43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EED58">
            <w:pPr>
              <w:jc w:val="center"/>
            </w:pPr>
            <w:r>
              <w:rPr>
                <w:rFonts w:ascii="宋体" w:hAnsi="宋体" w:eastAsia="宋体"/>
                <w:sz w:val="16"/>
              </w:rPr>
              <w:t>偏差原因：参与研学活动学生满意度好</w:t>
            </w:r>
            <w:r>
              <w:rPr>
                <w:rFonts w:hint="eastAsia" w:ascii="宋体" w:hAnsi="宋体"/>
                <w:sz w:val="16"/>
                <w:lang w:eastAsia="zh-CN"/>
              </w:rPr>
              <w:t>于</w:t>
            </w:r>
            <w:r>
              <w:rPr>
                <w:rFonts w:ascii="宋体" w:hAnsi="宋体" w:eastAsia="宋体"/>
                <w:sz w:val="16"/>
              </w:rPr>
              <w:t>预期；</w:t>
            </w:r>
          </w:p>
        </w:tc>
      </w:tr>
      <w:tr w14:paraId="310DFA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7BB2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5F2A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4638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94346C">
            <w:pPr>
              <w:jc w:val="center"/>
            </w:pPr>
            <w:r>
              <w:rPr>
                <w:rFonts w:ascii="宋体" w:hAnsi="宋体" w:eastAsia="宋体"/>
                <w:sz w:val="16"/>
              </w:rPr>
              <w:t>76.13分</w:t>
            </w:r>
          </w:p>
        </w:tc>
      </w:tr>
    </w:tbl>
    <w:p w14:paraId="1661D45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C7C1B6E">
        <w:tc>
          <w:tcPr>
            <w:tcW w:w="8848" w:type="dxa"/>
            <w:gridSpan w:val="14"/>
            <w:vAlign w:val="center"/>
          </w:tcPr>
          <w:p w14:paraId="1D87EFD3">
            <w:pPr>
              <w:jc w:val="center"/>
            </w:pPr>
            <w:r>
              <w:rPr>
                <w:rFonts w:ascii="宋体" w:hAnsi="宋体" w:eastAsia="宋体"/>
                <w:sz w:val="24"/>
              </w:rPr>
              <w:t>项目支出绩效自评表</w:t>
            </w:r>
          </w:p>
        </w:tc>
      </w:tr>
      <w:tr w14:paraId="7C7D451B">
        <w:tblPrEx>
          <w:tblCellMar>
            <w:top w:w="0" w:type="dxa"/>
            <w:left w:w="108" w:type="dxa"/>
            <w:bottom w:w="0" w:type="dxa"/>
            <w:right w:w="108" w:type="dxa"/>
          </w:tblCellMar>
        </w:tblPrEx>
        <w:tc>
          <w:tcPr>
            <w:tcW w:w="8848" w:type="dxa"/>
            <w:gridSpan w:val="14"/>
            <w:vAlign w:val="center"/>
          </w:tcPr>
          <w:p w14:paraId="3F68A10F">
            <w:pPr>
              <w:jc w:val="center"/>
            </w:pPr>
            <w:r>
              <w:rPr>
                <w:rFonts w:ascii="宋体" w:hAnsi="宋体" w:eastAsia="宋体"/>
                <w:sz w:val="24"/>
              </w:rPr>
              <w:t>(2024年度)</w:t>
            </w:r>
          </w:p>
        </w:tc>
      </w:tr>
      <w:tr w14:paraId="719B87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F4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75CAC7">
            <w:pPr>
              <w:jc w:val="center"/>
            </w:pPr>
            <w:r>
              <w:rPr>
                <w:rFonts w:ascii="宋体" w:hAnsi="宋体" w:eastAsia="宋体"/>
                <w:sz w:val="16"/>
              </w:rPr>
              <w:t>体育运动会民族体育竞技场场地选址前期论证项目</w:t>
            </w:r>
          </w:p>
        </w:tc>
      </w:tr>
      <w:tr w14:paraId="0492AE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2168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587382">
            <w:pPr>
              <w:jc w:val="center"/>
            </w:pPr>
            <w:r>
              <w:rPr>
                <w:rFonts w:ascii="宋体" w:hAnsi="宋体" w:eastAsia="宋体"/>
                <w:sz w:val="16"/>
              </w:rPr>
              <w:t>新疆维吾尔自治区喀什地区民族事务委员会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53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4E4DE8">
            <w:pPr>
              <w:jc w:val="center"/>
            </w:pPr>
            <w:r>
              <w:rPr>
                <w:rFonts w:ascii="宋体" w:hAnsi="宋体" w:eastAsia="宋体"/>
                <w:sz w:val="16"/>
              </w:rPr>
              <w:t>新疆维吾尔自治区喀什地区民族事务委员会</w:t>
            </w:r>
          </w:p>
        </w:tc>
      </w:tr>
      <w:tr w14:paraId="33A241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7AD4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BA21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B697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5857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130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C0B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BEE3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55F60">
            <w:pPr>
              <w:jc w:val="center"/>
            </w:pPr>
            <w:r>
              <w:rPr>
                <w:rFonts w:ascii="宋体" w:hAnsi="宋体" w:eastAsia="宋体"/>
                <w:sz w:val="16"/>
              </w:rPr>
              <w:t>得分</w:t>
            </w:r>
          </w:p>
        </w:tc>
      </w:tr>
      <w:tr w14:paraId="745271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0BB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FC2B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5F4D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608F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F71A9">
            <w:pPr>
              <w:jc w:val="center"/>
            </w:pPr>
            <w:r>
              <w:rPr>
                <w:rFonts w:ascii="宋体" w:hAnsi="宋体" w:eastAsia="宋体"/>
                <w:sz w:val="16"/>
              </w:rPr>
              <w:t>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784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1C3DC">
            <w:pPr>
              <w:jc w:val="center"/>
            </w:pPr>
            <w:r>
              <w:rPr>
                <w:rFonts w:ascii="宋体" w:hAnsi="宋体" w:eastAsia="宋体"/>
                <w:sz w:val="16"/>
              </w:rPr>
              <w:t>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C262">
            <w:pPr>
              <w:jc w:val="center"/>
            </w:pPr>
            <w:r>
              <w:rPr>
                <w:rFonts w:ascii="宋体" w:hAnsi="宋体" w:eastAsia="宋体"/>
                <w:sz w:val="16"/>
              </w:rPr>
              <w:t>0.00分</w:t>
            </w:r>
          </w:p>
        </w:tc>
      </w:tr>
      <w:tr w14:paraId="79387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BF9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EBAA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42E77">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5FCD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7497C">
            <w:pPr>
              <w:jc w:val="center"/>
            </w:pPr>
            <w:r>
              <w:rPr>
                <w:rFonts w:ascii="宋体" w:hAnsi="宋体" w:eastAsia="宋体"/>
                <w:sz w:val="16"/>
              </w:rPr>
              <w:t>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C41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981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2E0C8">
            <w:pPr>
              <w:jc w:val="center"/>
            </w:pPr>
            <w:r>
              <w:rPr>
                <w:rFonts w:ascii="宋体" w:hAnsi="宋体" w:eastAsia="宋体"/>
                <w:sz w:val="16"/>
              </w:rPr>
              <w:t>—</w:t>
            </w:r>
          </w:p>
        </w:tc>
      </w:tr>
      <w:tr w14:paraId="54DCC9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50B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CFF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D14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290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EAE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4E2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B96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F294A">
            <w:pPr>
              <w:jc w:val="center"/>
            </w:pPr>
            <w:r>
              <w:rPr>
                <w:rFonts w:ascii="宋体" w:hAnsi="宋体" w:eastAsia="宋体"/>
                <w:sz w:val="16"/>
              </w:rPr>
              <w:t>—</w:t>
            </w:r>
          </w:p>
        </w:tc>
      </w:tr>
      <w:tr w14:paraId="5072D4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BA12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1BA5A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6795E7">
            <w:pPr>
              <w:jc w:val="center"/>
            </w:pPr>
            <w:r>
              <w:rPr>
                <w:rFonts w:ascii="宋体" w:hAnsi="宋体" w:eastAsia="宋体"/>
                <w:sz w:val="16"/>
              </w:rPr>
              <w:t>实际完成情况</w:t>
            </w:r>
          </w:p>
        </w:tc>
      </w:tr>
      <w:tr w14:paraId="47AC53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62FA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9D84F8">
            <w:pPr>
              <w:jc w:val="both"/>
            </w:pPr>
            <w:r>
              <w:rPr>
                <w:rFonts w:ascii="宋体" w:hAnsi="宋体" w:eastAsia="宋体"/>
                <w:sz w:val="16"/>
              </w:rPr>
              <w:t>该项目总投资30万元，为本级财力资金，主要是为了保障自治</w:t>
            </w:r>
            <w:r>
              <w:rPr>
                <w:rFonts w:hint="eastAsia" w:ascii="宋体" w:hAnsi="宋体"/>
                <w:sz w:val="16"/>
                <w:lang w:eastAsia="zh-CN"/>
              </w:rPr>
              <w:t>区第</w:t>
            </w:r>
            <w:r>
              <w:rPr>
                <w:rFonts w:ascii="宋体" w:hAnsi="宋体" w:eastAsia="宋体"/>
                <w:sz w:val="16"/>
              </w:rPr>
              <w:t>十一届少数民族传统体育运动会民族体育竞技场场地选址工作顺利实施，</w:t>
            </w:r>
            <w:r>
              <w:rPr>
                <w:rFonts w:hint="eastAsia" w:ascii="宋体" w:hAnsi="宋体"/>
                <w:sz w:val="16"/>
                <w:lang w:eastAsia="zh-CN"/>
              </w:rPr>
              <w:t>本部门</w:t>
            </w:r>
            <w:r>
              <w:rPr>
                <w:rFonts w:ascii="宋体" w:hAnsi="宋体" w:eastAsia="宋体"/>
                <w:sz w:val="16"/>
              </w:rPr>
              <w:t>聘请相关技术专家不少4次，共计10人次，第三方咨询服务机构1家对建设项目选址、可研、立项审批、设计等前期手续进行论证，并出具可行性报告等，为2026年举办第十一届民运会提供比赛场地。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1509E0">
            <w:pPr>
              <w:jc w:val="both"/>
            </w:pPr>
            <w:r>
              <w:rPr>
                <w:rFonts w:ascii="宋体" w:hAnsi="宋体" w:eastAsia="宋体"/>
                <w:sz w:val="16"/>
              </w:rPr>
              <w:t>该项目，</w:t>
            </w:r>
            <w:r>
              <w:rPr>
                <w:rFonts w:hint="eastAsia" w:ascii="宋体" w:hAnsi="宋体"/>
                <w:sz w:val="16"/>
                <w:lang w:eastAsia="zh-CN"/>
              </w:rPr>
              <w:t>本部门</w:t>
            </w:r>
            <w:r>
              <w:rPr>
                <w:rFonts w:ascii="宋体" w:hAnsi="宋体" w:eastAsia="宋体"/>
                <w:sz w:val="16"/>
              </w:rPr>
              <w:t>聘请相关技术专家4次，共5人次，有效保障了自治</w:t>
            </w:r>
            <w:r>
              <w:rPr>
                <w:rFonts w:hint="eastAsia" w:ascii="宋体" w:hAnsi="宋体"/>
                <w:sz w:val="16"/>
                <w:lang w:eastAsia="zh-CN"/>
              </w:rPr>
              <w:t>区第</w:t>
            </w:r>
            <w:r>
              <w:rPr>
                <w:rFonts w:ascii="宋体" w:hAnsi="宋体" w:eastAsia="宋体"/>
                <w:sz w:val="16"/>
              </w:rPr>
              <w:t>十一届少数民族传统体育运动会民族体育竞技场场地选址工作顺利开展。目前，经地委、行署研究决定，不新建自治</w:t>
            </w:r>
            <w:r>
              <w:rPr>
                <w:rFonts w:hint="eastAsia" w:ascii="宋体" w:hAnsi="宋体"/>
                <w:sz w:val="16"/>
                <w:lang w:eastAsia="zh-CN"/>
              </w:rPr>
              <w:t>区第</w:t>
            </w:r>
            <w:r>
              <w:rPr>
                <w:rFonts w:ascii="宋体" w:hAnsi="宋体" w:eastAsia="宋体"/>
                <w:sz w:val="16"/>
              </w:rPr>
              <w:t>十一届少数民族传统体育运动会民族体育竞技场。</w:t>
            </w:r>
          </w:p>
        </w:tc>
      </w:tr>
      <w:tr w14:paraId="56808D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5A5F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C59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102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330B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358E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6FF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A31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C764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6E0C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99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EE33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95EF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A47E4">
            <w:pPr>
              <w:jc w:val="center"/>
            </w:pPr>
            <w:r>
              <w:rPr>
                <w:rFonts w:ascii="宋体" w:hAnsi="宋体" w:eastAsia="宋体"/>
                <w:sz w:val="16"/>
              </w:rPr>
              <w:t>偏差原因分析及改进措施</w:t>
            </w:r>
          </w:p>
        </w:tc>
      </w:tr>
      <w:tr w14:paraId="35C772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D2CF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0CF9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F117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E06B0">
            <w:pPr>
              <w:jc w:val="center"/>
            </w:pPr>
            <w:r>
              <w:rPr>
                <w:rFonts w:ascii="宋体" w:hAnsi="宋体" w:eastAsia="宋体"/>
                <w:sz w:val="16"/>
              </w:rPr>
              <w:t>委托第三方机构数量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95FA3">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490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64B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4F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CE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6B9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B625">
            <w:pPr>
              <w:jc w:val="center"/>
            </w:pPr>
            <w:r>
              <w:rPr>
                <w:rFonts w:ascii="宋体" w:hAnsi="宋体" w:eastAsia="宋体"/>
                <w:sz w:val="16"/>
              </w:rPr>
              <w:t>=0家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5B15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1B15E">
            <w:pPr>
              <w:jc w:val="center"/>
            </w:pPr>
            <w:r>
              <w:rPr>
                <w:rFonts w:ascii="宋体" w:hAnsi="宋体" w:eastAsia="宋体"/>
                <w:sz w:val="16"/>
              </w:rPr>
              <w:t>偏差原因：经地委行署决定不再新建场地，所以没有聘请第三方机构做可研报告。改进措施：进一步细化绩效目标制定。</w:t>
            </w:r>
          </w:p>
        </w:tc>
      </w:tr>
      <w:tr w14:paraId="70A95C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20D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4C1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230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D95C">
            <w:pPr>
              <w:jc w:val="center"/>
            </w:pPr>
            <w:r>
              <w:rPr>
                <w:rFonts w:ascii="宋体" w:hAnsi="宋体" w:eastAsia="宋体"/>
                <w:sz w:val="16"/>
              </w:rPr>
              <w:t>聘请专家人次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9FB0E">
            <w:pPr>
              <w:jc w:val="center"/>
            </w:pPr>
            <w:r>
              <w:rPr>
                <w:rFonts w:ascii="宋体" w:hAnsi="宋体" w:eastAsia="宋体"/>
                <w:sz w:val="16"/>
              </w:rPr>
              <w:t>&gt;=10人次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91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F9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897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75F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62D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3121C">
            <w:pPr>
              <w:jc w:val="center"/>
            </w:pPr>
            <w:r>
              <w:rPr>
                <w:rFonts w:ascii="宋体" w:hAnsi="宋体" w:eastAsia="宋体"/>
                <w:sz w:val="16"/>
              </w:rPr>
              <w:t>=5人次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B42A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27158">
            <w:pPr>
              <w:jc w:val="center"/>
            </w:pPr>
            <w:r>
              <w:rPr>
                <w:rFonts w:ascii="宋体" w:hAnsi="宋体" w:eastAsia="宋体"/>
                <w:sz w:val="16"/>
              </w:rPr>
              <w:t>偏差原因：根据实际工作情况，只聘请了5人次专家学者；改进措施：在编制预算阶段，精细化绩效目标制定。</w:t>
            </w:r>
          </w:p>
        </w:tc>
      </w:tr>
      <w:tr w14:paraId="44B1C7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08C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567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251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08A0D">
            <w:pPr>
              <w:jc w:val="center"/>
            </w:pPr>
            <w:r>
              <w:rPr>
                <w:rFonts w:ascii="宋体" w:hAnsi="宋体" w:eastAsia="宋体"/>
                <w:sz w:val="16"/>
              </w:rPr>
              <w:t>聘请专家来喀指导调研次数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D5677">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4F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763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3B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07E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658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7DE3">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ACAB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1FFBD">
            <w:pPr>
              <w:jc w:val="center"/>
            </w:pPr>
          </w:p>
        </w:tc>
      </w:tr>
      <w:tr w14:paraId="674D48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5D1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F1F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B0A1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24A9">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A61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723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FA0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AA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33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19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B68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F8C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7A7F0">
            <w:pPr>
              <w:jc w:val="center"/>
            </w:pPr>
            <w:r>
              <w:rPr>
                <w:rFonts w:ascii="宋体" w:hAnsi="宋体" w:eastAsia="宋体"/>
                <w:sz w:val="16"/>
              </w:rPr>
              <w:t>偏差原因：因地委行署决定不再体育运动会民族体育竞技场，所以不需要再做场地选址前期论证项目；改进措施：在编制项目阶段，制定符合实际的目标。</w:t>
            </w:r>
          </w:p>
        </w:tc>
      </w:tr>
      <w:tr w14:paraId="66A80C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E06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18F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93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2A79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BA4D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4A3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CB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33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AD6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8EB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D74BE">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9F6E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2597D">
            <w:pPr>
              <w:jc w:val="center"/>
            </w:pPr>
            <w:r>
              <w:rPr>
                <w:rFonts w:ascii="宋体" w:hAnsi="宋体" w:eastAsia="宋体"/>
                <w:sz w:val="16"/>
              </w:rPr>
              <w:t>偏差原因：因地委行署决定不再体育运动会民族体育竞技场，所以该项目未完成；改进措施：下一步制定符合实际的项目。</w:t>
            </w:r>
          </w:p>
        </w:tc>
      </w:tr>
      <w:tr w14:paraId="1EF6AC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5FA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9D3F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D3D0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3EA04">
            <w:pPr>
              <w:jc w:val="center"/>
            </w:pPr>
            <w:r>
              <w:rPr>
                <w:rFonts w:ascii="宋体" w:hAnsi="宋体" w:eastAsia="宋体"/>
                <w:sz w:val="16"/>
              </w:rPr>
              <w:t>聘请专家费用及其他费用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01E2">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E55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B6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CF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9E9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E57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2403">
            <w:pPr>
              <w:jc w:val="center"/>
            </w:pPr>
            <w:r>
              <w:rPr>
                <w:rFonts w:ascii="宋体" w:hAnsi="宋体" w:eastAsia="宋体"/>
                <w:sz w:val="16"/>
              </w:rPr>
              <w:t>=2.27万元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2314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B758D">
            <w:pPr>
              <w:jc w:val="center"/>
            </w:pPr>
            <w:r>
              <w:rPr>
                <w:rFonts w:ascii="宋体" w:hAnsi="宋体" w:eastAsia="宋体"/>
                <w:sz w:val="16"/>
              </w:rPr>
              <w:t>偏差原因：根据实际工作情况，只聘请了4次，共5人次专家学者，费用均按实际报销；改进措施：在编制预算阶段，精细化绩效目标制定。</w:t>
            </w:r>
          </w:p>
        </w:tc>
      </w:tr>
      <w:tr w14:paraId="64A732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55A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B66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9AB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C3C30">
            <w:pPr>
              <w:jc w:val="center"/>
            </w:pPr>
            <w:r>
              <w:rPr>
                <w:rFonts w:ascii="宋体" w:hAnsi="宋体" w:eastAsia="宋体"/>
                <w:sz w:val="16"/>
              </w:rPr>
              <w:t>聘请第三方咨询公司费用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C8354">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183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32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9D2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7FE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C4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4B03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F481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47A89">
            <w:pPr>
              <w:jc w:val="center"/>
            </w:pPr>
            <w:r>
              <w:rPr>
                <w:rFonts w:ascii="宋体" w:hAnsi="宋体" w:eastAsia="宋体"/>
                <w:sz w:val="16"/>
              </w:rPr>
              <w:t>偏差原因：经地委行署决定不再新建场地，所以没有聘请第三方机构做可研报告。改进措施：进一步细化绩效目标制定。</w:t>
            </w:r>
          </w:p>
        </w:tc>
      </w:tr>
      <w:tr w14:paraId="7AFE3F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40B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A24C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740F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D86FA">
            <w:pPr>
              <w:jc w:val="center"/>
            </w:pPr>
            <w:r>
              <w:rPr>
                <w:rFonts w:ascii="宋体" w:hAnsi="宋体" w:eastAsia="宋体"/>
                <w:sz w:val="16"/>
              </w:rPr>
              <w:t>有效提升地区体育运动员举办能力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5AB0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941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950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AC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4F2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6C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054E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7E70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C2D7E">
            <w:pPr>
              <w:jc w:val="center"/>
            </w:pPr>
          </w:p>
        </w:tc>
      </w:tr>
      <w:tr w14:paraId="28BA3B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941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FB9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D1C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E24F4">
            <w:pPr>
              <w:jc w:val="center"/>
            </w:pPr>
            <w:r>
              <w:rPr>
                <w:rFonts w:ascii="宋体" w:hAnsi="宋体" w:eastAsia="宋体"/>
                <w:sz w:val="16"/>
              </w:rPr>
              <w:t>场地使用人员满意度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6CA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92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29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AE8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B19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745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06E9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397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3BE5F">
            <w:pPr>
              <w:jc w:val="center"/>
            </w:pPr>
          </w:p>
        </w:tc>
      </w:tr>
      <w:tr w14:paraId="49D599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C04CB">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D6C4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016A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C8D01A">
            <w:pPr>
              <w:jc w:val="center"/>
            </w:pPr>
            <w:r>
              <w:rPr>
                <w:rFonts w:ascii="宋体" w:hAnsi="宋体" w:eastAsia="宋体"/>
                <w:sz w:val="16"/>
              </w:rPr>
              <w:t>38分</w:t>
            </w:r>
          </w:p>
        </w:tc>
      </w:tr>
    </w:tbl>
    <w:p w14:paraId="4814DD4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329BD3C8">
        <w:tblPrEx>
          <w:tblCellMar>
            <w:top w:w="0" w:type="dxa"/>
            <w:left w:w="108" w:type="dxa"/>
            <w:bottom w:w="0" w:type="dxa"/>
            <w:right w:w="108" w:type="dxa"/>
          </w:tblCellMar>
        </w:tblPrEx>
        <w:tc>
          <w:tcPr>
            <w:tcW w:w="8848" w:type="dxa"/>
            <w:gridSpan w:val="14"/>
            <w:vAlign w:val="center"/>
          </w:tcPr>
          <w:p w14:paraId="09447860">
            <w:pPr>
              <w:jc w:val="center"/>
            </w:pPr>
            <w:r>
              <w:rPr>
                <w:rFonts w:ascii="宋体" w:hAnsi="宋体" w:eastAsia="宋体"/>
                <w:sz w:val="24"/>
              </w:rPr>
              <w:t>项目支出绩效自评表</w:t>
            </w:r>
          </w:p>
        </w:tc>
      </w:tr>
      <w:tr w14:paraId="2D9F4928">
        <w:tblPrEx>
          <w:tblCellMar>
            <w:top w:w="0" w:type="dxa"/>
            <w:left w:w="108" w:type="dxa"/>
            <w:bottom w:w="0" w:type="dxa"/>
            <w:right w:w="108" w:type="dxa"/>
          </w:tblCellMar>
        </w:tblPrEx>
        <w:tc>
          <w:tcPr>
            <w:tcW w:w="8848" w:type="dxa"/>
            <w:gridSpan w:val="14"/>
            <w:vAlign w:val="center"/>
          </w:tcPr>
          <w:p w14:paraId="2FAEB553">
            <w:pPr>
              <w:jc w:val="center"/>
            </w:pPr>
            <w:r>
              <w:rPr>
                <w:rFonts w:ascii="宋体" w:hAnsi="宋体" w:eastAsia="宋体"/>
                <w:sz w:val="24"/>
              </w:rPr>
              <w:t>(2024年度)</w:t>
            </w:r>
          </w:p>
        </w:tc>
      </w:tr>
      <w:tr w14:paraId="445B00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081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8C092A">
            <w:pPr>
              <w:jc w:val="center"/>
            </w:pPr>
            <w:r>
              <w:rPr>
                <w:rFonts w:ascii="宋体" w:hAnsi="宋体" w:eastAsia="宋体"/>
                <w:sz w:val="16"/>
              </w:rPr>
              <w:t>广东前指粤喀“手拉手”团结共进项目</w:t>
            </w:r>
          </w:p>
        </w:tc>
      </w:tr>
      <w:tr w14:paraId="6D7562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6A6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56D057">
            <w:pPr>
              <w:jc w:val="center"/>
            </w:pPr>
            <w:r>
              <w:rPr>
                <w:rFonts w:ascii="宋体" w:hAnsi="宋体" w:eastAsia="宋体"/>
                <w:sz w:val="16"/>
              </w:rPr>
              <w:t>新疆维吾尔自治区喀什地区民族事务委员会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BEA8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3200C1">
            <w:pPr>
              <w:jc w:val="center"/>
            </w:pPr>
            <w:r>
              <w:rPr>
                <w:rFonts w:ascii="宋体" w:hAnsi="宋体" w:eastAsia="宋体"/>
                <w:sz w:val="16"/>
              </w:rPr>
              <w:t>新疆维吾尔自治区喀什地区民族事务委员会</w:t>
            </w:r>
          </w:p>
        </w:tc>
      </w:tr>
      <w:tr w14:paraId="6F90FB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76C0A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10A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08D5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E2DD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FEA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630B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2827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4339B">
            <w:pPr>
              <w:jc w:val="center"/>
            </w:pPr>
            <w:r>
              <w:rPr>
                <w:rFonts w:ascii="宋体" w:hAnsi="宋体" w:eastAsia="宋体"/>
                <w:sz w:val="16"/>
              </w:rPr>
              <w:t>得分</w:t>
            </w:r>
          </w:p>
        </w:tc>
      </w:tr>
      <w:tr w14:paraId="3EB222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E61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881C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052C5">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3A5AB">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A7AFD">
            <w:pPr>
              <w:jc w:val="center"/>
            </w:pPr>
            <w:r>
              <w:rPr>
                <w:rFonts w:ascii="宋体" w:hAnsi="宋体" w:eastAsia="宋体"/>
                <w:sz w:val="16"/>
              </w:rPr>
              <w:t>77.06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D9B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7AD0E">
            <w:pPr>
              <w:jc w:val="center"/>
            </w:pPr>
            <w:r>
              <w:rPr>
                <w:rFonts w:ascii="宋体" w:hAnsi="宋体" w:eastAsia="宋体"/>
                <w:sz w:val="16"/>
              </w:rPr>
              <w:t>38.5%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9A76A">
            <w:pPr>
              <w:jc w:val="center"/>
            </w:pPr>
            <w:r>
              <w:rPr>
                <w:rFonts w:ascii="宋体" w:hAnsi="宋体" w:eastAsia="宋体"/>
                <w:sz w:val="16"/>
              </w:rPr>
              <w:t>0.00分</w:t>
            </w:r>
          </w:p>
        </w:tc>
      </w:tr>
      <w:tr w14:paraId="458500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350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43C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6C3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FB3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4DD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232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4A8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B7926">
            <w:pPr>
              <w:jc w:val="center"/>
            </w:pPr>
            <w:r>
              <w:rPr>
                <w:rFonts w:ascii="宋体" w:hAnsi="宋体" w:eastAsia="宋体"/>
                <w:sz w:val="16"/>
              </w:rPr>
              <w:t>—</w:t>
            </w:r>
          </w:p>
        </w:tc>
      </w:tr>
      <w:tr w14:paraId="52F900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C45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7FA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98C5D">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B9FF2">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7EF23">
            <w:pPr>
              <w:jc w:val="center"/>
            </w:pPr>
            <w:r>
              <w:rPr>
                <w:rFonts w:ascii="宋体" w:hAnsi="宋体" w:eastAsia="宋体"/>
                <w:sz w:val="16"/>
              </w:rPr>
              <w:t>77.06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B40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B21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EBCB5">
            <w:pPr>
              <w:jc w:val="center"/>
            </w:pPr>
            <w:r>
              <w:rPr>
                <w:rFonts w:ascii="宋体" w:hAnsi="宋体" w:eastAsia="宋体"/>
                <w:sz w:val="16"/>
              </w:rPr>
              <w:t>—</w:t>
            </w:r>
          </w:p>
        </w:tc>
      </w:tr>
      <w:tr w14:paraId="59CCAB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BAD8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71BB1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E90BD5">
            <w:pPr>
              <w:jc w:val="center"/>
            </w:pPr>
            <w:r>
              <w:rPr>
                <w:rFonts w:ascii="宋体" w:hAnsi="宋体" w:eastAsia="宋体"/>
                <w:sz w:val="16"/>
              </w:rPr>
              <w:t>实际完成情况</w:t>
            </w:r>
          </w:p>
        </w:tc>
      </w:tr>
      <w:tr w14:paraId="5BF83B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8BC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7F68EE">
            <w:pPr>
              <w:jc w:val="both"/>
            </w:pPr>
            <w:r>
              <w:rPr>
                <w:rFonts w:ascii="宋体" w:hAnsi="宋体" w:eastAsia="宋体"/>
                <w:sz w:val="16"/>
              </w:rPr>
              <w:t>计划组织80名喀什地区民族团结进步创建业务骨干分两期赴广州开展为期的业务交流培训，通过邀请高校专家学者来喀对喀什地区200名“三大员”分期开展专题讲座，讲授民族领域前沿政策与实践。通过到广东省学习培训、座谈交流、实地观摩广东省民族团结进步创建的典型做法、先进理念；通过邀请专家学者来喀授课，提高全地区民族工作干部理论水平和专业素质，进而不断铸牢中华民族共同体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762102">
            <w:pPr>
              <w:jc w:val="both"/>
            </w:pPr>
            <w:r>
              <w:rPr>
                <w:rFonts w:ascii="宋体" w:hAnsi="宋体" w:eastAsia="宋体"/>
                <w:sz w:val="16"/>
              </w:rPr>
              <w:t>组织89名喀什地区民族团结进步创建业务骨干分两期赴广州开展为期的业务交流培训，通过到广东省学习培训、座谈交流、实地观摩广东省民族团结进步创建的典型做法、先进理念.提高全地区民族工作干部理论水平和专业素质，进而不断铸牢中华民族共同体意识。</w:t>
            </w:r>
          </w:p>
        </w:tc>
      </w:tr>
      <w:tr w14:paraId="4E72B5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4E4A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117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52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8E2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7121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070F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0E7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976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8027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C76A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30B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3885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E5F5B">
            <w:pPr>
              <w:jc w:val="center"/>
            </w:pPr>
            <w:r>
              <w:rPr>
                <w:rFonts w:ascii="宋体" w:hAnsi="宋体" w:eastAsia="宋体"/>
                <w:sz w:val="16"/>
              </w:rPr>
              <w:t>偏差原因分析及改进措施</w:t>
            </w:r>
          </w:p>
        </w:tc>
      </w:tr>
      <w:tr w14:paraId="22FEC2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8348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49E2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9269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55543">
            <w:pPr>
              <w:jc w:val="center"/>
            </w:pPr>
            <w:r>
              <w:rPr>
                <w:rFonts w:ascii="宋体" w:hAnsi="宋体" w:eastAsia="宋体"/>
                <w:sz w:val="16"/>
              </w:rPr>
              <w:t>培训业务骨干人数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F5501">
            <w:pPr>
              <w:jc w:val="center"/>
            </w:pPr>
            <w:r>
              <w:rPr>
                <w:rFonts w:ascii="宋体" w:hAnsi="宋体" w:eastAsia="宋体"/>
                <w:sz w:val="16"/>
              </w:rPr>
              <w:t>&gt;=80人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726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55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095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4D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741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D07E">
            <w:pPr>
              <w:jc w:val="center"/>
            </w:pPr>
            <w:r>
              <w:rPr>
                <w:rFonts w:ascii="宋体" w:hAnsi="宋体" w:eastAsia="宋体"/>
                <w:sz w:val="16"/>
              </w:rPr>
              <w:t>=89人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D87EB">
            <w:pPr>
              <w:jc w:val="center"/>
            </w:pPr>
            <w:r>
              <w:rPr>
                <w:rFonts w:ascii="宋体" w:hAnsi="宋体" w:eastAsia="宋体"/>
                <w:sz w:val="16"/>
              </w:rPr>
              <w:t>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89964">
            <w:pPr>
              <w:jc w:val="center"/>
            </w:pPr>
            <w:r>
              <w:rPr>
                <w:rFonts w:ascii="宋体" w:hAnsi="宋体" w:eastAsia="宋体"/>
                <w:sz w:val="16"/>
              </w:rPr>
              <w:t>偏差原因：超出的9人为工作人员；改进措施：下一步设定绩效时，将工作人员纳入培训人员指标中。</w:t>
            </w:r>
          </w:p>
        </w:tc>
      </w:tr>
      <w:tr w14:paraId="28C5B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0B8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485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77F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B991F">
            <w:pPr>
              <w:jc w:val="center"/>
            </w:pPr>
            <w:r>
              <w:rPr>
                <w:rFonts w:ascii="宋体" w:hAnsi="宋体" w:eastAsia="宋体"/>
                <w:sz w:val="16"/>
              </w:rPr>
              <w:t>培训“三大员”人数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97B3">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59C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5A4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6EA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815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53C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6207A">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8970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0C8A1">
            <w:pPr>
              <w:jc w:val="center"/>
            </w:pPr>
            <w:r>
              <w:rPr>
                <w:rFonts w:ascii="宋体" w:hAnsi="宋体" w:eastAsia="宋体"/>
                <w:sz w:val="16"/>
              </w:rPr>
              <w:t>偏差原因：该培训资料收集工作暂未完成，费用未支付；改进措施：及时收集项目资料、支付费用，进一步细化绩效目标。</w:t>
            </w:r>
          </w:p>
        </w:tc>
      </w:tr>
      <w:tr w14:paraId="238E1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3AE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D76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7172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2B1F9">
            <w:pPr>
              <w:jc w:val="center"/>
            </w:pPr>
            <w:r>
              <w:rPr>
                <w:rFonts w:ascii="宋体" w:hAnsi="宋体" w:eastAsia="宋体"/>
                <w:sz w:val="16"/>
              </w:rPr>
              <w:t>项目培训验收合格率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1B9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40C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EC3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31B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C56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96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ADF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02C3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0E9DF">
            <w:pPr>
              <w:jc w:val="center"/>
            </w:pPr>
          </w:p>
        </w:tc>
      </w:tr>
      <w:tr w14:paraId="396E5E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7CD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954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1D5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DF3E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D0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8D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D3A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E41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4D7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487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0CE38">
            <w:pPr>
              <w:jc w:val="center"/>
            </w:pPr>
            <w:r>
              <w:rPr>
                <w:rFonts w:ascii="宋体" w:hAnsi="宋体" w:eastAsia="宋体"/>
                <w:sz w:val="16"/>
              </w:rPr>
              <w:t>=38.53%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05D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BA00B">
            <w:pPr>
              <w:jc w:val="center"/>
            </w:pPr>
            <w:r>
              <w:rPr>
                <w:rFonts w:ascii="宋体" w:hAnsi="宋体" w:eastAsia="宋体"/>
                <w:sz w:val="16"/>
              </w:rPr>
              <w:t>偏差原因：因项目推进缓慢，致使资金支付滞后；改进措施：进一步加快项目资金支付进度。</w:t>
            </w:r>
          </w:p>
        </w:tc>
      </w:tr>
      <w:tr w14:paraId="0D9488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500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85D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64A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77D2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27D0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46F3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1C7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83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3F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3C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7AA9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108F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C592B">
            <w:pPr>
              <w:jc w:val="center"/>
            </w:pPr>
          </w:p>
        </w:tc>
      </w:tr>
      <w:tr w14:paraId="137D4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1CF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4EF7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7FF4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8C16C">
            <w:pPr>
              <w:jc w:val="center"/>
            </w:pPr>
            <w:r>
              <w:rPr>
                <w:rFonts w:ascii="宋体" w:hAnsi="宋体" w:eastAsia="宋体"/>
                <w:sz w:val="16"/>
              </w:rPr>
              <w:t>业务骨干培训费用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1EA8A">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07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192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21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5A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5BB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0F063">
            <w:pPr>
              <w:jc w:val="center"/>
            </w:pPr>
            <w:r>
              <w:rPr>
                <w:rFonts w:ascii="宋体" w:hAnsi="宋体" w:eastAsia="宋体"/>
                <w:sz w:val="16"/>
              </w:rPr>
              <w:t>=77.06万元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FBE8D">
            <w:pPr>
              <w:jc w:val="center"/>
            </w:pPr>
            <w:r>
              <w:rPr>
                <w:rFonts w:ascii="宋体" w:hAnsi="宋体" w:eastAsia="宋体"/>
                <w:sz w:val="16"/>
              </w:rPr>
              <w:t>4.27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ACCDF">
            <w:pPr>
              <w:jc w:val="center"/>
            </w:pPr>
            <w:r>
              <w:rPr>
                <w:rFonts w:ascii="宋体" w:hAnsi="宋体" w:eastAsia="宋体"/>
                <w:sz w:val="16"/>
              </w:rPr>
              <w:t>偏差原因：预算制定不够详细，致使实际费用与绩效目标有偏差。改进措施：进一步细化预算绩效目标的制定工作。</w:t>
            </w:r>
          </w:p>
        </w:tc>
      </w:tr>
      <w:tr w14:paraId="4BCF93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E6B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981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699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33069">
            <w:pPr>
              <w:jc w:val="center"/>
            </w:pPr>
            <w:r>
              <w:rPr>
                <w:rFonts w:ascii="宋体" w:hAnsi="宋体" w:eastAsia="宋体"/>
                <w:sz w:val="16"/>
              </w:rPr>
              <w:t>“三大员”培训费用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B38D2">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36A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E3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B3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40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C49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64B8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D98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F5B1D">
            <w:pPr>
              <w:jc w:val="center"/>
            </w:pPr>
            <w:r>
              <w:rPr>
                <w:rFonts w:ascii="宋体" w:hAnsi="宋体" w:eastAsia="宋体"/>
                <w:sz w:val="16"/>
              </w:rPr>
              <w:t>偏差原因：该培训资料收集工作暂未完成，费用未支付；改进措施：及时收集项目资料、支付费用，进一步细化绩效目标。</w:t>
            </w:r>
          </w:p>
        </w:tc>
      </w:tr>
      <w:tr w14:paraId="753476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8FF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C9A7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68B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86F08">
            <w:pPr>
              <w:jc w:val="center"/>
            </w:pPr>
            <w:r>
              <w:rPr>
                <w:rFonts w:ascii="宋体" w:hAnsi="宋体" w:eastAsia="宋体"/>
                <w:sz w:val="16"/>
              </w:rPr>
              <w:t>推进</w:t>
            </w:r>
            <w:r>
              <w:rPr>
                <w:rFonts w:hint="eastAsia" w:ascii="宋体" w:hAnsi="宋体"/>
                <w:sz w:val="16"/>
                <w:lang w:eastAsia="zh-CN"/>
              </w:rPr>
              <w:t>铸牢中华民族共同体意识</w:t>
            </w:r>
            <w:r>
              <w:rPr>
                <w:rFonts w:ascii="宋体" w:hAnsi="宋体" w:eastAsia="宋体"/>
                <w:sz w:val="16"/>
              </w:rPr>
              <w:t>交往交流交融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98AF8">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966C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B16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78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7C5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D03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9400E">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96C3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FDD07">
            <w:pPr>
              <w:jc w:val="center"/>
            </w:pPr>
          </w:p>
        </w:tc>
      </w:tr>
      <w:tr w14:paraId="6F4BF3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158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316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7B9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5F60A">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406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B0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30E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D09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6C6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1EE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FEE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6B1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36B5C">
            <w:pPr>
              <w:jc w:val="center"/>
            </w:pPr>
            <w:r>
              <w:rPr>
                <w:rFonts w:ascii="宋体" w:hAnsi="宋体" w:eastAsia="宋体"/>
                <w:sz w:val="16"/>
              </w:rPr>
              <w:t>偏差原因：因培训项目负责人员尽职尽责，培训满意度较高。</w:t>
            </w:r>
          </w:p>
        </w:tc>
      </w:tr>
      <w:tr w14:paraId="53E289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02F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91AE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59E44">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6BFA42">
            <w:pPr>
              <w:jc w:val="center"/>
            </w:pPr>
            <w:r>
              <w:rPr>
                <w:rFonts w:ascii="宋体" w:hAnsi="宋体" w:eastAsia="宋体"/>
                <w:sz w:val="16"/>
              </w:rPr>
              <w:t>57.37分</w:t>
            </w:r>
          </w:p>
        </w:tc>
      </w:tr>
    </w:tbl>
    <w:p w14:paraId="61F2130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BD18854">
        <w:tblPrEx>
          <w:tblCellMar>
            <w:top w:w="0" w:type="dxa"/>
            <w:left w:w="108" w:type="dxa"/>
            <w:bottom w:w="0" w:type="dxa"/>
            <w:right w:w="108" w:type="dxa"/>
          </w:tblCellMar>
        </w:tblPrEx>
        <w:tc>
          <w:tcPr>
            <w:tcW w:w="8848" w:type="dxa"/>
            <w:gridSpan w:val="14"/>
            <w:vAlign w:val="center"/>
          </w:tcPr>
          <w:p w14:paraId="11926DA8">
            <w:pPr>
              <w:jc w:val="center"/>
            </w:pPr>
            <w:r>
              <w:rPr>
                <w:rFonts w:ascii="宋体" w:hAnsi="宋体" w:eastAsia="宋体"/>
                <w:sz w:val="24"/>
              </w:rPr>
              <w:t>项目支出绩效自评表</w:t>
            </w:r>
          </w:p>
        </w:tc>
      </w:tr>
      <w:tr w14:paraId="2A078511">
        <w:tblPrEx>
          <w:tblCellMar>
            <w:top w:w="0" w:type="dxa"/>
            <w:left w:w="108" w:type="dxa"/>
            <w:bottom w:w="0" w:type="dxa"/>
            <w:right w:w="108" w:type="dxa"/>
          </w:tblCellMar>
        </w:tblPrEx>
        <w:tc>
          <w:tcPr>
            <w:tcW w:w="8848" w:type="dxa"/>
            <w:gridSpan w:val="14"/>
            <w:vAlign w:val="center"/>
          </w:tcPr>
          <w:p w14:paraId="528A0F4A">
            <w:pPr>
              <w:jc w:val="center"/>
            </w:pPr>
            <w:r>
              <w:rPr>
                <w:rFonts w:ascii="宋体" w:hAnsi="宋体" w:eastAsia="宋体"/>
                <w:sz w:val="24"/>
              </w:rPr>
              <w:t>(2024年度)</w:t>
            </w:r>
          </w:p>
        </w:tc>
      </w:tr>
      <w:tr w14:paraId="0531A3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C42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2E538B">
            <w:pPr>
              <w:jc w:val="center"/>
            </w:pPr>
            <w:r>
              <w:rPr>
                <w:rFonts w:ascii="宋体" w:hAnsi="宋体" w:eastAsia="宋体"/>
                <w:sz w:val="16"/>
              </w:rPr>
              <w:t>民宗局文书档案整理及数字化加工项目</w:t>
            </w:r>
          </w:p>
        </w:tc>
      </w:tr>
      <w:tr w14:paraId="553E71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441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90DA69">
            <w:pPr>
              <w:jc w:val="center"/>
            </w:pPr>
            <w:r>
              <w:rPr>
                <w:rFonts w:ascii="宋体" w:hAnsi="宋体" w:eastAsia="宋体"/>
                <w:sz w:val="16"/>
              </w:rPr>
              <w:t>喀什地区行政公署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FC4F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B178E6">
            <w:pPr>
              <w:jc w:val="center"/>
            </w:pPr>
            <w:r>
              <w:rPr>
                <w:rFonts w:ascii="宋体" w:hAnsi="宋体" w:eastAsia="宋体"/>
                <w:sz w:val="16"/>
              </w:rPr>
              <w:t>新疆维吾尔自治区喀什地区民族事务委员会</w:t>
            </w:r>
          </w:p>
        </w:tc>
      </w:tr>
      <w:tr w14:paraId="514EE6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C36FF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75E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CA8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2AC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E5AA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A67A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BC9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7EED">
            <w:pPr>
              <w:jc w:val="center"/>
            </w:pPr>
            <w:r>
              <w:rPr>
                <w:rFonts w:ascii="宋体" w:hAnsi="宋体" w:eastAsia="宋体"/>
                <w:sz w:val="16"/>
              </w:rPr>
              <w:t>得分</w:t>
            </w:r>
          </w:p>
        </w:tc>
      </w:tr>
      <w:tr w14:paraId="6F31BD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E4F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DFC1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DF880">
            <w:pPr>
              <w:jc w:val="center"/>
            </w:pPr>
            <w:r>
              <w:rPr>
                <w:rFonts w:ascii="宋体" w:hAnsi="宋体" w:eastAsia="宋体"/>
                <w:sz w:val="16"/>
              </w:rPr>
              <w:t>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D77EF">
            <w:pPr>
              <w:jc w:val="center"/>
            </w:pPr>
            <w:r>
              <w:rPr>
                <w:rFonts w:ascii="宋体" w:hAnsi="宋体" w:eastAsia="宋体"/>
                <w:sz w:val="16"/>
              </w:rPr>
              <w:t>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5A53E">
            <w:pPr>
              <w:jc w:val="center"/>
            </w:pPr>
            <w:r>
              <w:rPr>
                <w:rFonts w:ascii="宋体" w:hAnsi="宋体" w:eastAsia="宋体"/>
                <w:sz w:val="16"/>
              </w:rPr>
              <w:t>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DE9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FEDD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8F843">
            <w:pPr>
              <w:jc w:val="center"/>
            </w:pPr>
            <w:r>
              <w:rPr>
                <w:rFonts w:ascii="宋体" w:hAnsi="宋体" w:eastAsia="宋体"/>
                <w:sz w:val="16"/>
              </w:rPr>
              <w:t>10.00分</w:t>
            </w:r>
          </w:p>
        </w:tc>
      </w:tr>
      <w:tr w14:paraId="44BB1A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8F0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6C79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861C8">
            <w:pPr>
              <w:jc w:val="center"/>
            </w:pPr>
            <w:r>
              <w:rPr>
                <w:rFonts w:ascii="宋体" w:hAnsi="宋体" w:eastAsia="宋体"/>
                <w:sz w:val="16"/>
              </w:rPr>
              <w:t>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CBC52">
            <w:pPr>
              <w:jc w:val="center"/>
            </w:pPr>
            <w:r>
              <w:rPr>
                <w:rFonts w:ascii="宋体" w:hAnsi="宋体" w:eastAsia="宋体"/>
                <w:sz w:val="16"/>
              </w:rPr>
              <w:t>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D9777">
            <w:pPr>
              <w:jc w:val="center"/>
            </w:pPr>
            <w:r>
              <w:rPr>
                <w:rFonts w:ascii="宋体" w:hAnsi="宋体" w:eastAsia="宋体"/>
                <w:sz w:val="16"/>
              </w:rPr>
              <w:t>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207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7FA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451EB">
            <w:pPr>
              <w:jc w:val="center"/>
            </w:pPr>
            <w:r>
              <w:rPr>
                <w:rFonts w:ascii="宋体" w:hAnsi="宋体" w:eastAsia="宋体"/>
                <w:sz w:val="16"/>
              </w:rPr>
              <w:t>—</w:t>
            </w:r>
          </w:p>
        </w:tc>
      </w:tr>
      <w:tr w14:paraId="6096A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156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3327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979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993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0C2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93B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A87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9DEFE">
            <w:pPr>
              <w:jc w:val="center"/>
            </w:pPr>
            <w:r>
              <w:rPr>
                <w:rFonts w:ascii="宋体" w:hAnsi="宋体" w:eastAsia="宋体"/>
                <w:sz w:val="16"/>
              </w:rPr>
              <w:t>—</w:t>
            </w:r>
          </w:p>
        </w:tc>
      </w:tr>
      <w:tr w14:paraId="4C237A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7EC2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A7E9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49D656">
            <w:pPr>
              <w:jc w:val="center"/>
            </w:pPr>
            <w:r>
              <w:rPr>
                <w:rFonts w:ascii="宋体" w:hAnsi="宋体" w:eastAsia="宋体"/>
                <w:sz w:val="16"/>
              </w:rPr>
              <w:t>实际完成情况</w:t>
            </w:r>
          </w:p>
        </w:tc>
      </w:tr>
      <w:tr w14:paraId="3877C0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74B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5C6C7A">
            <w:pPr>
              <w:jc w:val="both"/>
            </w:pPr>
            <w:r>
              <w:rPr>
                <w:rFonts w:ascii="宋体" w:hAnsi="宋体" w:eastAsia="宋体"/>
                <w:sz w:val="16"/>
              </w:rPr>
              <w:t>该项目总投资7.84万元，为本级财力资金，聘请1家专业机构主要是对单位2002—2020年文书档案数字化加工、规范整理，将近20年、6万多页档案条目录移交至喀什地区档案馆，编制大记事、全宗介绍、组织机构沿革编写。项目的实施确保档案数字化后为查询</w:t>
            </w:r>
            <w:r>
              <w:rPr>
                <w:rFonts w:hint="eastAsia" w:ascii="宋体" w:hAnsi="宋体"/>
                <w:sz w:val="16"/>
                <w:lang w:eastAsia="zh-CN"/>
              </w:rPr>
              <w:t>者</w:t>
            </w:r>
            <w:r>
              <w:rPr>
                <w:rFonts w:ascii="宋体" w:hAnsi="宋体" w:eastAsia="宋体"/>
                <w:sz w:val="16"/>
              </w:rPr>
              <w:t>高效快捷的信息获取通道，减少对原件的调阅使其得到更好</w:t>
            </w:r>
            <w:r>
              <w:rPr>
                <w:rFonts w:hint="eastAsia" w:ascii="宋体" w:hAnsi="宋体"/>
                <w:sz w:val="16"/>
                <w:lang w:eastAsia="zh-CN"/>
              </w:rPr>
              <w:t>地</w:t>
            </w:r>
            <w:r>
              <w:rPr>
                <w:rFonts w:ascii="宋体" w:hAnsi="宋体" w:eastAsia="宋体"/>
                <w:sz w:val="16"/>
              </w:rPr>
              <w:t>保护。</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1D8D03">
            <w:pPr>
              <w:jc w:val="both"/>
            </w:pPr>
            <w:r>
              <w:rPr>
                <w:rFonts w:hint="eastAsia" w:ascii="宋体" w:hAnsi="宋体"/>
                <w:sz w:val="16"/>
                <w:lang w:eastAsia="zh-CN"/>
              </w:rPr>
              <w:t>截至</w:t>
            </w:r>
            <w:r>
              <w:rPr>
                <w:rFonts w:ascii="宋体" w:hAnsi="宋体" w:eastAsia="宋体"/>
                <w:sz w:val="16"/>
              </w:rPr>
              <w:t>2024年8月，完成2002</w:t>
            </w:r>
            <w:r>
              <w:rPr>
                <w:rFonts w:hint="eastAsia" w:ascii="宋体" w:hAnsi="宋体"/>
                <w:sz w:val="16"/>
                <w:lang w:eastAsia="zh-CN"/>
              </w:rPr>
              <w:t>—</w:t>
            </w:r>
            <w:r>
              <w:rPr>
                <w:rFonts w:ascii="宋体" w:hAnsi="宋体" w:eastAsia="宋体"/>
                <w:sz w:val="16"/>
              </w:rPr>
              <w:t>2023年文书档案整理5379件，文书档案数字化扫描63127页数字档案。文书档案整理及数字化加工项目的完成，大力推动了</w:t>
            </w:r>
            <w:r>
              <w:rPr>
                <w:rFonts w:hint="eastAsia" w:ascii="宋体" w:hAnsi="宋体"/>
                <w:sz w:val="16"/>
                <w:lang w:eastAsia="zh-CN"/>
              </w:rPr>
              <w:t>本部门</w:t>
            </w:r>
            <w:r>
              <w:rPr>
                <w:rFonts w:ascii="宋体" w:hAnsi="宋体" w:eastAsia="宋体"/>
                <w:sz w:val="16"/>
              </w:rPr>
              <w:t>增量档案电子化工作，有力促进了</w:t>
            </w:r>
            <w:r>
              <w:rPr>
                <w:rFonts w:hint="eastAsia" w:ascii="宋体" w:hAnsi="宋体"/>
                <w:sz w:val="16"/>
                <w:lang w:eastAsia="zh-CN"/>
              </w:rPr>
              <w:t>本部门</w:t>
            </w:r>
            <w:r>
              <w:rPr>
                <w:rFonts w:ascii="宋体" w:hAnsi="宋体" w:eastAsia="宋体"/>
                <w:sz w:val="16"/>
              </w:rPr>
              <w:t>档案数字化建设工作提质增效，有效提升了单位档案信息化管理水平。</w:t>
            </w:r>
          </w:p>
        </w:tc>
      </w:tr>
      <w:tr w14:paraId="6F2DC8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8D3B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9B6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52A7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C76E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B504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5F9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AF42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9ABF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79DD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F896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DDA2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DE42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F0F50">
            <w:pPr>
              <w:jc w:val="center"/>
            </w:pPr>
            <w:r>
              <w:rPr>
                <w:rFonts w:ascii="宋体" w:hAnsi="宋体" w:eastAsia="宋体"/>
                <w:sz w:val="16"/>
              </w:rPr>
              <w:t>偏差原因分析及改进措施</w:t>
            </w:r>
          </w:p>
        </w:tc>
      </w:tr>
      <w:tr w14:paraId="762DB2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8F4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56A3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9D1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F983B">
            <w:pPr>
              <w:jc w:val="center"/>
            </w:pPr>
            <w:r>
              <w:rPr>
                <w:rFonts w:ascii="宋体" w:hAnsi="宋体" w:eastAsia="宋体"/>
                <w:sz w:val="16"/>
              </w:rPr>
              <w:t>委托第三方机构数量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D116A">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B1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804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9785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7870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12C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34755">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142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6A07D">
            <w:pPr>
              <w:jc w:val="center"/>
            </w:pPr>
          </w:p>
        </w:tc>
      </w:tr>
      <w:tr w14:paraId="37780C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14B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DE8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4B9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DA4CD">
            <w:pPr>
              <w:jc w:val="center"/>
            </w:pPr>
            <w:r>
              <w:rPr>
                <w:rFonts w:ascii="宋体" w:hAnsi="宋体" w:eastAsia="宋体"/>
                <w:sz w:val="16"/>
              </w:rPr>
              <w:t>扫描档案页数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950A5">
            <w:pPr>
              <w:jc w:val="center"/>
            </w:pPr>
            <w:r>
              <w:rPr>
                <w:rFonts w:ascii="宋体" w:hAnsi="宋体" w:eastAsia="宋体"/>
                <w:sz w:val="16"/>
              </w:rPr>
              <w:t>&gt;=60000页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318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86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59EF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99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E7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E26A0">
            <w:pPr>
              <w:jc w:val="center"/>
            </w:pPr>
            <w:r>
              <w:rPr>
                <w:rFonts w:ascii="宋体" w:hAnsi="宋体" w:eastAsia="宋体"/>
                <w:sz w:val="16"/>
              </w:rPr>
              <w:t>=63127页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F36E">
            <w:pPr>
              <w:jc w:val="center"/>
            </w:pPr>
            <w:r>
              <w:rPr>
                <w:rFonts w:ascii="宋体" w:hAnsi="宋体" w:eastAsia="宋体"/>
                <w:sz w:val="16"/>
              </w:rPr>
              <w:t>7.58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BDE4B">
            <w:pPr>
              <w:jc w:val="center"/>
            </w:pPr>
            <w:r>
              <w:rPr>
                <w:rFonts w:ascii="宋体" w:hAnsi="宋体" w:eastAsia="宋体"/>
                <w:sz w:val="16"/>
              </w:rPr>
              <w:t>偏差原因：工作结束后，实际扫描档案页数63127页。</w:t>
            </w:r>
          </w:p>
        </w:tc>
      </w:tr>
      <w:tr w14:paraId="2FD42A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3E4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7CB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B41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5DDC">
            <w:pPr>
              <w:jc w:val="center"/>
            </w:pPr>
            <w:r>
              <w:rPr>
                <w:rFonts w:ascii="宋体" w:hAnsi="宋体" w:eastAsia="宋体"/>
                <w:sz w:val="16"/>
              </w:rPr>
              <w:t>文书档案整理年数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9BA9D">
            <w:pPr>
              <w:jc w:val="center"/>
            </w:pPr>
            <w:r>
              <w:rPr>
                <w:rFonts w:ascii="宋体" w:hAnsi="宋体" w:eastAsia="宋体"/>
                <w:sz w:val="16"/>
              </w:rPr>
              <w:t>=19年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BE8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DBA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BA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E87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7C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12C1">
            <w:pPr>
              <w:jc w:val="center"/>
            </w:pPr>
            <w:r>
              <w:rPr>
                <w:rFonts w:ascii="宋体" w:hAnsi="宋体" w:eastAsia="宋体"/>
                <w:sz w:val="16"/>
              </w:rPr>
              <w:t>=21年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E834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446D9">
            <w:pPr>
              <w:jc w:val="center"/>
            </w:pPr>
            <w:r>
              <w:rPr>
                <w:rFonts w:ascii="宋体" w:hAnsi="宋体" w:eastAsia="宋体"/>
                <w:sz w:val="16"/>
              </w:rPr>
              <w:t>偏差原因：工作结束后，实际整理扫描档案年份为21年。</w:t>
            </w:r>
          </w:p>
        </w:tc>
      </w:tr>
      <w:tr w14:paraId="37D0F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B1D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FAE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24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4B722">
            <w:pPr>
              <w:jc w:val="center"/>
            </w:pPr>
            <w:r>
              <w:rPr>
                <w:rFonts w:ascii="宋体" w:hAnsi="宋体" w:eastAsia="宋体"/>
                <w:sz w:val="16"/>
              </w:rPr>
              <w:t>档案数字化整理验收合格率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9E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859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49C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BC22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1D3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91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01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F8A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F3769">
            <w:pPr>
              <w:jc w:val="center"/>
            </w:pPr>
          </w:p>
        </w:tc>
      </w:tr>
      <w:tr w14:paraId="53E5D9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D49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2FB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F5F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BD1E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D8B0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FC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2C7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8F5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3F7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FAC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A7F47">
            <w:pPr>
              <w:jc w:val="center"/>
            </w:pPr>
            <w:r>
              <w:rPr>
                <w:rFonts w:ascii="宋体" w:hAnsi="宋体" w:eastAsia="宋体"/>
                <w:sz w:val="16"/>
              </w:rPr>
              <w:t>2024年8月23日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B31F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7E146">
            <w:pPr>
              <w:jc w:val="center"/>
            </w:pPr>
          </w:p>
        </w:tc>
      </w:tr>
      <w:tr w14:paraId="72CA2F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60C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ECAF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8FD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240AE">
            <w:pPr>
              <w:jc w:val="center"/>
            </w:pPr>
            <w:r>
              <w:rPr>
                <w:rFonts w:ascii="宋体" w:hAnsi="宋体" w:eastAsia="宋体"/>
                <w:sz w:val="16"/>
              </w:rPr>
              <w:t>文书档案数字化加工成本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1F1FD">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6A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D1E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B4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121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DA4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FFD27">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0F7A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DA2BD">
            <w:pPr>
              <w:jc w:val="center"/>
            </w:pPr>
          </w:p>
        </w:tc>
      </w:tr>
      <w:tr w14:paraId="0CD63D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BF5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4EE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EF3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5A807">
            <w:pPr>
              <w:jc w:val="center"/>
            </w:pPr>
            <w:r>
              <w:rPr>
                <w:rFonts w:ascii="宋体" w:hAnsi="宋体" w:eastAsia="宋体"/>
                <w:sz w:val="16"/>
              </w:rPr>
              <w:t>文书档案规范化整理成本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F98FF">
            <w:pPr>
              <w:jc w:val="center"/>
            </w:pPr>
            <w:r>
              <w:rPr>
                <w:rFonts w:ascii="宋体" w:hAnsi="宋体" w:eastAsia="宋体"/>
                <w:sz w:val="16"/>
              </w:rPr>
              <w:t>&lt;=4.32万元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A5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CD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70A5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9A9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DBA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1A20F">
            <w:pPr>
              <w:jc w:val="center"/>
            </w:pPr>
            <w:r>
              <w:rPr>
                <w:rFonts w:ascii="宋体" w:hAnsi="宋体" w:eastAsia="宋体"/>
                <w:sz w:val="16"/>
              </w:rPr>
              <w:t>=4.32万元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237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672D3">
            <w:pPr>
              <w:jc w:val="center"/>
            </w:pPr>
          </w:p>
        </w:tc>
      </w:tr>
      <w:tr w14:paraId="63A524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FC0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AAA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8B3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D90B4">
            <w:pPr>
              <w:jc w:val="center"/>
            </w:pPr>
            <w:r>
              <w:rPr>
                <w:rFonts w:ascii="宋体" w:hAnsi="宋体" w:eastAsia="宋体"/>
                <w:sz w:val="16"/>
              </w:rPr>
              <w:t>档案条目录及其他费用成本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B148">
            <w:pPr>
              <w:jc w:val="center"/>
            </w:pPr>
            <w:r>
              <w:rPr>
                <w:rFonts w:ascii="宋体" w:hAnsi="宋体" w:eastAsia="宋体"/>
                <w:sz w:val="16"/>
              </w:rPr>
              <w:t>&lt;=0.52万元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587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26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E430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FD8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569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8583">
            <w:pPr>
              <w:jc w:val="center"/>
            </w:pPr>
            <w:r>
              <w:rPr>
                <w:rFonts w:ascii="宋体" w:hAnsi="宋体" w:eastAsia="宋体"/>
                <w:sz w:val="16"/>
              </w:rPr>
              <w:t>=0.52万元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449C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E1B2C">
            <w:pPr>
              <w:jc w:val="center"/>
            </w:pPr>
          </w:p>
        </w:tc>
      </w:tr>
      <w:tr w14:paraId="221D3D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77F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FF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08C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663B">
            <w:pPr>
              <w:jc w:val="center"/>
            </w:pPr>
            <w:r>
              <w:rPr>
                <w:rFonts w:ascii="宋体" w:hAnsi="宋体" w:eastAsia="宋体"/>
                <w:sz w:val="16"/>
              </w:rPr>
              <w:t>有效提升档案信息化管理水平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F55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2BE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781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93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BE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B5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044F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FC87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B49F9">
            <w:pPr>
              <w:jc w:val="center"/>
            </w:pPr>
          </w:p>
        </w:tc>
      </w:tr>
      <w:tr w14:paraId="2AE779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75A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A91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2C3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45FE3">
            <w:pPr>
              <w:jc w:val="center"/>
            </w:pPr>
            <w:r>
              <w:rPr>
                <w:rFonts w:ascii="宋体" w:hAnsi="宋体" w:eastAsia="宋体"/>
                <w:sz w:val="16"/>
              </w:rPr>
              <w:t>档案使用人员满意度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0759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0C4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F3A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27C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7CE6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9E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66FC">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A95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479F6">
            <w:pPr>
              <w:jc w:val="center"/>
            </w:pPr>
          </w:p>
        </w:tc>
      </w:tr>
      <w:tr w14:paraId="3517D1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98A8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A01A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9FA1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E1E600">
            <w:pPr>
              <w:jc w:val="center"/>
            </w:pPr>
            <w:r>
              <w:rPr>
                <w:rFonts w:ascii="宋体" w:hAnsi="宋体" w:eastAsia="宋体"/>
                <w:sz w:val="16"/>
              </w:rPr>
              <w:t>91.58分</w:t>
            </w:r>
          </w:p>
        </w:tc>
      </w:tr>
    </w:tbl>
    <w:p w14:paraId="4106DFF6">
      <w:r>
        <w:br w:type="page"/>
      </w:r>
    </w:p>
    <w:p w14:paraId="2E95A127">
      <w:pPr>
        <w:spacing w:line="640" w:lineRule="exact"/>
        <w:ind w:firstLine="640"/>
        <w:jc w:val="both"/>
        <w:outlineLvl w:val="2"/>
      </w:pPr>
      <w:r>
        <w:rPr>
          <w:rFonts w:ascii="黑体" w:hAnsi="黑体" w:eastAsia="黑体"/>
          <w:sz w:val="32"/>
        </w:rPr>
        <w:t>十二、其他需说明的事项</w:t>
      </w:r>
    </w:p>
    <w:p w14:paraId="0BF475F8">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项目6个，全年预算数129.20万元，全年执行数68.38万元。</w:t>
      </w:r>
      <w:bookmarkStart w:id="0" w:name="_GoBack"/>
      <w:bookmarkEnd w:id="0"/>
    </w:p>
    <w:p w14:paraId="48AAB3A9">
      <w:r>
        <w:br w:type="page"/>
      </w:r>
    </w:p>
    <w:p w14:paraId="28917C12">
      <w:pPr>
        <w:spacing w:line="240" w:lineRule="auto"/>
        <w:jc w:val="center"/>
        <w:outlineLvl w:val="1"/>
      </w:pPr>
      <w:r>
        <w:rPr>
          <w:rFonts w:ascii="黑体" w:hAnsi="黑体" w:eastAsia="黑体"/>
          <w:sz w:val="32"/>
        </w:rPr>
        <w:t>第三部分 专业名词解释</w:t>
      </w:r>
    </w:p>
    <w:p w14:paraId="2D0A947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51A224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17AB66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00E5F8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EF4249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D83890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EAE9CC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91E024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FE14C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6771BF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696346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7CDD80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8EF4FB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928458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C96122F">
      <w:r>
        <w:br w:type="page"/>
      </w:r>
    </w:p>
    <w:p w14:paraId="5F704C37">
      <w:pPr>
        <w:spacing w:line="240" w:lineRule="auto"/>
        <w:jc w:val="center"/>
        <w:outlineLvl w:val="1"/>
      </w:pPr>
      <w:r>
        <w:rPr>
          <w:rFonts w:ascii="黑体" w:hAnsi="黑体" w:eastAsia="黑体"/>
          <w:sz w:val="32"/>
        </w:rPr>
        <w:t>第四部分 部门决算报表（见附表）</w:t>
      </w:r>
    </w:p>
    <w:p w14:paraId="1B2E6D12">
      <w:pPr>
        <w:spacing w:line="240" w:lineRule="auto"/>
        <w:ind w:firstLine="640"/>
        <w:jc w:val="both"/>
      </w:pPr>
      <w:r>
        <w:rPr>
          <w:rFonts w:ascii="仿宋_GB2312" w:hAnsi="仿宋_GB2312" w:eastAsia="仿宋_GB2312"/>
          <w:b w:val="0"/>
          <w:sz w:val="32"/>
        </w:rPr>
        <w:t>一、《收入支出决算总表》</w:t>
      </w:r>
    </w:p>
    <w:p w14:paraId="43365DF7">
      <w:pPr>
        <w:spacing w:line="240" w:lineRule="auto"/>
        <w:ind w:firstLine="640"/>
        <w:jc w:val="both"/>
      </w:pPr>
      <w:r>
        <w:rPr>
          <w:rFonts w:ascii="仿宋_GB2312" w:hAnsi="仿宋_GB2312" w:eastAsia="仿宋_GB2312"/>
          <w:b w:val="0"/>
          <w:sz w:val="32"/>
        </w:rPr>
        <w:t>二、《收入决算表》</w:t>
      </w:r>
    </w:p>
    <w:p w14:paraId="65630E64">
      <w:pPr>
        <w:spacing w:line="240" w:lineRule="auto"/>
        <w:ind w:firstLine="640"/>
        <w:jc w:val="both"/>
      </w:pPr>
      <w:r>
        <w:rPr>
          <w:rFonts w:ascii="仿宋_GB2312" w:hAnsi="仿宋_GB2312" w:eastAsia="仿宋_GB2312"/>
          <w:b w:val="0"/>
          <w:sz w:val="32"/>
        </w:rPr>
        <w:t>三、《支出决算表》</w:t>
      </w:r>
    </w:p>
    <w:p w14:paraId="6F37E3BA">
      <w:pPr>
        <w:spacing w:line="240" w:lineRule="auto"/>
        <w:ind w:firstLine="640"/>
        <w:jc w:val="both"/>
      </w:pPr>
      <w:r>
        <w:rPr>
          <w:rFonts w:ascii="仿宋_GB2312" w:hAnsi="仿宋_GB2312" w:eastAsia="仿宋_GB2312"/>
          <w:b w:val="0"/>
          <w:sz w:val="32"/>
        </w:rPr>
        <w:t>四、《财政拨款收入支出决算总表》</w:t>
      </w:r>
    </w:p>
    <w:p w14:paraId="46792A67">
      <w:pPr>
        <w:spacing w:line="240" w:lineRule="auto"/>
        <w:ind w:firstLine="640"/>
        <w:jc w:val="both"/>
      </w:pPr>
      <w:r>
        <w:rPr>
          <w:rFonts w:ascii="仿宋_GB2312" w:hAnsi="仿宋_GB2312" w:eastAsia="仿宋_GB2312"/>
          <w:b w:val="0"/>
          <w:sz w:val="32"/>
        </w:rPr>
        <w:t>五、《一般公共预算财政拨款支出决算表》</w:t>
      </w:r>
    </w:p>
    <w:p w14:paraId="3FB5ECBC">
      <w:pPr>
        <w:spacing w:line="240" w:lineRule="auto"/>
        <w:ind w:firstLine="640"/>
        <w:jc w:val="both"/>
      </w:pPr>
      <w:r>
        <w:rPr>
          <w:rFonts w:ascii="仿宋_GB2312" w:hAnsi="仿宋_GB2312" w:eastAsia="仿宋_GB2312"/>
          <w:b w:val="0"/>
          <w:sz w:val="32"/>
        </w:rPr>
        <w:t>六、《一般公共预算财政拨款基本支出决算表》</w:t>
      </w:r>
    </w:p>
    <w:p w14:paraId="2F9519A6">
      <w:pPr>
        <w:spacing w:line="240" w:lineRule="auto"/>
        <w:ind w:firstLine="640"/>
        <w:jc w:val="both"/>
      </w:pPr>
      <w:r>
        <w:rPr>
          <w:rFonts w:ascii="仿宋_GB2312" w:hAnsi="仿宋_GB2312" w:eastAsia="仿宋_GB2312"/>
          <w:b w:val="0"/>
          <w:sz w:val="32"/>
        </w:rPr>
        <w:t>七、《政府性基金预算财政拨款收入支出决算表》</w:t>
      </w:r>
    </w:p>
    <w:p w14:paraId="478187DF">
      <w:pPr>
        <w:spacing w:line="240" w:lineRule="auto"/>
        <w:ind w:firstLine="640"/>
        <w:jc w:val="both"/>
      </w:pPr>
      <w:r>
        <w:rPr>
          <w:rFonts w:ascii="仿宋_GB2312" w:hAnsi="仿宋_GB2312" w:eastAsia="仿宋_GB2312"/>
          <w:b w:val="0"/>
          <w:sz w:val="32"/>
        </w:rPr>
        <w:t>八、《国有资本经营预算财政拨款收入支出决算表》</w:t>
      </w:r>
    </w:p>
    <w:p w14:paraId="556301BB">
      <w:pPr>
        <w:spacing w:line="240" w:lineRule="auto"/>
        <w:ind w:firstLine="640"/>
        <w:jc w:val="both"/>
      </w:pPr>
      <w:r>
        <w:rPr>
          <w:rFonts w:ascii="仿宋_GB2312" w:hAnsi="仿宋_GB2312" w:eastAsia="仿宋_GB2312"/>
          <w:b w:val="0"/>
          <w:sz w:val="32"/>
        </w:rPr>
        <w:t>九、《财政拨款“三公”经费支出决算表》</w:t>
      </w:r>
    </w:p>
    <w:p w14:paraId="57C2C514">
      <w:pPr>
        <w:spacing w:line="240" w:lineRule="auto"/>
        <w:ind w:firstLine="640"/>
        <w:jc w:val="both"/>
      </w:pPr>
    </w:p>
    <w:p w14:paraId="4740AA65">
      <w:pPr>
        <w:spacing w:line="240" w:lineRule="auto"/>
        <w:ind w:firstLine="640"/>
        <w:jc w:val="both"/>
      </w:pPr>
    </w:p>
    <w:p w14:paraId="583FF4B3">
      <w:pPr>
        <w:spacing w:line="240" w:lineRule="auto"/>
        <w:ind w:firstLine="640"/>
        <w:jc w:val="both"/>
      </w:pPr>
    </w:p>
    <w:p w14:paraId="5A303C48">
      <w:pPr>
        <w:spacing w:line="240" w:lineRule="auto"/>
        <w:ind w:firstLine="640"/>
        <w:jc w:val="both"/>
      </w:pPr>
    </w:p>
    <w:p w14:paraId="7CF9C99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4B2F8D-D4DC-4BCF-BAC5-AC40AA9A06E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A39A422-50BA-4500-BD91-F1457A54C876}"/>
  </w:font>
  <w:font w:name="方正小标宋_GBK">
    <w:panose1 w:val="02000000000000000000"/>
    <w:charset w:val="86"/>
    <w:family w:val="script"/>
    <w:pitch w:val="default"/>
    <w:sig w:usb0="A00002BF" w:usb1="38CF7CFA" w:usb2="00082016" w:usb3="00000000" w:csb0="00040001" w:csb1="00000000"/>
    <w:embedRegular r:id="rId3" w:fontKey="{3696DFA3-CB6F-4914-9AD6-371A7C76F2F3}"/>
  </w:font>
  <w:font w:name="楷体_GB2312">
    <w:panose1 w:val="02010609030101010101"/>
    <w:charset w:val="86"/>
    <w:family w:val="auto"/>
    <w:pitch w:val="default"/>
    <w:sig w:usb0="00000001" w:usb1="080E0000" w:usb2="00000000" w:usb3="00000000" w:csb0="00040000" w:csb1="00000000"/>
    <w:embedRegular r:id="rId4" w:fontKey="{94D0C448-FC6A-4809-8A7D-B3A2CD9126E7}"/>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8F51158"/>
    <w:rsid w:val="09A729D8"/>
    <w:rsid w:val="0A3C58E8"/>
    <w:rsid w:val="0A7B4867"/>
    <w:rsid w:val="0B8C3ECC"/>
    <w:rsid w:val="0C3613A3"/>
    <w:rsid w:val="0C7227A7"/>
    <w:rsid w:val="0CD01F3C"/>
    <w:rsid w:val="0DCA6EF7"/>
    <w:rsid w:val="0E4B1576"/>
    <w:rsid w:val="0EA04331"/>
    <w:rsid w:val="0F9811B3"/>
    <w:rsid w:val="11E15093"/>
    <w:rsid w:val="120E0809"/>
    <w:rsid w:val="133A1916"/>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0F776CD"/>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AB353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6186</Words>
  <Characters>7072</Characters>
  <Lines>0</Lines>
  <Paragraphs>0</Paragraphs>
  <TotalTime>7</TotalTime>
  <ScaleCrop>false</ScaleCrop>
  <LinksUpToDate>false</LinksUpToDate>
  <CharactersWithSpaces>7081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2025-09-29T02:51:22Z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