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E5E38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w:t>
      </w: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行政公署外事办公室2024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D75FD72">
      <w:r>
        <w:br w:type="page"/>
      </w:r>
    </w:p>
    <w:p w14:paraId="6269E22E">
      <w:pPr>
        <w:spacing w:line="640" w:lineRule="exact"/>
        <w:jc w:val="center"/>
        <w:outlineLvl w:val="1"/>
      </w:pPr>
      <w:r>
        <w:rPr>
          <w:rFonts w:ascii="黑体" w:hAnsi="黑体" w:eastAsia="黑体"/>
          <w:sz w:val="32"/>
        </w:rPr>
        <w:t>第一部分 部门概况</w:t>
      </w:r>
    </w:p>
    <w:p w14:paraId="00FFFE38">
      <w:pPr>
        <w:spacing w:line="640" w:lineRule="exact"/>
        <w:ind w:firstLine="640"/>
        <w:jc w:val="both"/>
        <w:outlineLvl w:val="2"/>
      </w:pPr>
      <w:r>
        <w:rPr>
          <w:rFonts w:ascii="黑体" w:hAnsi="黑体" w:eastAsia="黑体"/>
          <w:sz w:val="32"/>
        </w:rPr>
        <w:t>一、主要职能</w:t>
      </w:r>
    </w:p>
    <w:p w14:paraId="5A71C4A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贯彻执行党和国家对外工作方针、政策和有关法律、法规及自治区党委、人民政府、地委、行署关于外事工作的决定。</w:t>
      </w:r>
    </w:p>
    <w:p w14:paraId="3479E9E7">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负责地委外事工作委员会办公室日常工作，指导、协调地区各部门、各县市外事工作，协调处理重要涉外事务。</w:t>
      </w:r>
    </w:p>
    <w:p w14:paraId="5A326FB3">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负责贯彻执行、协调推进地区对外交流合作规划和部署，并对外事工作履行综合管理职能，负责政策指导、情况通报、业务考核、监督检查和干部培训等工作。</w:t>
      </w:r>
    </w:p>
    <w:p w14:paraId="4FF38E6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围绕地区中心工作，研究提出外事工作中长期发展规划建议；参与“一带一路”建设工作，重点推动地区与周边国家地方层面各领域合作。</w:t>
      </w:r>
    </w:p>
    <w:p w14:paraId="284EEB9A">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负责来喀访问的国宾、党宾和其他重要外宾接待工作；负责驻华外交人员来喀公务活动接待工作；统筹安排地区领导的外事活动。</w:t>
      </w:r>
    </w:p>
    <w:p w14:paraId="16064B2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会同有关部门处理涉喀外事安全事务；统筹协调地区丝绸之路经济带核心区建设境外安全保障工作；配合有关部门开展对境外非政府组织在喀活动的管理。</w:t>
      </w:r>
    </w:p>
    <w:p w14:paraId="747CE89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负责地区因公出国（境）管理工作；承担因公出国（境）人员护照、赴港澳通行证的申报和管理，承办应邀访华外国人签证通知函电，承办中巴</w:t>
      </w:r>
      <w:r>
        <w:rPr>
          <w:rFonts w:hint="eastAsia" w:ascii="仿宋_GB2312" w:hAnsi="仿宋_GB2312" w:eastAsia="仿宋_GB2312"/>
          <w:sz w:val="32"/>
          <w:lang w:val="en-US" w:eastAsia="zh-CN"/>
        </w:rPr>
        <w:t>边境</w:t>
      </w:r>
      <w:r>
        <w:rPr>
          <w:rFonts w:ascii="仿宋_GB2312" w:hAnsi="仿宋_GB2312" w:eastAsia="仿宋_GB2312"/>
          <w:sz w:val="32"/>
        </w:rPr>
        <w:t>通行证。</w:t>
      </w:r>
    </w:p>
    <w:p w14:paraId="7190A798">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负责地区同外国驻华使领馆、国际组织驻华机构以及我国驻外使领馆和</w:t>
      </w:r>
      <w:r>
        <w:rPr>
          <w:rFonts w:hint="eastAsia" w:ascii="仿宋_GB2312" w:hAnsi="仿宋_GB2312" w:eastAsia="仿宋_GB2312"/>
          <w:sz w:val="32"/>
          <w:lang w:eastAsia="zh-CN"/>
        </w:rPr>
        <w:t>其他驻外</w:t>
      </w:r>
      <w:r>
        <w:rPr>
          <w:rFonts w:ascii="仿宋_GB2312" w:hAnsi="仿宋_GB2312" w:eastAsia="仿宋_GB2312"/>
          <w:sz w:val="32"/>
        </w:rPr>
        <w:t>机构联系；协调地区的官方和民间对外交往事宜；负责办理全地区与国外友好城市缔结友好关系的有关事项，管理和指导友好城市工作。</w:t>
      </w:r>
    </w:p>
    <w:p w14:paraId="09026CF6">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负责涉港澳</w:t>
      </w:r>
      <w:r>
        <w:rPr>
          <w:rFonts w:hint="eastAsia" w:ascii="仿宋_GB2312" w:hAnsi="仿宋_GB2312" w:eastAsia="仿宋_GB2312"/>
          <w:sz w:val="32"/>
          <w:lang w:eastAsia="zh-CN"/>
        </w:rPr>
        <w:t>事务</w:t>
      </w:r>
      <w:r>
        <w:rPr>
          <w:rFonts w:ascii="仿宋_GB2312" w:hAnsi="仿宋_GB2312" w:eastAsia="仿宋_GB2312"/>
          <w:sz w:val="32"/>
        </w:rPr>
        <w:t>，配合有关部门开展涉侨工作。</w:t>
      </w:r>
    </w:p>
    <w:p w14:paraId="76D71F87">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完成地委、行署交办的其他任务。</w:t>
      </w:r>
    </w:p>
    <w:p w14:paraId="25A93B33">
      <w:pPr>
        <w:spacing w:line="640" w:lineRule="exact"/>
        <w:ind w:firstLine="640"/>
        <w:jc w:val="both"/>
        <w:outlineLvl w:val="2"/>
      </w:pPr>
      <w:r>
        <w:rPr>
          <w:rFonts w:ascii="黑体" w:hAnsi="黑体" w:eastAsia="黑体"/>
          <w:sz w:val="32"/>
        </w:rPr>
        <w:t>二、机构设置及人员情况</w:t>
      </w:r>
    </w:p>
    <w:p w14:paraId="0291C965">
      <w:pPr>
        <w:spacing w:line="580" w:lineRule="exact"/>
        <w:ind w:firstLine="640"/>
        <w:jc w:val="both"/>
      </w:pPr>
      <w:r>
        <w:rPr>
          <w:rFonts w:ascii="仿宋_GB2312" w:hAnsi="仿宋_GB2312" w:eastAsia="仿宋_GB2312"/>
          <w:sz w:val="32"/>
        </w:rPr>
        <w:t>新疆维吾尔自治区喀什地区行政公署外事办公室2024年度，实有人数71人，其中：在职人员31人，减少4人；离休人员1人，增加0人；退休人员39人,增加6人。</w:t>
      </w:r>
    </w:p>
    <w:p w14:paraId="56437451">
      <w:pPr>
        <w:spacing w:line="580" w:lineRule="exact"/>
        <w:ind w:firstLine="640"/>
        <w:jc w:val="both"/>
      </w:pPr>
      <w:r>
        <w:rPr>
          <w:rFonts w:ascii="仿宋_GB2312" w:hAnsi="仿宋_GB2312" w:eastAsia="仿宋_GB2312"/>
          <w:sz w:val="32"/>
        </w:rPr>
        <w:t>新疆维吾尔自治区喀什地区行政公署外事办公室无下属预算单位，下设6个科室，分别是：行政办公室、出国境管理科、礼宾科、边界事务科、涉外安全科、综合协调科。</w:t>
      </w:r>
    </w:p>
    <w:p w14:paraId="22AADE0E">
      <w:r>
        <w:br w:type="page"/>
      </w:r>
    </w:p>
    <w:p w14:paraId="128E986A">
      <w:pPr>
        <w:spacing w:line="240" w:lineRule="auto"/>
        <w:jc w:val="center"/>
        <w:outlineLvl w:val="1"/>
      </w:pPr>
      <w:r>
        <w:rPr>
          <w:rFonts w:ascii="黑体" w:hAnsi="黑体" w:eastAsia="黑体"/>
          <w:sz w:val="32"/>
        </w:rPr>
        <w:t>第二部分 部门决算情况说明</w:t>
      </w:r>
    </w:p>
    <w:p w14:paraId="7E4DAEA2">
      <w:pPr>
        <w:spacing w:line="640" w:lineRule="exact"/>
        <w:ind w:firstLine="640"/>
        <w:jc w:val="both"/>
        <w:outlineLvl w:val="2"/>
      </w:pPr>
      <w:r>
        <w:rPr>
          <w:rFonts w:ascii="黑体" w:hAnsi="黑体" w:eastAsia="黑体"/>
          <w:sz w:val="32"/>
        </w:rPr>
        <w:t>一、收入支出决算总体情况说明</w:t>
      </w:r>
    </w:p>
    <w:p w14:paraId="67BEBEDA">
      <w:pPr>
        <w:spacing w:line="580" w:lineRule="exact"/>
        <w:ind w:firstLine="640"/>
        <w:jc w:val="both"/>
      </w:pPr>
      <w:r>
        <w:rPr>
          <w:rFonts w:ascii="仿宋_GB2312" w:hAnsi="仿宋_GB2312" w:eastAsia="仿宋_GB2312"/>
          <w:b/>
          <w:sz w:val="32"/>
        </w:rPr>
        <w:t>2024年度收入总计885.76万元，</w:t>
      </w:r>
      <w:r>
        <w:rPr>
          <w:rFonts w:ascii="仿宋_GB2312" w:hAnsi="仿宋_GB2312" w:eastAsia="仿宋_GB2312"/>
          <w:b w:val="0"/>
          <w:sz w:val="32"/>
        </w:rPr>
        <w:t>其中：本年收入合计875.55万元，使用非财政拨款结余（含专用结余）0.00万元，年初结转和结余10.22万元。</w:t>
      </w:r>
    </w:p>
    <w:p w14:paraId="6886CA01">
      <w:pPr>
        <w:spacing w:line="580" w:lineRule="exact"/>
        <w:ind w:firstLine="640"/>
        <w:jc w:val="both"/>
      </w:pPr>
      <w:r>
        <w:rPr>
          <w:rFonts w:ascii="仿宋_GB2312" w:hAnsi="仿宋_GB2312" w:eastAsia="仿宋_GB2312"/>
          <w:b/>
          <w:sz w:val="32"/>
        </w:rPr>
        <w:t>2024年度支出总计885.76万元，</w:t>
      </w:r>
      <w:r>
        <w:rPr>
          <w:rFonts w:ascii="仿宋_GB2312" w:hAnsi="仿宋_GB2312" w:eastAsia="仿宋_GB2312"/>
          <w:b w:val="0"/>
          <w:sz w:val="32"/>
        </w:rPr>
        <w:t>其中：本年支出合计885.43万元，结余分配0.00万元，年末结转和结余0.33万元。</w:t>
      </w:r>
    </w:p>
    <w:p w14:paraId="6E5D7AC9">
      <w:pPr>
        <w:spacing w:line="580" w:lineRule="exact"/>
        <w:ind w:firstLine="640"/>
        <w:jc w:val="both"/>
      </w:pPr>
      <w:r>
        <w:rPr>
          <w:rFonts w:ascii="仿宋_GB2312" w:hAnsi="仿宋_GB2312" w:eastAsia="仿宋_GB2312"/>
          <w:b w:val="0"/>
          <w:sz w:val="32"/>
        </w:rPr>
        <w:t>收入支出总体与上年相比，减少1,797.21万元，下降66.99%，主要原因是：因机构改革，减少聘用人员工资经费，其他工资福利支出减少，本年减少口岸运转保障等项目经费，导致相关经费减少。</w:t>
      </w:r>
    </w:p>
    <w:p w14:paraId="3EE3D751">
      <w:pPr>
        <w:spacing w:line="640" w:lineRule="exact"/>
        <w:ind w:firstLine="640"/>
        <w:jc w:val="both"/>
        <w:outlineLvl w:val="2"/>
      </w:pPr>
      <w:r>
        <w:rPr>
          <w:rFonts w:ascii="黑体" w:hAnsi="黑体" w:eastAsia="黑体"/>
          <w:sz w:val="32"/>
        </w:rPr>
        <w:t>二、收入决算情况说明</w:t>
      </w:r>
    </w:p>
    <w:p w14:paraId="34832127">
      <w:pPr>
        <w:spacing w:line="580" w:lineRule="exact"/>
        <w:ind w:firstLine="640"/>
        <w:jc w:val="both"/>
      </w:pPr>
      <w:r>
        <w:rPr>
          <w:rFonts w:ascii="仿宋_GB2312" w:hAnsi="仿宋_GB2312" w:eastAsia="仿宋_GB2312"/>
          <w:b/>
          <w:sz w:val="32"/>
        </w:rPr>
        <w:t>本年收入875.55万元，</w:t>
      </w:r>
      <w:r>
        <w:rPr>
          <w:rFonts w:ascii="仿宋_GB2312" w:hAnsi="仿宋_GB2312" w:eastAsia="仿宋_GB2312"/>
          <w:b w:val="0"/>
          <w:sz w:val="32"/>
        </w:rPr>
        <w:t>其中：财政拨款收入875.55万元，占100.00%；上级补助收入0.00万元，占0.00%；事业收入0.00万元，占0.00%；经营收入0.00万元，占0.00%；附属单位上缴收入0.00万元，占0.00%；其他收入0.00万元，占0.00%。</w:t>
      </w:r>
    </w:p>
    <w:p w14:paraId="2B345033">
      <w:pPr>
        <w:spacing w:line="640" w:lineRule="exact"/>
        <w:ind w:firstLine="640"/>
        <w:jc w:val="both"/>
        <w:outlineLvl w:val="2"/>
      </w:pPr>
      <w:r>
        <w:rPr>
          <w:rFonts w:ascii="黑体" w:hAnsi="黑体" w:eastAsia="黑体"/>
          <w:sz w:val="32"/>
        </w:rPr>
        <w:t>三、支出决算情况说明</w:t>
      </w:r>
    </w:p>
    <w:p w14:paraId="56B07A6D">
      <w:pPr>
        <w:spacing w:line="580" w:lineRule="exact"/>
        <w:ind w:firstLine="640"/>
        <w:jc w:val="both"/>
      </w:pPr>
      <w:r>
        <w:rPr>
          <w:rFonts w:ascii="仿宋_GB2312" w:hAnsi="仿宋_GB2312" w:eastAsia="仿宋_GB2312"/>
          <w:b/>
          <w:sz w:val="32"/>
        </w:rPr>
        <w:t>本年支出885.43万元，</w:t>
      </w:r>
      <w:r>
        <w:rPr>
          <w:rFonts w:ascii="仿宋_GB2312" w:hAnsi="仿宋_GB2312" w:eastAsia="仿宋_GB2312"/>
          <w:b w:val="0"/>
          <w:sz w:val="32"/>
        </w:rPr>
        <w:t>其中：基本支出655.19万元，占74.00%；项目支出230.25万元，占26.00%；上缴上级支出0.00万元，占0.00%；经营支出0.00万元，占0.00%；对附属单位补助支出0.00万元，占0.00%。</w:t>
      </w:r>
    </w:p>
    <w:p w14:paraId="0940209A">
      <w:pPr>
        <w:spacing w:line="640" w:lineRule="exact"/>
        <w:ind w:firstLine="640"/>
        <w:jc w:val="both"/>
        <w:outlineLvl w:val="2"/>
      </w:pPr>
      <w:r>
        <w:rPr>
          <w:rFonts w:ascii="黑体" w:hAnsi="黑体" w:eastAsia="黑体"/>
          <w:sz w:val="32"/>
        </w:rPr>
        <w:t>四、财政拨款收入支出决算总体情况说明</w:t>
      </w:r>
    </w:p>
    <w:p w14:paraId="5E843E62">
      <w:pPr>
        <w:spacing w:line="580" w:lineRule="exact"/>
        <w:ind w:firstLine="640"/>
        <w:jc w:val="both"/>
      </w:pPr>
      <w:r>
        <w:rPr>
          <w:rFonts w:ascii="仿宋_GB2312" w:hAnsi="仿宋_GB2312" w:eastAsia="仿宋_GB2312"/>
          <w:b/>
          <w:sz w:val="32"/>
        </w:rPr>
        <w:t>2024年度财政拨款收入总计875.55万元，</w:t>
      </w:r>
      <w:r>
        <w:rPr>
          <w:rFonts w:ascii="仿宋_GB2312" w:hAnsi="仿宋_GB2312" w:eastAsia="仿宋_GB2312"/>
          <w:b w:val="0"/>
          <w:sz w:val="32"/>
        </w:rPr>
        <w:t>其中：年初财政拨款结转和结余0.00万元，本年财政拨款收入875.55万元。</w:t>
      </w:r>
      <w:r>
        <w:rPr>
          <w:rFonts w:ascii="仿宋_GB2312" w:hAnsi="仿宋_GB2312" w:eastAsia="仿宋_GB2312"/>
          <w:b/>
          <w:sz w:val="32"/>
        </w:rPr>
        <w:t>财政拨款支出总计875.55万元，</w:t>
      </w:r>
      <w:r>
        <w:rPr>
          <w:rFonts w:ascii="仿宋_GB2312" w:hAnsi="仿宋_GB2312" w:eastAsia="仿宋_GB2312"/>
          <w:b w:val="0"/>
          <w:sz w:val="32"/>
        </w:rPr>
        <w:t>其中：年末财政拨款结转和结余0.00万元，本年财政拨款支出875.55万元。</w:t>
      </w:r>
    </w:p>
    <w:p w14:paraId="00DCE6B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减少1,770.02万元，下降66.91%，主要原因是：因机构改革，减少聘用人员工资经费，其他工资福利支出减少，本年减少口岸运转保障等项目经费，导致相关经费减少。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年初预算数1,205.12万元，决算数875.55万元，预决算差异率-27.35%，主要原因是：因机构改革，本年在职人员减少，年中调减人员经费、聘用人员工资经费等，导致预决算存在差异。</w:t>
      </w:r>
    </w:p>
    <w:p w14:paraId="27E8A16D">
      <w:pPr>
        <w:spacing w:line="640" w:lineRule="exact"/>
        <w:ind w:firstLine="640"/>
        <w:jc w:val="both"/>
        <w:outlineLvl w:val="2"/>
      </w:pPr>
      <w:r>
        <w:rPr>
          <w:rFonts w:ascii="黑体" w:hAnsi="黑体" w:eastAsia="黑体"/>
          <w:sz w:val="32"/>
        </w:rPr>
        <w:t>五、一般公共预算财政拨款支出决算情况说明</w:t>
      </w:r>
    </w:p>
    <w:p w14:paraId="082CBB48">
      <w:pPr>
        <w:spacing w:line="640" w:lineRule="exact"/>
        <w:ind w:firstLine="640"/>
        <w:jc w:val="both"/>
        <w:outlineLvl w:val="3"/>
      </w:pPr>
      <w:r>
        <w:rPr>
          <w:rFonts w:ascii="楷体_GB2312" w:hAnsi="楷体_GB2312" w:eastAsia="楷体_GB2312"/>
          <w:b/>
          <w:sz w:val="32"/>
        </w:rPr>
        <w:t>（一）一般公共预算财政拨款支出决算总体情况</w:t>
      </w:r>
    </w:p>
    <w:p w14:paraId="2EDBBAAD">
      <w:pPr>
        <w:spacing w:line="580" w:lineRule="exact"/>
        <w:ind w:firstLine="640"/>
        <w:jc w:val="both"/>
      </w:pPr>
      <w:r>
        <w:rPr>
          <w:rFonts w:ascii="仿宋_GB2312" w:hAnsi="仿宋_GB2312" w:eastAsia="仿宋_GB2312"/>
          <w:b/>
          <w:sz w:val="32"/>
        </w:rPr>
        <w:t>2024年度一般公共预算财政拨款支出875.55万元，</w:t>
      </w:r>
      <w:r>
        <w:rPr>
          <w:rFonts w:ascii="仿宋_GB2312" w:hAnsi="仿宋_GB2312" w:eastAsia="仿宋_GB2312"/>
          <w:b w:val="0"/>
          <w:sz w:val="32"/>
        </w:rPr>
        <w:t>占本年支出合计的98.88%。</w:t>
      </w:r>
      <w:r>
        <w:rPr>
          <w:rFonts w:ascii="仿宋_GB2312" w:hAnsi="仿宋_GB2312" w:eastAsia="仿宋_GB2312"/>
          <w:b/>
          <w:sz w:val="32"/>
        </w:rPr>
        <w:t>与上年相比，</w:t>
      </w:r>
      <w:r>
        <w:rPr>
          <w:rFonts w:ascii="仿宋_GB2312" w:hAnsi="仿宋_GB2312" w:eastAsia="仿宋_GB2312"/>
          <w:b w:val="0"/>
          <w:sz w:val="32"/>
        </w:rPr>
        <w:t>减少1,770.02万元，下降66.91%，主要原因是：因机构改革，减少聘用人员工资经费，其他工资福利支出减少，本年减少口岸运转保障等项目经费，导致相关经费减少。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年初预算数1,205.12万元，决算数875.55万元，预决算差异率-27.35%，主要原因是：因机构改革，本年在职人员减少，年中调减人员经费、聘用人员工资经费等，导致预决算存在差异。</w:t>
      </w:r>
    </w:p>
    <w:p w14:paraId="6FF78C69">
      <w:pPr>
        <w:spacing w:line="640" w:lineRule="exact"/>
        <w:ind w:firstLine="640"/>
        <w:jc w:val="both"/>
        <w:outlineLvl w:val="3"/>
      </w:pPr>
      <w:r>
        <w:rPr>
          <w:rFonts w:ascii="楷体_GB2312" w:hAnsi="楷体_GB2312" w:eastAsia="楷体_GB2312"/>
          <w:b/>
          <w:sz w:val="32"/>
        </w:rPr>
        <w:t>（二）一般公共预算财政拨款支出决算结构情况</w:t>
      </w:r>
    </w:p>
    <w:p w14:paraId="336BF5F2">
      <w:pPr>
        <w:spacing w:line="580" w:lineRule="exact"/>
        <w:ind w:firstLine="640"/>
        <w:jc w:val="both"/>
      </w:pPr>
      <w:r>
        <w:rPr>
          <w:rFonts w:ascii="仿宋_GB2312" w:hAnsi="仿宋_GB2312" w:eastAsia="仿宋_GB2312"/>
          <w:b w:val="0"/>
          <w:sz w:val="32"/>
        </w:rPr>
        <w:t>1.一般公共服务支出(类)634.31万元,占72.45%。</w:t>
      </w:r>
    </w:p>
    <w:p w14:paraId="42817A72">
      <w:pPr>
        <w:spacing w:line="580" w:lineRule="exact"/>
        <w:ind w:firstLine="640"/>
        <w:jc w:val="both"/>
      </w:pPr>
      <w:r>
        <w:rPr>
          <w:rFonts w:ascii="仿宋_GB2312" w:hAnsi="仿宋_GB2312" w:eastAsia="仿宋_GB2312"/>
          <w:b w:val="0"/>
          <w:sz w:val="32"/>
        </w:rPr>
        <w:t>2.社会保障和就业支出(类)175.03万元,占19.99%。</w:t>
      </w:r>
    </w:p>
    <w:p w14:paraId="3BF1E503">
      <w:pPr>
        <w:spacing w:line="580" w:lineRule="exact"/>
        <w:ind w:firstLine="640"/>
        <w:jc w:val="both"/>
      </w:pPr>
      <w:r>
        <w:rPr>
          <w:rFonts w:ascii="仿宋_GB2312" w:hAnsi="仿宋_GB2312" w:eastAsia="仿宋_GB2312"/>
          <w:b w:val="0"/>
          <w:sz w:val="32"/>
        </w:rPr>
        <w:t>3.卫生健康支出(类)25.11万元,占2.87%。</w:t>
      </w:r>
    </w:p>
    <w:p w14:paraId="49ADAEF1">
      <w:pPr>
        <w:spacing w:line="580" w:lineRule="exact"/>
        <w:ind w:firstLine="640"/>
        <w:jc w:val="both"/>
      </w:pPr>
      <w:r>
        <w:rPr>
          <w:rFonts w:ascii="仿宋_GB2312" w:hAnsi="仿宋_GB2312" w:eastAsia="仿宋_GB2312"/>
          <w:b w:val="0"/>
          <w:sz w:val="32"/>
        </w:rPr>
        <w:t>4.住房保障支出(类)41.10万元,占4.69%。</w:t>
      </w:r>
    </w:p>
    <w:p w14:paraId="7E7D7D82">
      <w:pPr>
        <w:spacing w:line="640" w:lineRule="exact"/>
        <w:ind w:firstLine="640"/>
        <w:jc w:val="both"/>
        <w:outlineLvl w:val="3"/>
      </w:pPr>
      <w:r>
        <w:rPr>
          <w:rFonts w:ascii="楷体_GB2312" w:hAnsi="楷体_GB2312" w:eastAsia="楷体_GB2312"/>
          <w:b/>
          <w:sz w:val="32"/>
        </w:rPr>
        <w:t>（三）一般公共预算财政拨款支出决算具体情况</w:t>
      </w:r>
    </w:p>
    <w:p w14:paraId="43F3F56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413.95万元，比上年决算减少669.97万元，下降61.81%,主要原因是：因机构改革，减少聘用人员工资经费，其他工资福利支出减少，导致相关经费减少。</w:t>
      </w:r>
    </w:p>
    <w:p w14:paraId="3F6CCCE8">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218.80万元，比上年决算减少1,040.70万元，下降82.63%,主要原因是：因机构改革，本年减少口岸运转保障项目经费，导致相关经费减少。</w:t>
      </w:r>
    </w:p>
    <w:p w14:paraId="7A731F0D">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1.56万元，比上年决算增加1.56万元，增长100.00%,主要原因是：本年科目调整，专项项目经费上年在其他支出科目列支，本年调整至其他政府办公厅（室）及相关机构事务支出科目列支，导致相关经费增加。</w:t>
      </w:r>
    </w:p>
    <w:p w14:paraId="67D765A7">
      <w:pPr>
        <w:spacing w:line="580" w:lineRule="exact"/>
        <w:ind w:firstLine="640"/>
        <w:jc w:val="both"/>
      </w:pPr>
      <w:r>
        <w:rPr>
          <w:rFonts w:ascii="仿宋_GB2312" w:hAnsi="仿宋_GB2312" w:eastAsia="仿宋_GB2312"/>
          <w:b w:val="0"/>
          <w:sz w:val="32"/>
        </w:rPr>
        <w:t>4.一般公共服务支出(类)商贸事务(款)其他商贸事务支出(项):支出决算数为0.00万元，比上年决算减少36.02万元，下降100.00%,主要原因是：因机构改革职能转变，本年减少2023年免除查验没有问题外贸企业吊装移位仓储费用项目经费，导致相关经费减少。</w:t>
      </w:r>
    </w:p>
    <w:p w14:paraId="5EADC45A">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5.社会保障和就业支出(类)行政事业单位养老支出(款)行政单位离退休(项):支出决算数为78.34万元，比上年决算增加16.49万元，增长26.66%,主要原因是：本年退休人员增加，退休费支出增加。</w:t>
      </w:r>
    </w:p>
    <w:p w14:paraId="4549B8A9">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48.69万元，比上年决算减少35.88万元，下降42.43%,主要原因是：因机构改革，本年在职人员减少，单位基本养老保险缴费较上年减少。</w:t>
      </w:r>
    </w:p>
    <w:p w14:paraId="3C644035">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48.00万元，比上年决算增加39.18万元，增长444.22%,主要原因是：本年新增退休人员较上年增加，职业年金缴费支出增加。</w:t>
      </w:r>
    </w:p>
    <w:p w14:paraId="1D8BA775">
      <w:pPr>
        <w:spacing w:line="580" w:lineRule="exact"/>
        <w:ind w:firstLine="640"/>
        <w:jc w:val="both"/>
      </w:pPr>
      <w:r>
        <w:rPr>
          <w:rFonts w:ascii="仿宋_GB2312" w:hAnsi="仿宋_GB2312" w:eastAsia="仿宋_GB2312"/>
          <w:b w:val="0"/>
          <w:sz w:val="32"/>
        </w:rPr>
        <w:t>8.卫生健康支出(类)行政事业单位医疗(款)行政单位医疗(项):支出决算数为21.48万元，比上年决算减少14.44万元，下降40.20%,主要原因是：因机构改革，本年在职人员减少，行政单位医疗支出较上年减少。</w:t>
      </w:r>
    </w:p>
    <w:p w14:paraId="2604175F">
      <w:pPr>
        <w:spacing w:line="580" w:lineRule="exact"/>
        <w:ind w:firstLine="640"/>
        <w:jc w:val="both"/>
      </w:pPr>
      <w:r>
        <w:rPr>
          <w:rFonts w:ascii="仿宋_GB2312" w:hAnsi="仿宋_GB2312" w:eastAsia="仿宋_GB2312"/>
          <w:b w:val="0"/>
          <w:sz w:val="32"/>
        </w:rPr>
        <w:t>9.卫生健康支出(类)行政事业单位医疗(款)公务员医疗补助(项):支出决算数为3.63万元，比上年决算减少2.24万元，下降38.16%,主要原因是：因机构改革，本年在职人员减少，公务员医疗补助较上年减少。</w:t>
      </w:r>
    </w:p>
    <w:p w14:paraId="1D5D4FD6">
      <w:pPr>
        <w:spacing w:line="580" w:lineRule="exact"/>
        <w:ind w:firstLine="640"/>
        <w:jc w:val="both"/>
      </w:pPr>
      <w:r>
        <w:rPr>
          <w:rFonts w:ascii="仿宋_GB2312" w:hAnsi="仿宋_GB2312" w:eastAsia="仿宋_GB2312"/>
          <w:b w:val="0"/>
          <w:sz w:val="32"/>
        </w:rPr>
        <w:t>10.住房保障支出(类)住房改革支出(款)住房公积金(项):支出决算数为41.10万元，比上年决算减少27.29万元，下降39.90%,主要原因是：因机构改革，本年在职人员减少，住房公积金缴费较上年减少。</w:t>
      </w:r>
    </w:p>
    <w:p w14:paraId="306F556A">
      <w:pPr>
        <w:spacing w:line="580" w:lineRule="exact"/>
        <w:ind w:firstLine="640"/>
        <w:jc w:val="both"/>
      </w:pPr>
      <w:r>
        <w:rPr>
          <w:rFonts w:ascii="仿宋_GB2312" w:hAnsi="仿宋_GB2312" w:eastAsia="仿宋_GB2312"/>
          <w:b w:val="0"/>
          <w:sz w:val="32"/>
        </w:rPr>
        <w:t>11.其他支出(类)其他支出(款)其他支出(项):支出决算数为0.00万元，比上年决算减少0.71万元，下降100.00%,主要原因是：本年科目调整，专项项目经费上年在其他支出科目列支，本年调整至其他政府办公厅（室）及相关机构事务支出科目列支，导致相关经费</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0B33ABA1">
      <w:pPr>
        <w:spacing w:line="640" w:lineRule="exact"/>
        <w:ind w:firstLine="640"/>
        <w:jc w:val="both"/>
        <w:outlineLvl w:val="2"/>
      </w:pPr>
      <w:r>
        <w:rPr>
          <w:rFonts w:ascii="黑体" w:hAnsi="黑体" w:eastAsia="黑体"/>
          <w:sz w:val="32"/>
        </w:rPr>
        <w:t>六、一般公共预算财政拨款基本支出决算情况说明</w:t>
      </w:r>
    </w:p>
    <w:p w14:paraId="06C551B8">
      <w:pPr>
        <w:spacing w:line="580" w:lineRule="exact"/>
        <w:ind w:firstLine="640"/>
        <w:jc w:val="both"/>
      </w:pPr>
      <w:r>
        <w:rPr>
          <w:rFonts w:ascii="仿宋_GB2312" w:hAnsi="仿宋_GB2312" w:eastAsia="仿宋_GB2312"/>
          <w:b w:val="0"/>
          <w:sz w:val="32"/>
        </w:rPr>
        <w:t>2024年度一般公共预算财政拨款基本支出655.19万元，其中：</w:t>
      </w:r>
      <w:r>
        <w:rPr>
          <w:rFonts w:ascii="仿宋_GB2312" w:hAnsi="仿宋_GB2312" w:eastAsia="仿宋_GB2312"/>
          <w:b/>
          <w:sz w:val="32"/>
        </w:rPr>
        <w:t>人员经费622.01万元，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医疗费、离休费、退休费、生活补助、其他对个人和家庭的补助。</w:t>
      </w:r>
    </w:p>
    <w:p w14:paraId="381FC91E">
      <w:pPr>
        <w:spacing w:line="580" w:lineRule="exact"/>
        <w:ind w:firstLine="640"/>
        <w:jc w:val="both"/>
      </w:pPr>
      <w:r>
        <w:rPr>
          <w:rFonts w:ascii="仿宋_GB2312" w:hAnsi="仿宋_GB2312" w:eastAsia="仿宋_GB2312"/>
          <w:b/>
          <w:sz w:val="32"/>
        </w:rPr>
        <w:t>公用经费33.17万元，</w:t>
      </w:r>
      <w:r>
        <w:rPr>
          <w:rFonts w:ascii="仿宋_GB2312" w:hAnsi="仿宋_GB2312" w:eastAsia="仿宋_GB2312"/>
          <w:b w:val="0"/>
          <w:sz w:val="32"/>
        </w:rPr>
        <w:t>包括：办公费、手续费、邮电费、取暖费、差旅费、专用材料费、工会经费、公务用车运行维护费、其他交通费用、其他商品和服务支出。</w:t>
      </w:r>
    </w:p>
    <w:p w14:paraId="68EAC686">
      <w:pPr>
        <w:spacing w:line="640" w:lineRule="exact"/>
        <w:ind w:firstLine="640"/>
        <w:jc w:val="both"/>
        <w:outlineLvl w:val="2"/>
      </w:pPr>
      <w:r>
        <w:rPr>
          <w:rFonts w:ascii="黑体" w:hAnsi="黑体" w:eastAsia="黑体"/>
          <w:sz w:val="32"/>
        </w:rPr>
        <w:t>七、政府性基金预算财政拨款收入支出决算情况说明</w:t>
      </w:r>
    </w:p>
    <w:p w14:paraId="58146DF8">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85D2E8B">
      <w:pPr>
        <w:spacing w:line="640" w:lineRule="exact"/>
        <w:ind w:firstLine="640"/>
        <w:jc w:val="both"/>
        <w:outlineLvl w:val="2"/>
      </w:pPr>
      <w:r>
        <w:rPr>
          <w:rFonts w:ascii="黑体" w:hAnsi="黑体" w:eastAsia="黑体"/>
          <w:sz w:val="32"/>
        </w:rPr>
        <w:t>八、国有资本经营预算财政拨款收入支出决算情况说明</w:t>
      </w:r>
    </w:p>
    <w:p w14:paraId="2239546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2B30CA2">
      <w:pPr>
        <w:spacing w:line="640" w:lineRule="exact"/>
        <w:ind w:firstLine="640"/>
        <w:jc w:val="both"/>
        <w:outlineLvl w:val="2"/>
      </w:pPr>
      <w:r>
        <w:rPr>
          <w:rFonts w:ascii="黑体" w:hAnsi="黑体" w:eastAsia="黑体"/>
          <w:sz w:val="32"/>
        </w:rPr>
        <w:t>九、财政拨款“三公”经费支出决算情况说明</w:t>
      </w:r>
    </w:p>
    <w:p w14:paraId="7989EA38">
      <w:pPr>
        <w:spacing w:line="580" w:lineRule="exact"/>
        <w:ind w:firstLine="640"/>
        <w:jc w:val="both"/>
      </w:pPr>
      <w:r>
        <w:rPr>
          <w:rFonts w:ascii="仿宋_GB2312" w:hAnsi="仿宋_GB2312" w:eastAsia="仿宋_GB2312"/>
          <w:b/>
          <w:sz w:val="32"/>
        </w:rPr>
        <w:t>2024年度财政拨款“三公”经费支出91.03万元，</w:t>
      </w:r>
      <w:r>
        <w:rPr>
          <w:rFonts w:ascii="仿宋_GB2312" w:hAnsi="仿宋_GB2312" w:eastAsia="仿宋_GB2312"/>
          <w:b w:val="0"/>
          <w:sz w:val="32"/>
        </w:rPr>
        <w:t>比上年增加69.59万元，增长324.58%，主要原因是：本年因业务需求，因公出访团组数量增加，因公出国境项目资金支出增加。其中：因公出国（境）费支出87.43万元，占96.05%，比上年增加71.39万元，增长445.07%，主要原因是：本年因业务需求，因公出访团组数量增加，因公出国境项目资金支出增加。公务用车购置及运行维护费支出3.60万元，占3.95%，比上年减少1.80万元，下降33.33%，主要原因是：因机构改革本年公务用车数量减少，公务用车购置及运行费支出减少。公务接待费支出0.00万元，占0.00%，比上年增加0.00万元，增长0.00%，主要原因是：2023年与2024年均未安排公务接待费支出。</w:t>
      </w:r>
    </w:p>
    <w:p w14:paraId="53B69E39">
      <w:pPr>
        <w:spacing w:line="580" w:lineRule="exact"/>
        <w:ind w:firstLine="640"/>
        <w:jc w:val="both"/>
      </w:pPr>
      <w:r>
        <w:rPr>
          <w:rFonts w:ascii="仿宋_GB2312" w:hAnsi="仿宋_GB2312" w:eastAsia="仿宋_GB2312"/>
          <w:b/>
          <w:sz w:val="32"/>
        </w:rPr>
        <w:t>具体情况如下：</w:t>
      </w:r>
    </w:p>
    <w:p w14:paraId="4485245D">
      <w:pPr>
        <w:spacing w:line="580" w:lineRule="exact"/>
        <w:ind w:firstLine="640"/>
        <w:jc w:val="both"/>
      </w:pPr>
      <w:r>
        <w:rPr>
          <w:rFonts w:ascii="仿宋_GB2312" w:hAnsi="仿宋_GB2312" w:eastAsia="仿宋_GB2312"/>
          <w:b w:val="0"/>
          <w:sz w:val="32"/>
        </w:rPr>
        <w:t>因公出国（境）费支出87.43万元，开支内容包括本年赴周边国家因公出访，产生的交通、食宿等费用。部门全年安排的因公出国（境）团组7个，因公出国（境）34人次。</w:t>
      </w:r>
    </w:p>
    <w:p w14:paraId="14F0C6B7">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燃油费、保险费、维修维护费、过路费等。公务用车购置数0辆，公务用车保有量4辆。国有资产占用情况中固定资产车辆4辆，与公务用车保有量差异原因是：本部门固定资产车辆与公务用车保有量一致无差异。</w:t>
      </w:r>
    </w:p>
    <w:p w14:paraId="6B75046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C16D6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91.03万元，决算数91.03万元，预决算差异率0.00%，主要原因是：严格按照预算执行，预决算无差异。其中：因公出国（境）费全年预算数87.43万元，决算数87.43万元，预决算差异率0.00%，主要原因是：严格按照预算执行，预决算无差异。公务用车购置费全年预算数0.00万元，决算数0.00万元，预决算差异率0.00%，主要原因是：本部门无公务用车购置费。公务用车运行维护费全年预算数3.60万元，决算数3.60万元，预决算差异率0.00%，主要原因是：严格按照预算执行，预决算无差异。公务接待费全年预算数0.00万元，决算数0.00万元，预决算差异率0.00%，主要原因是：本部门无公务接待费。</w:t>
      </w:r>
    </w:p>
    <w:p w14:paraId="10977481">
      <w:pPr>
        <w:spacing w:line="640" w:lineRule="exact"/>
        <w:ind w:firstLine="640"/>
        <w:jc w:val="both"/>
        <w:outlineLvl w:val="2"/>
      </w:pPr>
      <w:r>
        <w:rPr>
          <w:rFonts w:ascii="黑体" w:hAnsi="黑体" w:eastAsia="黑体"/>
          <w:sz w:val="32"/>
        </w:rPr>
        <w:t>十、其他重要事项的情况说明</w:t>
      </w:r>
    </w:p>
    <w:p w14:paraId="4F35D4A6">
      <w:pPr>
        <w:spacing w:line="640" w:lineRule="exact"/>
        <w:ind w:firstLine="640"/>
        <w:jc w:val="both"/>
        <w:outlineLvl w:val="3"/>
      </w:pPr>
      <w:r>
        <w:rPr>
          <w:rFonts w:ascii="楷体_GB2312" w:hAnsi="楷体_GB2312" w:eastAsia="楷体_GB2312"/>
          <w:b/>
          <w:sz w:val="32"/>
        </w:rPr>
        <w:t>（一）机关运行经费及公用经费支出情况</w:t>
      </w:r>
    </w:p>
    <w:p w14:paraId="3699D760">
      <w:pPr>
        <w:spacing w:line="580" w:lineRule="exact"/>
        <w:ind w:firstLine="640"/>
        <w:jc w:val="both"/>
      </w:pPr>
      <w:r>
        <w:rPr>
          <w:rFonts w:ascii="仿宋_GB2312" w:hAnsi="仿宋_GB2312" w:eastAsia="仿宋_GB2312"/>
          <w:b w:val="0"/>
          <w:sz w:val="32"/>
        </w:rPr>
        <w:t>2024年度新疆维吾尔自治区喀什地区行政公署外事办公室（行政单位和参照公务员法管理事业单位）机关运行经费支出33.17万元，比上年减少15.61万元，下降32.00%，主要原因是：一是因机构改革，人员减少导致机关公用经费拨付减少；二是严控经费支出，厉行节约，减少经费支出。</w:t>
      </w:r>
    </w:p>
    <w:p w14:paraId="58F8EA74">
      <w:pPr>
        <w:spacing w:line="640" w:lineRule="exact"/>
        <w:ind w:firstLine="640"/>
        <w:jc w:val="both"/>
        <w:outlineLvl w:val="3"/>
      </w:pPr>
      <w:r>
        <w:rPr>
          <w:rFonts w:ascii="楷体_GB2312" w:hAnsi="楷体_GB2312" w:eastAsia="楷体_GB2312"/>
          <w:b/>
          <w:sz w:val="32"/>
        </w:rPr>
        <w:t>（二）政府采购情况</w:t>
      </w:r>
    </w:p>
    <w:p w14:paraId="007D2D95">
      <w:pPr>
        <w:spacing w:line="580" w:lineRule="exact"/>
        <w:ind w:firstLine="640"/>
        <w:jc w:val="both"/>
      </w:pPr>
      <w:r>
        <w:rPr>
          <w:rFonts w:ascii="仿宋_GB2312" w:hAnsi="仿宋_GB2312" w:eastAsia="仿宋_GB2312"/>
          <w:b w:val="0"/>
          <w:sz w:val="32"/>
        </w:rPr>
        <w:t>2024年度政府采购支出总额79.73万元，其中：政府采购货物支出32.12万元、政府采购工程支出0.00万元、政府采购服务支出47.61万元。</w:t>
      </w:r>
    </w:p>
    <w:p w14:paraId="2731F6B6">
      <w:pPr>
        <w:spacing w:line="580" w:lineRule="exact"/>
        <w:ind w:firstLine="640"/>
        <w:jc w:val="both"/>
      </w:pPr>
      <w:r>
        <w:rPr>
          <w:rFonts w:ascii="仿宋_GB2312" w:hAnsi="仿宋_GB2312" w:eastAsia="仿宋_GB2312"/>
          <w:b w:val="0"/>
          <w:sz w:val="32"/>
        </w:rPr>
        <w:t>授予中小企业合同金额65.46万元，占政府采购支出总额的82.10%，其中：授予小微企业合同金额64.15万元，占政府采购支出总额的80.46%。</w:t>
      </w:r>
    </w:p>
    <w:p w14:paraId="59E20716">
      <w:pPr>
        <w:spacing w:line="640" w:lineRule="exact"/>
        <w:ind w:firstLine="640"/>
        <w:jc w:val="both"/>
        <w:outlineLvl w:val="3"/>
      </w:pPr>
      <w:r>
        <w:rPr>
          <w:rFonts w:ascii="楷体_GB2312" w:hAnsi="楷体_GB2312" w:eastAsia="楷体_GB2312"/>
          <w:b/>
          <w:sz w:val="32"/>
        </w:rPr>
        <w:t>（三）国有资产占用情况说明</w:t>
      </w:r>
    </w:p>
    <w:p w14:paraId="7307A173">
      <w:pPr>
        <w:spacing w:line="580" w:lineRule="exact"/>
        <w:ind w:firstLine="640"/>
        <w:jc w:val="both"/>
      </w:pPr>
      <w:r>
        <w:rPr>
          <w:rFonts w:ascii="仿宋_GB2312" w:hAnsi="仿宋_GB2312" w:eastAsia="仿宋_GB2312"/>
          <w:b w:val="0"/>
          <w:sz w:val="32"/>
        </w:rPr>
        <w:t>截至2024年12月31日，房屋22,867.46平方米，价值8,164.25万元。车辆4辆，价值144.02万元，其中：副部（省）级及以上领导用车0辆、主要负责人用车0辆、机要通信用车0辆、应急保障用车2辆、执法执勤用车0辆、特种专业技术用车0辆、离退休干部服务用车0辆、其他用车2辆，其他用车主要是：口岸清雪车、水车。单价100万元（含）以上设备（不含车辆）3台（套）。</w:t>
      </w:r>
    </w:p>
    <w:p w14:paraId="79A36FE2">
      <w:pPr>
        <w:spacing w:line="640" w:lineRule="exact"/>
        <w:ind w:firstLine="640"/>
        <w:jc w:val="both"/>
        <w:outlineLvl w:val="2"/>
      </w:pPr>
      <w:r>
        <w:rPr>
          <w:rFonts w:ascii="黑体" w:hAnsi="黑体" w:eastAsia="黑体"/>
          <w:sz w:val="32"/>
        </w:rPr>
        <w:t>十一、预算绩效的情况说明</w:t>
      </w:r>
    </w:p>
    <w:p w14:paraId="2ED8408E">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根据预算绩效管理要求，本部门2024年度预算绩效管理形成整体支出绩效自评表1个，全年预算总额997.80万元，实际执行总额885.43万元；预算绩效评价项目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339.55</w:t>
      </w:r>
      <w:r>
        <w:rPr>
          <w:rFonts w:ascii="仿宋_GB2312" w:hAnsi="仿宋_GB2312" w:eastAsia="仿宋_GB2312"/>
          <w:b w:val="0"/>
          <w:sz w:val="32"/>
        </w:rPr>
        <w:t>万元，全年执行数</w:t>
      </w:r>
      <w:r>
        <w:rPr>
          <w:rFonts w:hint="eastAsia" w:ascii="仿宋_GB2312" w:hAnsi="仿宋_GB2312" w:eastAsia="仿宋_GB2312"/>
          <w:b w:val="0"/>
          <w:sz w:val="32"/>
        </w:rPr>
        <w:t>229.19</w:t>
      </w:r>
      <w:r>
        <w:rPr>
          <w:rFonts w:ascii="仿宋_GB2312" w:hAnsi="仿宋_GB2312" w:eastAsia="仿宋_GB2312"/>
          <w:b w:val="0"/>
          <w:sz w:val="32"/>
        </w:rPr>
        <w:t>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由于</w:t>
      </w:r>
      <w:r>
        <w:rPr>
          <w:rFonts w:hint="eastAsia" w:ascii="仿宋_GB2312" w:hAnsi="仿宋_GB2312" w:eastAsia="仿宋_GB2312"/>
          <w:b w:val="0"/>
          <w:sz w:val="32"/>
          <w:lang w:eastAsia="zh-CN"/>
        </w:rPr>
        <w:t>本部门</w:t>
      </w:r>
      <w:r>
        <w:rPr>
          <w:rFonts w:ascii="仿宋_GB2312" w:hAnsi="仿宋_GB2312" w:eastAsia="仿宋_GB2312"/>
          <w:b w:val="0"/>
          <w:sz w:val="32"/>
        </w:rPr>
        <w:t>人员较少，未能按照要求设置专门的绩效岗，缺乏预算绩效管理专业人才。下一步改进措施：一是科学分析，严格按照预算绩效管理原则处理，确保指标值准确，与各行业部门对接，加强协调联动；二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和部门评价报告。</w:t>
      </w:r>
    </w:p>
    <w:p w14:paraId="11CDDC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22EBCB">
        <w:tblPrEx>
          <w:tblCellMar>
            <w:top w:w="0" w:type="dxa"/>
            <w:left w:w="108" w:type="dxa"/>
            <w:bottom w:w="0" w:type="dxa"/>
            <w:right w:w="108" w:type="dxa"/>
          </w:tblCellMar>
        </w:tblPrEx>
        <w:tc>
          <w:tcPr>
            <w:tcW w:w="8847" w:type="dxa"/>
            <w:gridSpan w:val="9"/>
            <w:vAlign w:val="center"/>
          </w:tcPr>
          <w:p w14:paraId="40E6DAD1">
            <w:pPr>
              <w:jc w:val="center"/>
            </w:pPr>
            <w:r>
              <w:rPr>
                <w:rFonts w:ascii="宋体" w:hAnsi="宋体" w:eastAsia="宋体"/>
                <w:sz w:val="24"/>
              </w:rPr>
              <w:t>部门整体支出绩效自评表</w:t>
            </w:r>
          </w:p>
        </w:tc>
      </w:tr>
      <w:tr w14:paraId="7270EF96">
        <w:tblPrEx>
          <w:tblCellMar>
            <w:top w:w="0" w:type="dxa"/>
            <w:left w:w="108" w:type="dxa"/>
            <w:bottom w:w="0" w:type="dxa"/>
            <w:right w:w="108" w:type="dxa"/>
          </w:tblCellMar>
        </w:tblPrEx>
        <w:tc>
          <w:tcPr>
            <w:tcW w:w="8847" w:type="dxa"/>
            <w:gridSpan w:val="9"/>
            <w:vAlign w:val="center"/>
          </w:tcPr>
          <w:p w14:paraId="6B4B664C">
            <w:pPr>
              <w:jc w:val="center"/>
            </w:pPr>
            <w:r>
              <w:rPr>
                <w:rFonts w:ascii="宋体" w:hAnsi="宋体" w:eastAsia="宋体"/>
                <w:sz w:val="24"/>
              </w:rPr>
              <w:t>（2024年度）</w:t>
            </w:r>
          </w:p>
        </w:tc>
      </w:tr>
      <w:tr w14:paraId="4A65063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E6827">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054533">
            <w:pPr>
              <w:jc w:val="center"/>
            </w:pPr>
            <w:r>
              <w:rPr>
                <w:rFonts w:ascii="宋体" w:hAnsi="宋体" w:eastAsia="宋体"/>
                <w:sz w:val="16"/>
              </w:rPr>
              <w:t>新疆维吾尔自治区喀什地区行政公署外事办公室</w:t>
            </w:r>
          </w:p>
        </w:tc>
      </w:tr>
      <w:tr w14:paraId="1D14F1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3DD7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ECC8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3D8D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BD64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3B3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2FC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29E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39226">
            <w:pPr>
              <w:jc w:val="center"/>
            </w:pPr>
            <w:r>
              <w:rPr>
                <w:rFonts w:ascii="宋体" w:hAnsi="宋体" w:eastAsia="宋体"/>
                <w:sz w:val="16"/>
              </w:rPr>
              <w:t>得分</w:t>
            </w:r>
          </w:p>
        </w:tc>
      </w:tr>
      <w:tr w14:paraId="070EE6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0DF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3002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05DA">
            <w:pPr>
              <w:jc w:val="center"/>
            </w:pPr>
            <w:r>
              <w:rPr>
                <w:rFonts w:ascii="宋体" w:hAnsi="宋体" w:eastAsia="宋体"/>
                <w:sz w:val="16"/>
              </w:rPr>
              <w:t>1,215.17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C72E">
            <w:pPr>
              <w:jc w:val="center"/>
            </w:pPr>
            <w:r>
              <w:rPr>
                <w:rFonts w:ascii="宋体" w:hAnsi="宋体" w:eastAsia="宋体"/>
                <w:sz w:val="16"/>
              </w:rPr>
              <w:t>997.80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06F03">
            <w:pPr>
              <w:jc w:val="center"/>
            </w:pPr>
            <w:r>
              <w:rPr>
                <w:rFonts w:ascii="宋体" w:hAnsi="宋体" w:eastAsia="宋体"/>
                <w:sz w:val="16"/>
              </w:rPr>
              <w:t>885.43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614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7E96F">
            <w:pPr>
              <w:jc w:val="center"/>
            </w:pPr>
            <w:r>
              <w:rPr>
                <w:rFonts w:ascii="宋体" w:hAnsi="宋体" w:eastAsia="宋体"/>
                <w:sz w:val="16"/>
              </w:rPr>
              <w:t>88.74%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78F6F">
            <w:pPr>
              <w:jc w:val="center"/>
            </w:pPr>
            <w:r>
              <w:rPr>
                <w:rFonts w:ascii="宋体" w:hAnsi="宋体" w:eastAsia="宋体"/>
                <w:sz w:val="16"/>
              </w:rPr>
              <w:t>8.87</w:t>
            </w:r>
          </w:p>
        </w:tc>
      </w:tr>
      <w:tr w14:paraId="5A8487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2D6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8790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7BF4D">
            <w:pPr>
              <w:jc w:val="center"/>
            </w:pPr>
            <w:r>
              <w:rPr>
                <w:rFonts w:ascii="宋体" w:hAnsi="宋体" w:eastAsia="宋体"/>
                <w:sz w:val="16"/>
              </w:rPr>
              <w:t>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6775F">
            <w:pPr>
              <w:jc w:val="center"/>
            </w:pPr>
            <w:r>
              <w:rPr>
                <w:rFonts w:ascii="宋体" w:hAnsi="宋体" w:eastAsia="宋体"/>
                <w:sz w:val="16"/>
              </w:rPr>
              <w:t>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C58C6">
            <w:pPr>
              <w:jc w:val="center"/>
            </w:pPr>
            <w:r>
              <w:rPr>
                <w:rFonts w:ascii="宋体" w:hAnsi="宋体" w:eastAsia="宋体"/>
                <w:sz w:val="16"/>
              </w:rPr>
              <w:t>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ADE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E34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2FB1">
            <w:pPr>
              <w:jc w:val="center"/>
            </w:pPr>
            <w:r>
              <w:rPr>
                <w:rFonts w:ascii="宋体" w:hAnsi="宋体" w:eastAsia="宋体"/>
                <w:sz w:val="16"/>
              </w:rPr>
              <w:t>—</w:t>
            </w:r>
          </w:p>
        </w:tc>
      </w:tr>
      <w:tr w14:paraId="1CC5F0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A82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59F1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DE5E1">
            <w:pPr>
              <w:jc w:val="center"/>
            </w:pPr>
            <w:r>
              <w:rPr>
                <w:rFonts w:ascii="宋体" w:hAnsi="宋体" w:eastAsia="宋体"/>
                <w:sz w:val="16"/>
              </w:rPr>
              <w:t>1,200.47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36BA">
            <w:pPr>
              <w:jc w:val="center"/>
            </w:pPr>
            <w:r>
              <w:rPr>
                <w:rFonts w:ascii="宋体" w:hAnsi="宋体" w:eastAsia="宋体"/>
                <w:sz w:val="16"/>
              </w:rPr>
              <w:t>983.10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F01EC">
            <w:pPr>
              <w:jc w:val="center"/>
            </w:pPr>
            <w:r>
              <w:rPr>
                <w:rFonts w:ascii="宋体" w:hAnsi="宋体" w:eastAsia="宋体"/>
                <w:sz w:val="16"/>
              </w:rPr>
              <w:t>870.84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4F6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F38C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1A02">
            <w:pPr>
              <w:jc w:val="center"/>
            </w:pPr>
            <w:r>
              <w:rPr>
                <w:rFonts w:ascii="宋体" w:hAnsi="宋体" w:eastAsia="宋体"/>
                <w:sz w:val="16"/>
              </w:rPr>
              <w:t>—</w:t>
            </w:r>
          </w:p>
        </w:tc>
      </w:tr>
      <w:tr w14:paraId="2B6D9D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779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6ACC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9DA59">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296A6">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9F9DE">
            <w:pPr>
              <w:jc w:val="center"/>
            </w:pPr>
            <w:r>
              <w:rPr>
                <w:rFonts w:ascii="宋体" w:hAnsi="宋体" w:eastAsia="宋体"/>
                <w:sz w:val="16"/>
              </w:rPr>
              <w:t>9.89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77B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4EBE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E4B9">
            <w:pPr>
              <w:jc w:val="center"/>
            </w:pPr>
            <w:r>
              <w:rPr>
                <w:rFonts w:ascii="宋体" w:hAnsi="宋体" w:eastAsia="宋体"/>
                <w:sz w:val="16"/>
              </w:rPr>
              <w:t>—</w:t>
            </w:r>
          </w:p>
        </w:tc>
      </w:tr>
      <w:tr w14:paraId="53DBE3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7261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AE95C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72F2E">
            <w:pPr>
              <w:jc w:val="center"/>
            </w:pPr>
            <w:r>
              <w:rPr>
                <w:rFonts w:ascii="宋体" w:hAnsi="宋体" w:eastAsia="宋体"/>
                <w:sz w:val="16"/>
              </w:rPr>
              <w:t>实际完成情况</w:t>
            </w:r>
          </w:p>
        </w:tc>
      </w:tr>
      <w:tr w14:paraId="469064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26C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082BC9">
            <w:pPr>
              <w:jc w:val="both"/>
            </w:pPr>
            <w:r>
              <w:rPr>
                <w:rFonts w:ascii="宋体" w:hAnsi="宋体" w:eastAsia="宋体"/>
                <w:sz w:val="16"/>
              </w:rPr>
              <w:t>2024年行署外事办坚持以习近平新时代中国特色社会主义思想为指导，深入学习贯彻党的二十大精神，深入贯彻落实习近平总书记关于新疆工作的重要讲话重要指示批示精神，完整准确全面贯彻新时代党的治疆方略，贯彻落实自治区党委十届历次全会和地委扩大会议精神，围绕地区工作大局，重点做好</w:t>
            </w:r>
            <w:r>
              <w:rPr>
                <w:rFonts w:hint="eastAsia" w:ascii="宋体" w:hAnsi="宋体"/>
                <w:sz w:val="16"/>
                <w:lang w:eastAsia="zh-CN"/>
              </w:rPr>
              <w:t>6个方面</w:t>
            </w:r>
            <w:r>
              <w:rPr>
                <w:rFonts w:ascii="宋体" w:hAnsi="宋体" w:eastAsia="宋体"/>
                <w:sz w:val="16"/>
              </w:rPr>
              <w:t>21项外事职能工作。进一步加大“走出去</w:t>
            </w:r>
            <w:r>
              <w:rPr>
                <w:rFonts w:hint="eastAsia" w:ascii="宋体" w:hAnsi="宋体"/>
                <w:sz w:val="16"/>
                <w:lang w:eastAsia="zh-CN"/>
              </w:rPr>
              <w:t>”“</w:t>
            </w:r>
            <w:r>
              <w:rPr>
                <w:rFonts w:ascii="宋体" w:hAnsi="宋体" w:eastAsia="宋体"/>
                <w:sz w:val="16"/>
              </w:rPr>
              <w:t>请进来”力度，邀请10个周边国家团组及国际组织团组来喀参访，组织10个代表团赴周边国家交流交往；进一步做好</w:t>
            </w:r>
            <w:r>
              <w:rPr>
                <w:rFonts w:hint="eastAsia" w:ascii="宋体" w:hAnsi="宋体"/>
                <w:sz w:val="16"/>
                <w:lang w:val="en-US" w:eastAsia="zh-CN"/>
              </w:rPr>
              <w:t>边境</w:t>
            </w:r>
            <w:r>
              <w:rPr>
                <w:rFonts w:ascii="宋体" w:hAnsi="宋体" w:eastAsia="宋体"/>
                <w:sz w:val="16"/>
              </w:rPr>
              <w:t>线勘界踏查工作、涉外安全工作、服务自贸区建设等工作。提升外事工作对我区商贸、教育、医疗等方面的业务保障能力，持续提高我区对外影响力。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B30499">
            <w:pPr>
              <w:jc w:val="both"/>
            </w:pPr>
            <w:r>
              <w:rPr>
                <w:rFonts w:ascii="宋体" w:hAnsi="宋体" w:eastAsia="宋体"/>
                <w:sz w:val="16"/>
              </w:rPr>
              <w:t>2024年，在地委、行署的坚强领导下，在自治区外办业务指导和分管领导的具体领导下，外事办坚持以习近平新时代中国特色社会主义思想为指导，深入学习贯彻党的二十大、</w:t>
            </w:r>
            <w:r>
              <w:rPr>
                <w:rFonts w:hint="eastAsia" w:ascii="宋体" w:hAnsi="宋体"/>
                <w:sz w:val="16"/>
                <w:lang w:eastAsia="zh-CN"/>
              </w:rPr>
              <w:t>党的二十届三中全会</w:t>
            </w:r>
            <w:r>
              <w:rPr>
                <w:rFonts w:ascii="宋体" w:hAnsi="宋体" w:eastAsia="宋体"/>
                <w:sz w:val="16"/>
              </w:rPr>
              <w:t>和习近平外交思想、习近平总书记视察新疆重要讲话重要指示批示精神，完整准确全面贯彻新时代党的治疆方略，贯彻落实自治区党委十届历次全会和地委扩大会议精神，抢抓“</w:t>
            </w:r>
            <w:bookmarkStart w:id="0" w:name="_GoBack"/>
            <w:bookmarkEnd w:id="0"/>
            <w:r>
              <w:rPr>
                <w:rFonts w:ascii="宋体" w:hAnsi="宋体" w:eastAsia="宋体"/>
                <w:sz w:val="16"/>
              </w:rPr>
              <w:t>一带一路”重大机遇，更好统筹开放，为服务国家总体外交，服务喀什高水平开放和高质量发展贡献了外事力量。（1）坚持不懈用习近平新时代中国特色社会主义思想凝心铸魂。（2）扎实推进</w:t>
            </w:r>
            <w:r>
              <w:rPr>
                <w:rFonts w:hint="eastAsia" w:ascii="宋体" w:hAnsi="宋体"/>
                <w:sz w:val="16"/>
                <w:lang w:eastAsia="zh-CN"/>
              </w:rPr>
              <w:t>党纪学习</w:t>
            </w:r>
            <w:r>
              <w:rPr>
                <w:rFonts w:ascii="宋体" w:hAnsi="宋体" w:eastAsia="宋体"/>
                <w:sz w:val="16"/>
              </w:rPr>
              <w:t>。（3）全力抓好地委巡察反馈问题整改。（4）持续加大“请进来、走出去”力度，不断扩大务实交流合作。（5）扎实推动国际友城工作，不断扩大国际“朋友圈”。（6）强化边界踏查维护，坚决捍卫我主权领土安全。（7）不断提升外事服务保障水平，积极构建</w:t>
            </w:r>
            <w:r>
              <w:rPr>
                <w:rFonts w:hint="eastAsia" w:ascii="宋体" w:hAnsi="宋体"/>
                <w:sz w:val="16"/>
                <w:lang w:eastAsia="zh-CN"/>
              </w:rPr>
              <w:t>市场化、法治化、国际化</w:t>
            </w:r>
            <w:r>
              <w:rPr>
                <w:rFonts w:ascii="宋体" w:hAnsi="宋体" w:eastAsia="宋体"/>
                <w:sz w:val="16"/>
              </w:rPr>
              <w:t>营商环境。（8）抓实机关基层党组织建设。（9</w:t>
            </w:r>
            <w:r>
              <w:rPr>
                <w:rFonts w:hint="eastAsia" w:ascii="宋体" w:hAnsi="宋体"/>
                <w:sz w:val="16"/>
                <w:lang w:eastAsia="zh-CN"/>
              </w:rPr>
              <w:t>）</w:t>
            </w:r>
            <w:r>
              <w:rPr>
                <w:rFonts w:ascii="宋体" w:hAnsi="宋体" w:eastAsia="宋体"/>
                <w:sz w:val="16"/>
              </w:rPr>
              <w:t>看牢外事意识形态阵地。（10）加强干部队伍建设。（11）强化党风廉政和反腐败工作。</w:t>
            </w:r>
          </w:p>
        </w:tc>
      </w:tr>
      <w:tr w14:paraId="37B641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41F1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750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FCF6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6467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59D8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A9A5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23B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38A6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F7C5A">
            <w:pPr>
              <w:jc w:val="center"/>
            </w:pPr>
            <w:r>
              <w:rPr>
                <w:rFonts w:ascii="宋体" w:hAnsi="宋体" w:eastAsia="宋体"/>
                <w:sz w:val="16"/>
              </w:rPr>
              <w:t>得分</w:t>
            </w:r>
          </w:p>
        </w:tc>
      </w:tr>
      <w:tr w14:paraId="589C7A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86D1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68F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783C2">
            <w:pPr>
              <w:jc w:val="center"/>
            </w:pPr>
            <w:r>
              <w:rPr>
                <w:rFonts w:ascii="宋体" w:hAnsi="宋体" w:eastAsia="宋体"/>
                <w:sz w:val="16"/>
              </w:rPr>
              <w:t>外事工作涉及面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D12CA">
            <w:pPr>
              <w:jc w:val="center"/>
            </w:pPr>
            <w:r>
              <w:rPr>
                <w:rFonts w:ascii="宋体" w:hAnsi="宋体" w:eastAsia="宋体"/>
                <w:sz w:val="16"/>
              </w:rPr>
              <w:t>&gt;=6个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5808B">
            <w:pPr>
              <w:jc w:val="center"/>
            </w:pPr>
            <w:r>
              <w:rPr>
                <w:rFonts w:ascii="宋体" w:hAnsi="宋体" w:eastAsia="宋体"/>
                <w:sz w:val="16"/>
              </w:rPr>
              <w:t>外事办2024年工作计划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D48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1F307">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BF360">
            <w:pPr>
              <w:jc w:val="center"/>
            </w:pPr>
            <w:r>
              <w:rPr>
                <w:rFonts w:ascii="宋体" w:hAnsi="宋体" w:eastAsia="宋体"/>
                <w:sz w:val="16"/>
              </w:rPr>
              <w:t>116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21BF">
            <w:pPr>
              <w:jc w:val="center"/>
            </w:pPr>
            <w:r>
              <w:rPr>
                <w:rFonts w:ascii="宋体" w:hAnsi="宋体" w:eastAsia="宋体"/>
                <w:sz w:val="16"/>
              </w:rPr>
              <w:t>15</w:t>
            </w:r>
          </w:p>
        </w:tc>
      </w:tr>
      <w:tr w14:paraId="352534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74B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8FD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676FB">
            <w:pPr>
              <w:jc w:val="center"/>
            </w:pPr>
            <w:r>
              <w:rPr>
                <w:rFonts w:ascii="宋体" w:hAnsi="宋体" w:eastAsia="宋体"/>
                <w:sz w:val="16"/>
              </w:rPr>
              <w:t>外事工作履职具体事项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3156C">
            <w:pPr>
              <w:jc w:val="center"/>
            </w:pPr>
            <w:r>
              <w:rPr>
                <w:rFonts w:ascii="宋体" w:hAnsi="宋体" w:eastAsia="宋体"/>
                <w:sz w:val="16"/>
              </w:rPr>
              <w:t>&gt;=21项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21280">
            <w:pPr>
              <w:jc w:val="center"/>
            </w:pPr>
            <w:r>
              <w:rPr>
                <w:rFonts w:ascii="宋体" w:hAnsi="宋体" w:eastAsia="宋体"/>
                <w:sz w:val="16"/>
              </w:rPr>
              <w:t>外事办2024年工作计划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240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16E95">
            <w:pPr>
              <w:jc w:val="center"/>
            </w:pPr>
            <w:r>
              <w:rPr>
                <w:rFonts w:ascii="宋体" w:hAnsi="宋体" w:eastAsia="宋体"/>
                <w:sz w:val="16"/>
              </w:rPr>
              <w:t>25项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F6B7F">
            <w:pPr>
              <w:jc w:val="center"/>
            </w:pPr>
            <w:r>
              <w:rPr>
                <w:rFonts w:ascii="宋体" w:hAnsi="宋体" w:eastAsia="宋体"/>
                <w:sz w:val="16"/>
              </w:rPr>
              <w:t>119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33311">
            <w:pPr>
              <w:jc w:val="center"/>
            </w:pPr>
            <w:r>
              <w:rPr>
                <w:rFonts w:ascii="宋体" w:hAnsi="宋体" w:eastAsia="宋体"/>
                <w:sz w:val="16"/>
              </w:rPr>
              <w:t>15</w:t>
            </w:r>
          </w:p>
        </w:tc>
      </w:tr>
      <w:tr w14:paraId="2BD698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956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9EB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3B044">
            <w:pPr>
              <w:jc w:val="center"/>
            </w:pPr>
            <w:r>
              <w:rPr>
                <w:rFonts w:ascii="宋体" w:hAnsi="宋体" w:eastAsia="宋体"/>
                <w:sz w:val="16"/>
              </w:rPr>
              <w:t>外事“走出去”事项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DCB5A">
            <w:pPr>
              <w:jc w:val="center"/>
            </w:pPr>
            <w:r>
              <w:rPr>
                <w:rFonts w:ascii="宋体" w:hAnsi="宋体" w:eastAsia="宋体"/>
                <w:sz w:val="16"/>
              </w:rPr>
              <w:t>&gt;=10批次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D6166">
            <w:pPr>
              <w:jc w:val="center"/>
            </w:pPr>
            <w:r>
              <w:rPr>
                <w:rFonts w:ascii="宋体" w:hAnsi="宋体" w:eastAsia="宋体"/>
                <w:sz w:val="16"/>
              </w:rPr>
              <w:t>2024年因公出国（境）计划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799F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19A6A">
            <w:pPr>
              <w:jc w:val="center"/>
            </w:pPr>
            <w:r>
              <w:rPr>
                <w:rFonts w:ascii="宋体" w:hAnsi="宋体" w:eastAsia="宋体"/>
                <w:sz w:val="16"/>
              </w:rPr>
              <w:t>7批次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D3A99">
            <w:pPr>
              <w:jc w:val="center"/>
            </w:pPr>
            <w:r>
              <w:rPr>
                <w:rFonts w:ascii="宋体" w:hAnsi="宋体" w:eastAsia="宋体"/>
                <w:sz w:val="16"/>
              </w:rPr>
              <w:t>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8733">
            <w:pPr>
              <w:jc w:val="center"/>
            </w:pPr>
            <w:r>
              <w:rPr>
                <w:rFonts w:ascii="宋体" w:hAnsi="宋体" w:eastAsia="宋体"/>
                <w:sz w:val="16"/>
              </w:rPr>
              <w:t>10.5</w:t>
            </w:r>
          </w:p>
        </w:tc>
      </w:tr>
      <w:tr w14:paraId="6FF506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3426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4F0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F8B76">
            <w:pPr>
              <w:jc w:val="center"/>
            </w:pPr>
            <w:r>
              <w:rPr>
                <w:rFonts w:ascii="宋体" w:hAnsi="宋体" w:eastAsia="宋体"/>
                <w:sz w:val="16"/>
              </w:rPr>
              <w:t>外事“请进来”工作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9EA3">
            <w:pPr>
              <w:jc w:val="center"/>
            </w:pPr>
            <w:r>
              <w:rPr>
                <w:rFonts w:ascii="宋体" w:hAnsi="宋体" w:eastAsia="宋体"/>
                <w:sz w:val="16"/>
              </w:rPr>
              <w:t>&gt;=10批次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EA11B">
            <w:pPr>
              <w:jc w:val="center"/>
            </w:pPr>
            <w:r>
              <w:rPr>
                <w:rFonts w:ascii="宋体" w:hAnsi="宋体" w:eastAsia="宋体"/>
                <w:sz w:val="16"/>
              </w:rPr>
              <w:t>2024年“喀交会”外事工作部邀请方案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7ED4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8A1E">
            <w:pPr>
              <w:jc w:val="center"/>
            </w:pPr>
            <w:r>
              <w:rPr>
                <w:rFonts w:ascii="宋体" w:hAnsi="宋体" w:eastAsia="宋体"/>
                <w:sz w:val="16"/>
              </w:rPr>
              <w:t>11批次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35AE8">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19CC2">
            <w:pPr>
              <w:jc w:val="center"/>
            </w:pPr>
            <w:r>
              <w:rPr>
                <w:rFonts w:ascii="宋体" w:hAnsi="宋体" w:eastAsia="宋体"/>
                <w:sz w:val="16"/>
              </w:rPr>
              <w:t>15</w:t>
            </w:r>
          </w:p>
        </w:tc>
      </w:tr>
      <w:tr w14:paraId="16963D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DDD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0188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019C6">
            <w:pPr>
              <w:jc w:val="center"/>
            </w:pPr>
            <w:r>
              <w:rPr>
                <w:rFonts w:ascii="宋体" w:hAnsi="宋体" w:eastAsia="宋体"/>
                <w:sz w:val="16"/>
              </w:rPr>
              <w:t>外事工作对我区商贸、教育、医疗等方面的保障率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7CF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77D77">
            <w:pPr>
              <w:jc w:val="center"/>
            </w:pPr>
            <w:r>
              <w:rPr>
                <w:rFonts w:ascii="宋体" w:hAnsi="宋体" w:eastAsia="宋体"/>
                <w:sz w:val="16"/>
              </w:rPr>
              <w:t>外事办2024年工作计划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66C3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327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FB4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D2805">
            <w:pPr>
              <w:jc w:val="center"/>
            </w:pPr>
            <w:r>
              <w:rPr>
                <w:rFonts w:ascii="宋体" w:hAnsi="宋体" w:eastAsia="宋体"/>
                <w:sz w:val="16"/>
              </w:rPr>
              <w:t>15</w:t>
            </w:r>
          </w:p>
        </w:tc>
      </w:tr>
      <w:tr w14:paraId="19625C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171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034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6161E">
            <w:pPr>
              <w:jc w:val="center"/>
            </w:pPr>
            <w:r>
              <w:rPr>
                <w:rFonts w:ascii="宋体" w:hAnsi="宋体" w:eastAsia="宋体"/>
                <w:sz w:val="16"/>
              </w:rPr>
              <w:t>外事工作持续提升我区对外影响力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E83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B3004">
            <w:pPr>
              <w:jc w:val="center"/>
            </w:pPr>
            <w:r>
              <w:rPr>
                <w:rFonts w:ascii="宋体" w:hAnsi="宋体" w:eastAsia="宋体"/>
                <w:sz w:val="16"/>
              </w:rPr>
              <w:t>外事办2024年工作计划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25A9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6B2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20D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60F98">
            <w:pPr>
              <w:jc w:val="center"/>
            </w:pPr>
            <w:r>
              <w:rPr>
                <w:rFonts w:ascii="宋体" w:hAnsi="宋体" w:eastAsia="宋体"/>
                <w:sz w:val="16"/>
              </w:rPr>
              <w:t>15</w:t>
            </w:r>
          </w:p>
        </w:tc>
      </w:tr>
    </w:tbl>
    <w:p w14:paraId="672114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D7DD9C">
        <w:tblPrEx>
          <w:tblCellMar>
            <w:top w:w="0" w:type="dxa"/>
            <w:left w:w="108" w:type="dxa"/>
            <w:bottom w:w="0" w:type="dxa"/>
            <w:right w:w="108" w:type="dxa"/>
          </w:tblCellMar>
        </w:tblPrEx>
        <w:tc>
          <w:tcPr>
            <w:tcW w:w="8848" w:type="dxa"/>
            <w:gridSpan w:val="14"/>
            <w:vAlign w:val="center"/>
          </w:tcPr>
          <w:p w14:paraId="4FEB4E5A">
            <w:pPr>
              <w:jc w:val="center"/>
            </w:pPr>
            <w:r>
              <w:rPr>
                <w:rFonts w:ascii="宋体" w:hAnsi="宋体" w:eastAsia="宋体"/>
                <w:sz w:val="24"/>
              </w:rPr>
              <w:t>项目支出绩效自评表</w:t>
            </w:r>
          </w:p>
        </w:tc>
      </w:tr>
      <w:tr w14:paraId="6B98A835">
        <w:tblPrEx>
          <w:tblCellMar>
            <w:top w:w="0" w:type="dxa"/>
            <w:left w:w="108" w:type="dxa"/>
            <w:bottom w:w="0" w:type="dxa"/>
            <w:right w:w="108" w:type="dxa"/>
          </w:tblCellMar>
        </w:tblPrEx>
        <w:tc>
          <w:tcPr>
            <w:tcW w:w="8848" w:type="dxa"/>
            <w:gridSpan w:val="14"/>
            <w:vAlign w:val="center"/>
          </w:tcPr>
          <w:p w14:paraId="4B829D97">
            <w:pPr>
              <w:jc w:val="center"/>
            </w:pPr>
            <w:r>
              <w:rPr>
                <w:rFonts w:ascii="宋体" w:hAnsi="宋体" w:eastAsia="宋体"/>
                <w:sz w:val="24"/>
              </w:rPr>
              <w:t>(2024年度)</w:t>
            </w:r>
          </w:p>
        </w:tc>
      </w:tr>
      <w:tr w14:paraId="6586D6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336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F778A9">
            <w:pPr>
              <w:jc w:val="center"/>
            </w:pPr>
            <w:r>
              <w:rPr>
                <w:rFonts w:ascii="宋体" w:hAnsi="宋体" w:eastAsia="宋体"/>
                <w:sz w:val="16"/>
              </w:rPr>
              <w:t>2024年因公出访周边国家项目</w:t>
            </w:r>
          </w:p>
        </w:tc>
      </w:tr>
      <w:tr w14:paraId="531BC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CC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9A4A4">
            <w:pPr>
              <w:jc w:val="center"/>
            </w:pPr>
            <w:r>
              <w:rPr>
                <w:rFonts w:ascii="宋体" w:hAnsi="宋体" w:eastAsia="宋体"/>
                <w:sz w:val="16"/>
              </w:rPr>
              <w:t>新疆维吾尔自治区喀什地区行政公署外事办公室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ED2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6C343">
            <w:pPr>
              <w:jc w:val="center"/>
            </w:pPr>
            <w:r>
              <w:rPr>
                <w:rFonts w:ascii="宋体" w:hAnsi="宋体" w:eastAsia="宋体"/>
                <w:sz w:val="16"/>
              </w:rPr>
              <w:t>新疆维吾尔自治区喀什地区行政公署外事办公室</w:t>
            </w:r>
          </w:p>
        </w:tc>
      </w:tr>
      <w:tr w14:paraId="42E93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A81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98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7C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9442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0C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59B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A0C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2AFF">
            <w:pPr>
              <w:jc w:val="center"/>
            </w:pPr>
            <w:r>
              <w:rPr>
                <w:rFonts w:ascii="宋体" w:hAnsi="宋体" w:eastAsia="宋体"/>
                <w:sz w:val="16"/>
              </w:rPr>
              <w:t>得分</w:t>
            </w:r>
          </w:p>
        </w:tc>
      </w:tr>
      <w:tr w14:paraId="5374D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40F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DE8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4F8D3">
            <w:pPr>
              <w:jc w:val="center"/>
            </w:pPr>
            <w:r>
              <w:rPr>
                <w:rFonts w:ascii="宋体" w:hAnsi="宋体" w:eastAsia="宋体"/>
                <w:sz w:val="16"/>
              </w:rPr>
              <w:t>206.99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4B34">
            <w:pPr>
              <w:jc w:val="center"/>
            </w:pPr>
            <w:r>
              <w:rPr>
                <w:rFonts w:ascii="宋体" w:hAnsi="宋体" w:eastAsia="宋体"/>
                <w:sz w:val="16"/>
              </w:rPr>
              <w:t>206.99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C24CE">
            <w:pPr>
              <w:jc w:val="center"/>
            </w:pPr>
            <w:r>
              <w:rPr>
                <w:rFonts w:ascii="宋体" w:hAnsi="宋体" w:eastAsia="宋体"/>
                <w:sz w:val="16"/>
              </w:rPr>
              <w:t>99.40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D3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4224">
            <w:pPr>
              <w:jc w:val="center"/>
            </w:pPr>
            <w:r>
              <w:rPr>
                <w:rFonts w:ascii="宋体" w:hAnsi="宋体" w:eastAsia="宋体"/>
                <w:sz w:val="16"/>
              </w:rPr>
              <w:t>48.0%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3ED8">
            <w:pPr>
              <w:jc w:val="center"/>
            </w:pPr>
            <w:r>
              <w:rPr>
                <w:rFonts w:ascii="宋体" w:hAnsi="宋体" w:eastAsia="宋体"/>
                <w:sz w:val="16"/>
              </w:rPr>
              <w:t>0.00分</w:t>
            </w:r>
          </w:p>
        </w:tc>
      </w:tr>
      <w:tr w14:paraId="54978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068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564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70D1">
            <w:pPr>
              <w:jc w:val="center"/>
            </w:pPr>
            <w:r>
              <w:rPr>
                <w:rFonts w:ascii="宋体" w:hAnsi="宋体" w:eastAsia="宋体"/>
                <w:sz w:val="16"/>
              </w:rPr>
              <w:t>206.99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B0594">
            <w:pPr>
              <w:jc w:val="center"/>
            </w:pPr>
            <w:r>
              <w:rPr>
                <w:rFonts w:ascii="宋体" w:hAnsi="宋体" w:eastAsia="宋体"/>
                <w:sz w:val="16"/>
              </w:rPr>
              <w:t>206.99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7647F">
            <w:pPr>
              <w:jc w:val="center"/>
            </w:pPr>
            <w:r>
              <w:rPr>
                <w:rFonts w:ascii="宋体" w:hAnsi="宋体" w:eastAsia="宋体"/>
                <w:sz w:val="16"/>
              </w:rPr>
              <w:t>99.40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B73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DE6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CD08">
            <w:pPr>
              <w:jc w:val="center"/>
            </w:pPr>
            <w:r>
              <w:rPr>
                <w:rFonts w:ascii="宋体" w:hAnsi="宋体" w:eastAsia="宋体"/>
                <w:sz w:val="16"/>
              </w:rPr>
              <w:t>—</w:t>
            </w:r>
          </w:p>
        </w:tc>
      </w:tr>
      <w:tr w14:paraId="6713DA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ED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FA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B0E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CE9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763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2EB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3E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A16B">
            <w:pPr>
              <w:jc w:val="center"/>
            </w:pPr>
            <w:r>
              <w:rPr>
                <w:rFonts w:ascii="宋体" w:hAnsi="宋体" w:eastAsia="宋体"/>
                <w:sz w:val="16"/>
              </w:rPr>
              <w:t>—</w:t>
            </w:r>
          </w:p>
        </w:tc>
      </w:tr>
      <w:tr w14:paraId="702DF8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2DE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3D2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736C5E">
            <w:pPr>
              <w:jc w:val="center"/>
            </w:pPr>
            <w:r>
              <w:rPr>
                <w:rFonts w:ascii="宋体" w:hAnsi="宋体" w:eastAsia="宋体"/>
                <w:sz w:val="16"/>
              </w:rPr>
              <w:t>实际完成情况</w:t>
            </w:r>
          </w:p>
        </w:tc>
      </w:tr>
      <w:tr w14:paraId="7601B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2F1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4FF85">
            <w:pPr>
              <w:jc w:val="both"/>
            </w:pPr>
            <w:r>
              <w:rPr>
                <w:rFonts w:ascii="宋体" w:hAnsi="宋体" w:eastAsia="宋体"/>
                <w:sz w:val="16"/>
              </w:rPr>
              <w:t>2024年加快与周边国家对外交流交往，加大“请进来”力度，强化“走出去”力度，促进喀什地区外交工作有效提升。计划2024年度组团10个分别赴周边国家进行出访，加强与周边国家的交流交往。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9482A">
            <w:pPr>
              <w:jc w:val="both"/>
            </w:pPr>
            <w:r>
              <w:rPr>
                <w:rFonts w:ascii="宋体" w:hAnsi="宋体" w:eastAsia="宋体"/>
                <w:sz w:val="16"/>
              </w:rPr>
              <w:t>“走出去”工作成效显著。认真贯彻落实中国—中亚峰会、第三届“一带一路”国际合作高峰论坛成果，推动马兴瑞书记2023年出访中亚成果落实，先后组建7个代表团34人次出访巴基斯坦、塔吉克斯坦、哈萨克斯坦、乌兹别克斯坦、吉尔吉斯斯坦、格鲁吉亚、韩国等，出访国别不断增加，由中亚国家扩展到南亚、西亚，出访领域不断扩大，由经贸、医疗拓展到文化、旅游等方面。</w:t>
            </w:r>
          </w:p>
        </w:tc>
      </w:tr>
      <w:tr w14:paraId="4535D4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8C2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94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4F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4E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7AC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C6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E4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ABA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0E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ED5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BE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56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6B08">
            <w:pPr>
              <w:jc w:val="center"/>
            </w:pPr>
            <w:r>
              <w:rPr>
                <w:rFonts w:ascii="宋体" w:hAnsi="宋体" w:eastAsia="宋体"/>
                <w:sz w:val="16"/>
              </w:rPr>
              <w:t>偏差原因分析及改进措施</w:t>
            </w:r>
          </w:p>
        </w:tc>
      </w:tr>
      <w:tr w14:paraId="024BD8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1D2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E8F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88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11CB">
            <w:pPr>
              <w:jc w:val="center"/>
            </w:pPr>
            <w:r>
              <w:rPr>
                <w:rFonts w:ascii="宋体" w:hAnsi="宋体" w:eastAsia="宋体"/>
                <w:sz w:val="16"/>
              </w:rPr>
              <w:t>因公出国境出访次数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6196">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EC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FF5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E8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E2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75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133A">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2103">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DAA2">
            <w:pPr>
              <w:jc w:val="center"/>
            </w:pPr>
            <w:r>
              <w:rPr>
                <w:rFonts w:ascii="宋体" w:hAnsi="宋体" w:eastAsia="宋体"/>
                <w:sz w:val="16"/>
              </w:rPr>
              <w:t>偏差原因：因公出访政策要求发生变化，根据出访工作的需要，实际出访批次低于计划批次；改进措施：提高指标设定精准度。</w:t>
            </w:r>
          </w:p>
        </w:tc>
      </w:tr>
      <w:tr w14:paraId="153FB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0B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A6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BB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653D6">
            <w:pPr>
              <w:jc w:val="center"/>
            </w:pPr>
            <w:r>
              <w:rPr>
                <w:rFonts w:ascii="宋体" w:hAnsi="宋体" w:eastAsia="宋体"/>
                <w:sz w:val="16"/>
              </w:rPr>
              <w:t>出访计划完成率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21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DB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25F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73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C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97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ECA9">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D1FA5">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924B0">
            <w:pPr>
              <w:jc w:val="center"/>
            </w:pPr>
            <w:r>
              <w:rPr>
                <w:rFonts w:ascii="宋体" w:hAnsi="宋体" w:eastAsia="宋体"/>
                <w:sz w:val="16"/>
              </w:rPr>
              <w:t>偏差原因：受政策要求变化影响，根据出访工作的需要，实际出访批次低于计划批次；改进措施：提高指标设定精准度。</w:t>
            </w:r>
          </w:p>
        </w:tc>
      </w:tr>
      <w:tr w14:paraId="507AF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69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C8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566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14D2F">
            <w:pPr>
              <w:jc w:val="center"/>
            </w:pPr>
            <w:r>
              <w:rPr>
                <w:rFonts w:ascii="宋体" w:hAnsi="宋体" w:eastAsia="宋体"/>
                <w:sz w:val="16"/>
              </w:rPr>
              <w:t>对外出访经费拨付及时率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2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B5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4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7E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EC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F6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FE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5B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4141">
            <w:pPr>
              <w:jc w:val="center"/>
            </w:pPr>
          </w:p>
        </w:tc>
      </w:tr>
      <w:tr w14:paraId="52B51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3CC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98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E5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DF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FEB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84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69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1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A8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8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85E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C7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CCBCE">
            <w:pPr>
              <w:jc w:val="center"/>
            </w:pPr>
          </w:p>
        </w:tc>
      </w:tr>
      <w:tr w14:paraId="45D1D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04C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80B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E7E8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FBBA">
            <w:pPr>
              <w:jc w:val="center"/>
            </w:pPr>
            <w:r>
              <w:rPr>
                <w:rFonts w:ascii="宋体" w:hAnsi="宋体" w:eastAsia="宋体"/>
                <w:sz w:val="16"/>
              </w:rPr>
              <w:t>平均因公出国境费用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5D7D">
            <w:pPr>
              <w:jc w:val="center"/>
            </w:pPr>
            <w:r>
              <w:rPr>
                <w:rFonts w:ascii="宋体" w:hAnsi="宋体" w:eastAsia="宋体"/>
                <w:sz w:val="16"/>
              </w:rPr>
              <w:t>&lt;=18.20万元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4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FA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14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9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F1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4E37">
            <w:pPr>
              <w:jc w:val="center"/>
            </w:pPr>
            <w:r>
              <w:rPr>
                <w:rFonts w:ascii="宋体" w:hAnsi="宋体" w:eastAsia="宋体"/>
                <w:sz w:val="16"/>
              </w:rPr>
              <w:t>=12.49万元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04A2">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7D327">
            <w:pPr>
              <w:jc w:val="center"/>
            </w:pPr>
            <w:r>
              <w:rPr>
                <w:rFonts w:ascii="宋体" w:hAnsi="宋体" w:eastAsia="宋体"/>
                <w:sz w:val="16"/>
              </w:rPr>
              <w:t>偏差原因：因出访时间人员调整，实际出访资金低于预算数；改进措施：提高预算精准度及指标设定精准度。</w:t>
            </w:r>
          </w:p>
        </w:tc>
      </w:tr>
      <w:tr w14:paraId="0AC20D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52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DB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2A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392A">
            <w:pPr>
              <w:jc w:val="center"/>
            </w:pPr>
            <w:r>
              <w:rPr>
                <w:rFonts w:ascii="宋体" w:hAnsi="宋体" w:eastAsia="宋体"/>
                <w:sz w:val="16"/>
              </w:rPr>
              <w:t>平均差旅费用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8AB9">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9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D9D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1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95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5B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70B3">
            <w:pPr>
              <w:jc w:val="center"/>
            </w:pPr>
            <w:r>
              <w:rPr>
                <w:rFonts w:ascii="宋体" w:hAnsi="宋体" w:eastAsia="宋体"/>
                <w:sz w:val="16"/>
              </w:rPr>
              <w:t>=1.71万元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9ACC4">
            <w:pPr>
              <w:jc w:val="center"/>
            </w:pPr>
            <w:r>
              <w:rPr>
                <w:rFonts w:ascii="宋体" w:hAnsi="宋体" w:eastAsia="宋体"/>
                <w:sz w:val="16"/>
              </w:rPr>
              <w:t>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863DD">
            <w:pPr>
              <w:jc w:val="center"/>
            </w:pPr>
            <w:r>
              <w:rPr>
                <w:rFonts w:ascii="宋体" w:hAnsi="宋体" w:eastAsia="宋体"/>
                <w:sz w:val="16"/>
              </w:rPr>
              <w:t>偏差原因：因出访时间人员调整，实际出访资金低于预算数；改进措施：提高预算精准度及指标设定精准度。因出访时间人员调整</w:t>
            </w:r>
          </w:p>
        </w:tc>
      </w:tr>
      <w:tr w14:paraId="5C805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2D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A6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F1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A3FF">
            <w:pPr>
              <w:jc w:val="center"/>
            </w:pPr>
            <w:r>
              <w:rPr>
                <w:rFonts w:ascii="宋体" w:hAnsi="宋体" w:eastAsia="宋体"/>
                <w:sz w:val="16"/>
              </w:rPr>
              <w:t>提升喀什地区在周边国家的影响力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D0C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B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6F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30E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20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33B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969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226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E34F3">
            <w:pPr>
              <w:jc w:val="center"/>
            </w:pPr>
          </w:p>
        </w:tc>
      </w:tr>
      <w:tr w14:paraId="51028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8F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3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FD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D93E">
            <w:pPr>
              <w:jc w:val="center"/>
            </w:pPr>
            <w:r>
              <w:rPr>
                <w:rFonts w:ascii="宋体" w:hAnsi="宋体" w:eastAsia="宋体"/>
                <w:sz w:val="16"/>
              </w:rPr>
              <w:t>因公出访人员满意度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62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A9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74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B4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640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5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AC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A6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063EA">
            <w:pPr>
              <w:jc w:val="center"/>
            </w:pPr>
            <w:r>
              <w:rPr>
                <w:rFonts w:ascii="宋体" w:hAnsi="宋体" w:eastAsia="宋体"/>
                <w:sz w:val="16"/>
              </w:rPr>
              <w:t>偏差原因;满意度指标设置精准性欠缺，改进措施：提高指标设置精准度水平。</w:t>
            </w:r>
          </w:p>
        </w:tc>
      </w:tr>
      <w:tr w14:paraId="4468EB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3ED3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794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EC4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BF876">
            <w:pPr>
              <w:jc w:val="center"/>
            </w:pPr>
            <w:r>
              <w:rPr>
                <w:rFonts w:ascii="宋体" w:hAnsi="宋体" w:eastAsia="宋体"/>
                <w:sz w:val="16"/>
              </w:rPr>
              <w:t>61.21分</w:t>
            </w:r>
          </w:p>
        </w:tc>
      </w:tr>
    </w:tbl>
    <w:p w14:paraId="3DC5FE7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B38A181">
        <w:tblPrEx>
          <w:tblCellMar>
            <w:top w:w="0" w:type="dxa"/>
            <w:left w:w="108" w:type="dxa"/>
            <w:bottom w:w="0" w:type="dxa"/>
            <w:right w:w="108" w:type="dxa"/>
          </w:tblCellMar>
        </w:tblPrEx>
        <w:tc>
          <w:tcPr>
            <w:tcW w:w="8848" w:type="dxa"/>
            <w:gridSpan w:val="14"/>
            <w:vAlign w:val="center"/>
          </w:tcPr>
          <w:p w14:paraId="115A7E4E">
            <w:pPr>
              <w:jc w:val="center"/>
            </w:pPr>
            <w:r>
              <w:rPr>
                <w:rFonts w:ascii="宋体" w:hAnsi="宋体" w:eastAsia="宋体"/>
                <w:sz w:val="24"/>
              </w:rPr>
              <w:t>项目支出绩效自评表</w:t>
            </w:r>
          </w:p>
        </w:tc>
      </w:tr>
      <w:tr w14:paraId="69A2E91B">
        <w:tblPrEx>
          <w:tblCellMar>
            <w:top w:w="0" w:type="dxa"/>
            <w:left w:w="108" w:type="dxa"/>
            <w:bottom w:w="0" w:type="dxa"/>
            <w:right w:w="108" w:type="dxa"/>
          </w:tblCellMar>
        </w:tblPrEx>
        <w:tc>
          <w:tcPr>
            <w:tcW w:w="8848" w:type="dxa"/>
            <w:gridSpan w:val="14"/>
            <w:vAlign w:val="center"/>
          </w:tcPr>
          <w:p w14:paraId="3F016AA1">
            <w:pPr>
              <w:jc w:val="center"/>
            </w:pPr>
            <w:r>
              <w:rPr>
                <w:rFonts w:ascii="宋体" w:hAnsi="宋体" w:eastAsia="宋体"/>
                <w:sz w:val="24"/>
              </w:rPr>
              <w:t>(2024年度)</w:t>
            </w:r>
          </w:p>
        </w:tc>
      </w:tr>
      <w:tr w14:paraId="1C9CC9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5B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DDBFAE">
            <w:pPr>
              <w:jc w:val="center"/>
            </w:pPr>
            <w:r>
              <w:rPr>
                <w:rFonts w:ascii="宋体" w:hAnsi="宋体" w:eastAsia="宋体"/>
                <w:sz w:val="16"/>
              </w:rPr>
              <w:t>周边国家对外合作与交流项目</w:t>
            </w:r>
          </w:p>
        </w:tc>
      </w:tr>
      <w:tr w14:paraId="3D8880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86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6527A">
            <w:pPr>
              <w:jc w:val="center"/>
            </w:pPr>
            <w:r>
              <w:rPr>
                <w:rFonts w:ascii="宋体" w:hAnsi="宋体" w:eastAsia="宋体"/>
                <w:sz w:val="16"/>
              </w:rPr>
              <w:t>新疆维吾尔自治区喀什地区行政公署外事办公室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D80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9A91A9">
            <w:pPr>
              <w:jc w:val="center"/>
            </w:pPr>
            <w:r>
              <w:rPr>
                <w:rFonts w:ascii="宋体" w:hAnsi="宋体" w:eastAsia="宋体"/>
                <w:sz w:val="16"/>
              </w:rPr>
              <w:t>新疆维吾尔自治区喀什地区行政公署外事办公室</w:t>
            </w:r>
          </w:p>
        </w:tc>
      </w:tr>
      <w:tr w14:paraId="1F8091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9A4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3EE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B5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180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F4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CCC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46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27C7">
            <w:pPr>
              <w:jc w:val="center"/>
            </w:pPr>
            <w:r>
              <w:rPr>
                <w:rFonts w:ascii="宋体" w:hAnsi="宋体" w:eastAsia="宋体"/>
                <w:sz w:val="16"/>
              </w:rPr>
              <w:t>得分</w:t>
            </w:r>
          </w:p>
        </w:tc>
      </w:tr>
      <w:tr w14:paraId="134C8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64D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A3E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813C4">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7AC2">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0C04">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A5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166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5B8B">
            <w:pPr>
              <w:jc w:val="center"/>
            </w:pPr>
            <w:r>
              <w:rPr>
                <w:rFonts w:ascii="宋体" w:hAnsi="宋体" w:eastAsia="宋体"/>
                <w:sz w:val="16"/>
              </w:rPr>
              <w:t>10.00分</w:t>
            </w:r>
          </w:p>
        </w:tc>
      </w:tr>
      <w:tr w14:paraId="63AB2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1DF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678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EB293">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1A47E">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57076">
            <w:pPr>
              <w:jc w:val="center"/>
            </w:pPr>
            <w:r>
              <w:rPr>
                <w:rFonts w:ascii="宋体" w:hAnsi="宋体" w:eastAsia="宋体"/>
                <w:sz w:val="16"/>
              </w:rPr>
              <w:t>16.69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3B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1B7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3C83">
            <w:pPr>
              <w:jc w:val="center"/>
            </w:pPr>
            <w:r>
              <w:rPr>
                <w:rFonts w:ascii="宋体" w:hAnsi="宋体" w:eastAsia="宋体"/>
                <w:sz w:val="16"/>
              </w:rPr>
              <w:t>—</w:t>
            </w:r>
          </w:p>
        </w:tc>
      </w:tr>
      <w:tr w14:paraId="4FC396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18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F34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A93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C04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761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21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64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202D">
            <w:pPr>
              <w:jc w:val="center"/>
            </w:pPr>
            <w:r>
              <w:rPr>
                <w:rFonts w:ascii="宋体" w:hAnsi="宋体" w:eastAsia="宋体"/>
                <w:sz w:val="16"/>
              </w:rPr>
              <w:t>—</w:t>
            </w:r>
          </w:p>
        </w:tc>
      </w:tr>
      <w:tr w14:paraId="2AE4D5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66F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3FAB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F3380">
            <w:pPr>
              <w:jc w:val="center"/>
            </w:pPr>
            <w:r>
              <w:rPr>
                <w:rFonts w:ascii="宋体" w:hAnsi="宋体" w:eastAsia="宋体"/>
                <w:sz w:val="16"/>
              </w:rPr>
              <w:t>实际完成情况</w:t>
            </w:r>
          </w:p>
        </w:tc>
      </w:tr>
      <w:tr w14:paraId="35553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4F0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20D56">
            <w:pPr>
              <w:jc w:val="both"/>
            </w:pPr>
            <w:r>
              <w:rPr>
                <w:rFonts w:ascii="宋体" w:hAnsi="宋体" w:eastAsia="宋体"/>
                <w:sz w:val="16"/>
              </w:rPr>
              <w:t>通过实施该项目16.69万元，用于保障对外交流合作租车1次，委托事项1次，办公用品采购质量达标率100%，委托业务费7万元，租赁车辆费用5.3万元，加大“请进来”力度，强化“走出去”力度。积极谋划推动喀什与周边国家外贸经济、医疗卫生、文化体育教育等方面合作。加强海外喀什籍人员领事保护，常态化做好海外安全提醒和安全预警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E464E8">
            <w:pPr>
              <w:jc w:val="both"/>
            </w:pPr>
            <w:r>
              <w:rPr>
                <w:rFonts w:ascii="宋体" w:hAnsi="宋体" w:eastAsia="宋体"/>
                <w:sz w:val="16"/>
              </w:rPr>
              <w:t>此项目已完成租赁一辆公务用车5.3万元保障工作正常开展，法律顾问委托业务3万元，天闻网信息咨询提供4万元，保障日常工作正常开展4.39万元。加强了与周边国家的沟通联系，在外贸经济、医疗卫生、文化体育教育等方面进一步取得了合作。</w:t>
            </w:r>
          </w:p>
        </w:tc>
      </w:tr>
      <w:tr w14:paraId="0AA76F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2B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45B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AA9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14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256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4B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933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E0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1D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75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33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196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8497F">
            <w:pPr>
              <w:jc w:val="center"/>
            </w:pPr>
            <w:r>
              <w:rPr>
                <w:rFonts w:ascii="宋体" w:hAnsi="宋体" w:eastAsia="宋体"/>
                <w:sz w:val="16"/>
              </w:rPr>
              <w:t>偏差原因分析及改进措施</w:t>
            </w:r>
          </w:p>
        </w:tc>
      </w:tr>
      <w:tr w14:paraId="4431AE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580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B2C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6D8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87D8">
            <w:pPr>
              <w:jc w:val="center"/>
            </w:pPr>
            <w:r>
              <w:rPr>
                <w:rFonts w:ascii="宋体" w:hAnsi="宋体" w:eastAsia="宋体"/>
                <w:sz w:val="16"/>
              </w:rPr>
              <w:t>保障对外交流合作租车次数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5A2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0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C7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9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1F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AE4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75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D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88FCC">
            <w:pPr>
              <w:jc w:val="center"/>
            </w:pPr>
          </w:p>
        </w:tc>
      </w:tr>
      <w:tr w14:paraId="25FFDA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CE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B1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7B7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8E27">
            <w:pPr>
              <w:jc w:val="center"/>
            </w:pPr>
            <w:r>
              <w:rPr>
                <w:rFonts w:ascii="宋体" w:hAnsi="宋体" w:eastAsia="宋体"/>
                <w:sz w:val="16"/>
              </w:rPr>
              <w:t>委托事项次数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9C14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EE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BD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0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A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A4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99C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84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7D254">
            <w:pPr>
              <w:jc w:val="center"/>
            </w:pPr>
            <w:r>
              <w:rPr>
                <w:rFonts w:ascii="宋体" w:hAnsi="宋体" w:eastAsia="宋体"/>
                <w:sz w:val="16"/>
              </w:rPr>
              <w:t>偏差原因：委托事项增加，改进措施：提升预算精准度。</w:t>
            </w:r>
          </w:p>
        </w:tc>
      </w:tr>
      <w:tr w14:paraId="5ADA1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F5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A7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98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A439C">
            <w:pPr>
              <w:jc w:val="center"/>
            </w:pPr>
            <w:r>
              <w:rPr>
                <w:rFonts w:ascii="宋体" w:hAnsi="宋体" w:eastAsia="宋体"/>
                <w:sz w:val="16"/>
              </w:rPr>
              <w:t>办公用品采购质量达标率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3E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7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20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EE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C2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58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F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5A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459B">
            <w:pPr>
              <w:jc w:val="center"/>
            </w:pPr>
          </w:p>
        </w:tc>
      </w:tr>
      <w:tr w14:paraId="31980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7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62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2B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273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735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30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56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FC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3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6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26D9">
            <w:pPr>
              <w:jc w:val="center"/>
            </w:pPr>
            <w:r>
              <w:rPr>
                <w:rFonts w:ascii="宋体" w:hAnsi="宋体" w:eastAsia="宋体"/>
                <w:sz w:val="16"/>
              </w:rPr>
              <w:t>2024年11月8日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4C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D8652">
            <w:pPr>
              <w:jc w:val="center"/>
            </w:pPr>
          </w:p>
        </w:tc>
      </w:tr>
      <w:tr w14:paraId="73D05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AF8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9464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65EB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8164">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C5DC">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A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FA2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69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CF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E1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E31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8C0A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BF47">
            <w:pPr>
              <w:jc w:val="center"/>
            </w:pPr>
          </w:p>
        </w:tc>
      </w:tr>
      <w:tr w14:paraId="6E438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BE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27B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DF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C7C7">
            <w:pPr>
              <w:jc w:val="center"/>
            </w:pPr>
            <w:r>
              <w:rPr>
                <w:rFonts w:ascii="宋体" w:hAnsi="宋体" w:eastAsia="宋体"/>
                <w:sz w:val="16"/>
              </w:rPr>
              <w:t>租赁车辆费用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E59E">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3F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5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056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D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D9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4FB2">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6D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B45D6">
            <w:pPr>
              <w:jc w:val="center"/>
            </w:pPr>
          </w:p>
        </w:tc>
      </w:tr>
      <w:tr w14:paraId="68A31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E24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45A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8EB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8671">
            <w:pPr>
              <w:jc w:val="center"/>
            </w:pPr>
            <w:r>
              <w:rPr>
                <w:rFonts w:ascii="宋体" w:hAnsi="宋体" w:eastAsia="宋体"/>
                <w:sz w:val="16"/>
              </w:rPr>
              <w:t>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669D">
            <w:pPr>
              <w:jc w:val="center"/>
            </w:pPr>
            <w:r>
              <w:rPr>
                <w:rFonts w:ascii="宋体" w:hAnsi="宋体" w:eastAsia="宋体"/>
                <w:sz w:val="16"/>
              </w:rPr>
              <w:t>&lt;=4.39万元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1D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8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77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B01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C2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8C34">
            <w:pPr>
              <w:jc w:val="center"/>
            </w:pPr>
            <w:r>
              <w:rPr>
                <w:rFonts w:ascii="宋体" w:hAnsi="宋体" w:eastAsia="宋体"/>
                <w:sz w:val="16"/>
              </w:rPr>
              <w:t>=4.39万元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3FC7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BB42C">
            <w:pPr>
              <w:jc w:val="center"/>
            </w:pPr>
          </w:p>
        </w:tc>
      </w:tr>
      <w:tr w14:paraId="4B107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9F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D6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63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9241">
            <w:pPr>
              <w:jc w:val="center"/>
            </w:pPr>
            <w:r>
              <w:rPr>
                <w:rFonts w:ascii="宋体" w:hAnsi="宋体" w:eastAsia="宋体"/>
                <w:sz w:val="16"/>
              </w:rPr>
              <w:t>扩大喀什地区在周边国家的影响力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72A3">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767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D317">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4E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EF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3F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B853">
            <w:pPr>
              <w:jc w:val="center"/>
            </w:pPr>
            <w:r>
              <w:rPr>
                <w:rFonts w:ascii="宋体" w:hAnsi="宋体" w:eastAsia="宋体"/>
                <w:sz w:val="16"/>
              </w:rPr>
              <w:t>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813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FBD7B">
            <w:pPr>
              <w:jc w:val="center"/>
            </w:pPr>
          </w:p>
        </w:tc>
      </w:tr>
      <w:tr w14:paraId="41283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A0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A0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F4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23A8">
            <w:pPr>
              <w:jc w:val="center"/>
            </w:pPr>
            <w:r>
              <w:rPr>
                <w:rFonts w:ascii="宋体" w:hAnsi="宋体" w:eastAsia="宋体"/>
                <w:sz w:val="16"/>
              </w:rPr>
              <w:t>参与对外交流工作人员满意度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0B3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7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78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37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4B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E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B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3D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A2E1">
            <w:pPr>
              <w:jc w:val="center"/>
            </w:pPr>
            <w:r>
              <w:rPr>
                <w:rFonts w:ascii="宋体" w:hAnsi="宋体" w:eastAsia="宋体"/>
                <w:sz w:val="16"/>
              </w:rPr>
              <w:t>偏差原因;满意度指标设置精准性欠缺，改进措施：提高指标设置精准度水平。</w:t>
            </w:r>
          </w:p>
        </w:tc>
      </w:tr>
      <w:tr w14:paraId="79C184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0BB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B6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421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452DCF">
            <w:pPr>
              <w:jc w:val="center"/>
            </w:pPr>
            <w:r>
              <w:rPr>
                <w:rFonts w:ascii="宋体" w:hAnsi="宋体" w:eastAsia="宋体"/>
                <w:sz w:val="16"/>
              </w:rPr>
              <w:t>90分</w:t>
            </w:r>
          </w:p>
        </w:tc>
      </w:tr>
    </w:tbl>
    <w:p w14:paraId="07A3C8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26CD0C6">
        <w:tblPrEx>
          <w:tblCellMar>
            <w:top w:w="0" w:type="dxa"/>
            <w:left w:w="108" w:type="dxa"/>
            <w:bottom w:w="0" w:type="dxa"/>
            <w:right w:w="108" w:type="dxa"/>
          </w:tblCellMar>
        </w:tblPrEx>
        <w:tc>
          <w:tcPr>
            <w:tcW w:w="8848" w:type="dxa"/>
            <w:gridSpan w:val="14"/>
            <w:vAlign w:val="center"/>
          </w:tcPr>
          <w:p w14:paraId="03D1A50D">
            <w:pPr>
              <w:jc w:val="center"/>
            </w:pPr>
            <w:r>
              <w:rPr>
                <w:rFonts w:ascii="宋体" w:hAnsi="宋体" w:eastAsia="宋体"/>
                <w:sz w:val="24"/>
              </w:rPr>
              <w:t>项目支出绩效自评表</w:t>
            </w:r>
          </w:p>
        </w:tc>
      </w:tr>
      <w:tr w14:paraId="37F7295D">
        <w:tblPrEx>
          <w:tblCellMar>
            <w:top w:w="0" w:type="dxa"/>
            <w:left w:w="108" w:type="dxa"/>
            <w:bottom w:w="0" w:type="dxa"/>
            <w:right w:w="108" w:type="dxa"/>
          </w:tblCellMar>
        </w:tblPrEx>
        <w:tc>
          <w:tcPr>
            <w:tcW w:w="8848" w:type="dxa"/>
            <w:gridSpan w:val="14"/>
            <w:vAlign w:val="center"/>
          </w:tcPr>
          <w:p w14:paraId="08AE8C61">
            <w:pPr>
              <w:jc w:val="center"/>
            </w:pPr>
            <w:r>
              <w:rPr>
                <w:rFonts w:ascii="宋体" w:hAnsi="宋体" w:eastAsia="宋体"/>
                <w:sz w:val="24"/>
              </w:rPr>
              <w:t>(2024年度)</w:t>
            </w:r>
          </w:p>
        </w:tc>
      </w:tr>
      <w:tr w14:paraId="4F4F46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7C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0AD40A">
            <w:pPr>
              <w:jc w:val="center"/>
            </w:pPr>
            <w:r>
              <w:rPr>
                <w:rFonts w:ascii="宋体" w:hAnsi="宋体" w:eastAsia="宋体"/>
                <w:sz w:val="16"/>
              </w:rPr>
              <w:t>外交部专项资金支持项目</w:t>
            </w:r>
          </w:p>
        </w:tc>
      </w:tr>
      <w:tr w14:paraId="1C356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91B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9449A1">
            <w:pPr>
              <w:jc w:val="center"/>
            </w:pPr>
            <w:r>
              <w:rPr>
                <w:rFonts w:ascii="宋体" w:hAnsi="宋体" w:eastAsia="宋体"/>
                <w:sz w:val="16"/>
              </w:rPr>
              <w:t>新疆维吾尔自治区喀什地区行政公署外事办公室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F27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B0B21A">
            <w:pPr>
              <w:jc w:val="center"/>
            </w:pPr>
            <w:r>
              <w:rPr>
                <w:rFonts w:ascii="宋体" w:hAnsi="宋体" w:eastAsia="宋体"/>
                <w:sz w:val="16"/>
              </w:rPr>
              <w:t>新疆维吾尔自治区喀什地区行政公署外事办公室</w:t>
            </w:r>
          </w:p>
        </w:tc>
      </w:tr>
      <w:tr w14:paraId="7D55CD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7E9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2EB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D3A2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D56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393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B61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5017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094F">
            <w:pPr>
              <w:jc w:val="center"/>
            </w:pPr>
            <w:r>
              <w:rPr>
                <w:rFonts w:ascii="宋体" w:hAnsi="宋体" w:eastAsia="宋体"/>
                <w:sz w:val="16"/>
              </w:rPr>
              <w:t>得分</w:t>
            </w:r>
          </w:p>
        </w:tc>
      </w:tr>
      <w:tr w14:paraId="3A803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8BD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78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2FC1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33D6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C1022">
            <w:pPr>
              <w:jc w:val="center"/>
            </w:pPr>
            <w:r>
              <w:rPr>
                <w:rFonts w:ascii="宋体" w:hAnsi="宋体" w:eastAsia="宋体"/>
                <w:sz w:val="16"/>
              </w:rPr>
              <w:t>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7D9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0CF15">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30F63">
            <w:pPr>
              <w:jc w:val="center"/>
            </w:pPr>
            <w:r>
              <w:rPr>
                <w:rFonts w:ascii="宋体" w:hAnsi="宋体" w:eastAsia="宋体"/>
                <w:sz w:val="16"/>
              </w:rPr>
              <w:t>10.00分</w:t>
            </w:r>
          </w:p>
        </w:tc>
      </w:tr>
      <w:tr w14:paraId="5B170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FCD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5D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4D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9E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6B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DB9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12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094A">
            <w:pPr>
              <w:jc w:val="center"/>
            </w:pPr>
            <w:r>
              <w:rPr>
                <w:rFonts w:ascii="宋体" w:hAnsi="宋体" w:eastAsia="宋体"/>
                <w:sz w:val="16"/>
              </w:rPr>
              <w:t>—</w:t>
            </w:r>
          </w:p>
        </w:tc>
      </w:tr>
      <w:tr w14:paraId="18D81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C3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204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598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29D7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D5689">
            <w:pPr>
              <w:jc w:val="center"/>
            </w:pPr>
            <w:r>
              <w:rPr>
                <w:rFonts w:ascii="宋体" w:hAnsi="宋体" w:eastAsia="宋体"/>
                <w:sz w:val="16"/>
              </w:rPr>
              <w:t>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7730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4DF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9B8F">
            <w:pPr>
              <w:jc w:val="center"/>
            </w:pPr>
            <w:r>
              <w:rPr>
                <w:rFonts w:ascii="宋体" w:hAnsi="宋体" w:eastAsia="宋体"/>
                <w:sz w:val="16"/>
              </w:rPr>
              <w:t>—</w:t>
            </w:r>
          </w:p>
        </w:tc>
      </w:tr>
      <w:tr w14:paraId="1A8E45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60C2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FE2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B48ADC">
            <w:pPr>
              <w:jc w:val="center"/>
            </w:pPr>
            <w:r>
              <w:rPr>
                <w:rFonts w:ascii="宋体" w:hAnsi="宋体" w:eastAsia="宋体"/>
                <w:sz w:val="16"/>
              </w:rPr>
              <w:t>实际完成情况</w:t>
            </w:r>
          </w:p>
        </w:tc>
      </w:tr>
      <w:tr w14:paraId="1168D8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CDA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8090B">
            <w:pPr>
              <w:jc w:val="both"/>
            </w:pPr>
            <w:r>
              <w:rPr>
                <w:rFonts w:ascii="宋体" w:hAnsi="宋体" w:eastAsia="宋体"/>
                <w:sz w:val="16"/>
              </w:rPr>
              <w:t>为增进喀什地区与巴基斯坦地区间的友好交流合作，搭建双边经贸合作交流平台，进一步推进红其拉甫-苏斯特口岸常年开放，为全地区经济高质量发展营造良好周边环境，邀请巴基斯坦吉尔吉特-巴尔蒂斯坦政府代表团来喀进行5天的外事访问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9194E">
            <w:pPr>
              <w:jc w:val="both"/>
            </w:pPr>
            <w:r>
              <w:rPr>
                <w:rFonts w:ascii="宋体" w:hAnsi="宋体" w:eastAsia="宋体"/>
                <w:sz w:val="16"/>
              </w:rPr>
              <w:t>此项目完成巴基斯坦北部地区政府官员10人6天来喀参访保障，增进喀什地区与巴基斯坦地区间的友好交流合作，搭建双边经贸合作交流平台，为进一步加强各领域合作奠定了基础。</w:t>
            </w:r>
          </w:p>
        </w:tc>
      </w:tr>
      <w:tr w14:paraId="2358F8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ED4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9E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3A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49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06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70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571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15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D6D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5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97A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D1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91E0A">
            <w:pPr>
              <w:jc w:val="center"/>
            </w:pPr>
            <w:r>
              <w:rPr>
                <w:rFonts w:ascii="宋体" w:hAnsi="宋体" w:eastAsia="宋体"/>
                <w:sz w:val="16"/>
              </w:rPr>
              <w:t>偏差原因分析及改进措施</w:t>
            </w:r>
          </w:p>
        </w:tc>
      </w:tr>
      <w:tr w14:paraId="2AC926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A7D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FEBA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5AB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7F5A1">
            <w:pPr>
              <w:jc w:val="center"/>
            </w:pPr>
            <w:r>
              <w:rPr>
                <w:rFonts w:ascii="宋体" w:hAnsi="宋体" w:eastAsia="宋体"/>
                <w:sz w:val="16"/>
              </w:rPr>
              <w:t>来喀访问人数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9832">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3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9B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61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9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D9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DDE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00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C1DEA">
            <w:pPr>
              <w:jc w:val="center"/>
            </w:pPr>
          </w:p>
        </w:tc>
      </w:tr>
      <w:tr w14:paraId="38D9B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A93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52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7B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A228E">
            <w:pPr>
              <w:jc w:val="center"/>
            </w:pPr>
            <w:r>
              <w:rPr>
                <w:rFonts w:ascii="宋体" w:hAnsi="宋体" w:eastAsia="宋体"/>
                <w:sz w:val="16"/>
              </w:rPr>
              <w:t>在喀访问天数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FB4C6">
            <w:pPr>
              <w:jc w:val="center"/>
            </w:pPr>
            <w:r>
              <w:rPr>
                <w:rFonts w:ascii="宋体" w:hAnsi="宋体" w:eastAsia="宋体"/>
                <w:sz w:val="16"/>
              </w:rPr>
              <w:t>&gt;=5天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B7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C0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3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8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C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DBF6">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99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7127D">
            <w:pPr>
              <w:jc w:val="center"/>
            </w:pPr>
            <w:r>
              <w:rPr>
                <w:rFonts w:ascii="宋体" w:hAnsi="宋体" w:eastAsia="宋体"/>
                <w:sz w:val="16"/>
              </w:rPr>
              <w:t>偏差原因：在喀市内5天，因工作需要赴塔县1天。改进措施：结合工作需要，严格按照项目实施方案执行，提高绩效目标值设定精准度</w:t>
            </w:r>
          </w:p>
        </w:tc>
      </w:tr>
      <w:tr w14:paraId="20CA73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56B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A0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B62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C161">
            <w:pPr>
              <w:jc w:val="center"/>
            </w:pPr>
            <w:r>
              <w:rPr>
                <w:rFonts w:ascii="宋体" w:hAnsi="宋体" w:eastAsia="宋体"/>
                <w:sz w:val="16"/>
              </w:rPr>
              <w:t>访问经贸、教育、旅游、医疗、卫生等覆盖率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7B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9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AC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7D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FD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2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E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3A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85F3">
            <w:pPr>
              <w:jc w:val="center"/>
            </w:pPr>
          </w:p>
        </w:tc>
      </w:tr>
      <w:tr w14:paraId="4F346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25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9B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FA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C4D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19F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62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7D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E2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D1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DF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2518">
            <w:pPr>
              <w:jc w:val="center"/>
            </w:pPr>
            <w:r>
              <w:rPr>
                <w:rFonts w:ascii="宋体" w:hAnsi="宋体" w:eastAsia="宋体"/>
                <w:sz w:val="16"/>
              </w:rPr>
              <w:t>2024年7月9日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BE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4DBBA">
            <w:pPr>
              <w:jc w:val="center"/>
            </w:pPr>
          </w:p>
        </w:tc>
      </w:tr>
      <w:tr w14:paraId="46521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AB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DA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00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B067">
            <w:pPr>
              <w:jc w:val="center"/>
            </w:pPr>
            <w:r>
              <w:rPr>
                <w:rFonts w:ascii="宋体" w:hAnsi="宋体" w:eastAsia="宋体"/>
                <w:sz w:val="16"/>
              </w:rPr>
              <w:t>参访人员人均费用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9B7B">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0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9B3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04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F7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F4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6879">
            <w:pPr>
              <w:jc w:val="center"/>
            </w:pPr>
            <w:r>
              <w:rPr>
                <w:rFonts w:ascii="宋体" w:hAnsi="宋体" w:eastAsia="宋体"/>
                <w:sz w:val="16"/>
              </w:rPr>
              <w:t>=0.989万元/人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4114">
            <w:pPr>
              <w:jc w:val="center"/>
            </w:pPr>
            <w:r>
              <w:rPr>
                <w:rFonts w:ascii="宋体" w:hAnsi="宋体" w:eastAsia="宋体"/>
                <w:sz w:val="16"/>
              </w:rPr>
              <w:t>19.45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C794">
            <w:pPr>
              <w:jc w:val="center"/>
            </w:pPr>
            <w:r>
              <w:rPr>
                <w:rFonts w:ascii="宋体" w:hAnsi="宋体" w:eastAsia="宋体"/>
                <w:sz w:val="16"/>
              </w:rPr>
              <w:t>偏差原因：此项目实施过程中资金节约0.11万元；改进措施：严格按照实施方案执行，提高资金预算精准度。</w:t>
            </w:r>
          </w:p>
        </w:tc>
      </w:tr>
      <w:tr w14:paraId="150F33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622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CA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F0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1CE9">
            <w:pPr>
              <w:jc w:val="center"/>
            </w:pPr>
            <w:r>
              <w:rPr>
                <w:rFonts w:ascii="宋体" w:hAnsi="宋体" w:eastAsia="宋体"/>
                <w:sz w:val="16"/>
              </w:rPr>
              <w:t>中巴对外交流合作覆盖率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6A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7F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6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49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96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2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1C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0E9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AA9F9">
            <w:pPr>
              <w:jc w:val="center"/>
            </w:pPr>
          </w:p>
        </w:tc>
      </w:tr>
      <w:tr w14:paraId="2D455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94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553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D1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CD61">
            <w:pPr>
              <w:jc w:val="center"/>
            </w:pPr>
            <w:r>
              <w:rPr>
                <w:rFonts w:ascii="宋体" w:hAnsi="宋体" w:eastAsia="宋体"/>
                <w:sz w:val="16"/>
              </w:rPr>
              <w:t>参访人员满意度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204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AA3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8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CA0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BB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C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F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97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3C441">
            <w:pPr>
              <w:jc w:val="center"/>
            </w:pPr>
            <w:r>
              <w:rPr>
                <w:rFonts w:ascii="宋体" w:hAnsi="宋体" w:eastAsia="宋体"/>
                <w:sz w:val="16"/>
              </w:rPr>
              <w:t>偏差原因：指标值设定欠缺精准度，改进措施：绩效目标设定严格按照实施方案，提高指标值设定精准度。</w:t>
            </w:r>
          </w:p>
        </w:tc>
      </w:tr>
      <w:tr w14:paraId="5E3611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54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62CA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20D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107479">
            <w:pPr>
              <w:jc w:val="center"/>
            </w:pPr>
            <w:r>
              <w:rPr>
                <w:rFonts w:ascii="宋体" w:hAnsi="宋体" w:eastAsia="宋体"/>
                <w:sz w:val="16"/>
              </w:rPr>
              <w:t>97.45分</w:t>
            </w:r>
          </w:p>
        </w:tc>
      </w:tr>
    </w:tbl>
    <w:p w14:paraId="39FB6FB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F136B00">
        <w:tblPrEx>
          <w:tblCellMar>
            <w:top w:w="0" w:type="dxa"/>
            <w:left w:w="108" w:type="dxa"/>
            <w:bottom w:w="0" w:type="dxa"/>
            <w:right w:w="108" w:type="dxa"/>
          </w:tblCellMar>
        </w:tblPrEx>
        <w:tc>
          <w:tcPr>
            <w:tcW w:w="8848" w:type="dxa"/>
            <w:gridSpan w:val="14"/>
            <w:vAlign w:val="center"/>
          </w:tcPr>
          <w:p w14:paraId="758C2F1F">
            <w:pPr>
              <w:jc w:val="center"/>
            </w:pPr>
            <w:r>
              <w:rPr>
                <w:rFonts w:ascii="宋体" w:hAnsi="宋体" w:eastAsia="宋体"/>
                <w:sz w:val="24"/>
              </w:rPr>
              <w:t>项目支出绩效自评表</w:t>
            </w:r>
          </w:p>
        </w:tc>
      </w:tr>
      <w:tr w14:paraId="6CDAD367">
        <w:tblPrEx>
          <w:tblCellMar>
            <w:top w:w="0" w:type="dxa"/>
            <w:left w:w="108" w:type="dxa"/>
            <w:bottom w:w="0" w:type="dxa"/>
            <w:right w:w="108" w:type="dxa"/>
          </w:tblCellMar>
        </w:tblPrEx>
        <w:tc>
          <w:tcPr>
            <w:tcW w:w="8848" w:type="dxa"/>
            <w:gridSpan w:val="14"/>
            <w:vAlign w:val="center"/>
          </w:tcPr>
          <w:p w14:paraId="792F1BA2">
            <w:pPr>
              <w:jc w:val="center"/>
            </w:pPr>
            <w:r>
              <w:rPr>
                <w:rFonts w:ascii="宋体" w:hAnsi="宋体" w:eastAsia="宋体"/>
                <w:sz w:val="24"/>
              </w:rPr>
              <w:t>(2024年度)</w:t>
            </w:r>
          </w:p>
        </w:tc>
      </w:tr>
      <w:tr w14:paraId="442CB8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1A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13762B">
            <w:pPr>
              <w:jc w:val="center"/>
            </w:pPr>
            <w:r>
              <w:rPr>
                <w:rFonts w:ascii="宋体" w:hAnsi="宋体" w:eastAsia="宋体"/>
                <w:sz w:val="16"/>
              </w:rPr>
              <w:t>赴疆内地州学习考察项目</w:t>
            </w:r>
          </w:p>
        </w:tc>
      </w:tr>
      <w:tr w14:paraId="46E9A3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9D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65C30">
            <w:pPr>
              <w:jc w:val="center"/>
            </w:pPr>
            <w:r>
              <w:rPr>
                <w:rFonts w:ascii="宋体" w:hAnsi="宋体" w:eastAsia="宋体"/>
                <w:sz w:val="16"/>
              </w:rPr>
              <w:t>新疆维吾尔自治区喀什地区行政公署外事办公室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EC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C3C18C">
            <w:pPr>
              <w:jc w:val="center"/>
            </w:pPr>
            <w:r>
              <w:rPr>
                <w:rFonts w:ascii="宋体" w:hAnsi="宋体" w:eastAsia="宋体"/>
                <w:sz w:val="16"/>
              </w:rPr>
              <w:t>新疆维吾尔自治区喀什地区行政公署外事办公室</w:t>
            </w:r>
          </w:p>
        </w:tc>
      </w:tr>
      <w:tr w14:paraId="688D9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414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B32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027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A21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43E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D49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EE1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923DD">
            <w:pPr>
              <w:jc w:val="center"/>
            </w:pPr>
            <w:r>
              <w:rPr>
                <w:rFonts w:ascii="宋体" w:hAnsi="宋体" w:eastAsia="宋体"/>
                <w:sz w:val="16"/>
              </w:rPr>
              <w:t>得分</w:t>
            </w:r>
          </w:p>
        </w:tc>
      </w:tr>
      <w:tr w14:paraId="2CFBA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E2C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667F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98F75">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5CCE">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F342">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F9B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5228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F89B">
            <w:pPr>
              <w:jc w:val="center"/>
            </w:pPr>
            <w:r>
              <w:rPr>
                <w:rFonts w:ascii="宋体" w:hAnsi="宋体" w:eastAsia="宋体"/>
                <w:sz w:val="16"/>
              </w:rPr>
              <w:t>10.00分</w:t>
            </w:r>
          </w:p>
        </w:tc>
      </w:tr>
      <w:tr w14:paraId="7112D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B56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C6B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23A1">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968F">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DD4BA">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67D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55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B55E">
            <w:pPr>
              <w:jc w:val="center"/>
            </w:pPr>
            <w:r>
              <w:rPr>
                <w:rFonts w:ascii="宋体" w:hAnsi="宋体" w:eastAsia="宋体"/>
                <w:sz w:val="16"/>
              </w:rPr>
              <w:t>—</w:t>
            </w:r>
          </w:p>
        </w:tc>
      </w:tr>
      <w:tr w14:paraId="72B01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3A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7D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25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FF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6F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903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22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E02F">
            <w:pPr>
              <w:jc w:val="center"/>
            </w:pPr>
            <w:r>
              <w:rPr>
                <w:rFonts w:ascii="宋体" w:hAnsi="宋体" w:eastAsia="宋体"/>
                <w:sz w:val="16"/>
              </w:rPr>
              <w:t>—</w:t>
            </w:r>
          </w:p>
        </w:tc>
      </w:tr>
      <w:tr w14:paraId="5D8B0D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583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9D5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6FFCF6">
            <w:pPr>
              <w:jc w:val="center"/>
            </w:pPr>
            <w:r>
              <w:rPr>
                <w:rFonts w:ascii="宋体" w:hAnsi="宋体" w:eastAsia="宋体"/>
                <w:sz w:val="16"/>
              </w:rPr>
              <w:t>实际完成情况</w:t>
            </w:r>
          </w:p>
        </w:tc>
      </w:tr>
      <w:tr w14:paraId="4809A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FA0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4087F">
            <w:pPr>
              <w:jc w:val="both"/>
            </w:pPr>
            <w:r>
              <w:rPr>
                <w:rFonts w:ascii="宋体" w:hAnsi="宋体" w:eastAsia="宋体"/>
                <w:sz w:val="16"/>
              </w:rPr>
              <w:t>全面贯彻落实自治区党委十届十次全会和地委扩大会议  精神，统筹发展和安全、开放，服务丝绸之路经济带核心区重要支点和中国（新疆）自由贸易试验区喀什片区建设，根据地委思想大解放、观念大转变、能力大提升的部署安排，提升地区外事工作专业化、正规化、国际化、标准化水平，积极营造比、学、赶、超的浓厚氛围。2024年4月组织外事干部一行，租赁一辆大巴车赴疆内地州学习考察，提升外事工作专业化、正规化、国际化、标准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25A34">
            <w:pPr>
              <w:jc w:val="both"/>
            </w:pPr>
            <w:r>
              <w:rPr>
                <w:rFonts w:ascii="宋体" w:hAnsi="宋体" w:eastAsia="宋体"/>
                <w:sz w:val="16"/>
              </w:rPr>
              <w:t>已完成赴北疆调研学习事项，通过实地考察观摩提升了外事工作专业化、正规化、国际化、标准化水平。为全面贯彻落实自治区党委十届十次全会和地委扩大会议 精神，统筹发展和安全、开放，服务丝绸之路经济带核心区重要支点和中国（新疆）自由贸易试验区喀什片区建设</w:t>
            </w:r>
          </w:p>
        </w:tc>
      </w:tr>
      <w:tr w14:paraId="2A3F6E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F8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93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70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B2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10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DDC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ACC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FC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0E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0C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5C5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66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15E88">
            <w:pPr>
              <w:jc w:val="center"/>
            </w:pPr>
            <w:r>
              <w:rPr>
                <w:rFonts w:ascii="宋体" w:hAnsi="宋体" w:eastAsia="宋体"/>
                <w:sz w:val="16"/>
              </w:rPr>
              <w:t>偏差原因分析及改进措施</w:t>
            </w:r>
          </w:p>
        </w:tc>
      </w:tr>
      <w:tr w14:paraId="40023D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581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9B8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884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71CF">
            <w:pPr>
              <w:jc w:val="center"/>
            </w:pPr>
            <w:r>
              <w:rPr>
                <w:rFonts w:ascii="宋体" w:hAnsi="宋体" w:eastAsia="宋体"/>
                <w:sz w:val="16"/>
              </w:rPr>
              <w:t>租赁车辆数量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95E6">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5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B2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E30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3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A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2C0E">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36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E51A2">
            <w:pPr>
              <w:jc w:val="center"/>
            </w:pPr>
          </w:p>
        </w:tc>
      </w:tr>
      <w:tr w14:paraId="56B8FE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7AD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33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CD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A807">
            <w:pPr>
              <w:jc w:val="center"/>
            </w:pPr>
            <w:r>
              <w:rPr>
                <w:rFonts w:ascii="宋体" w:hAnsi="宋体" w:eastAsia="宋体"/>
                <w:sz w:val="16"/>
              </w:rPr>
              <w:t>车辆租赁时间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DBEE">
            <w:pPr>
              <w:jc w:val="center"/>
            </w:pPr>
            <w:r>
              <w:rPr>
                <w:rFonts w:ascii="宋体" w:hAnsi="宋体" w:eastAsia="宋体"/>
                <w:sz w:val="16"/>
              </w:rPr>
              <w:t>&gt;=12天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D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50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9175">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5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67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EC16">
            <w:pPr>
              <w:jc w:val="center"/>
            </w:pPr>
            <w:r>
              <w:rPr>
                <w:rFonts w:ascii="宋体" w:hAnsi="宋体" w:eastAsia="宋体"/>
                <w:sz w:val="16"/>
              </w:rPr>
              <w:t>=12天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EE5C">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7EBB9">
            <w:pPr>
              <w:jc w:val="center"/>
            </w:pPr>
          </w:p>
        </w:tc>
      </w:tr>
      <w:tr w14:paraId="1DEC33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F4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82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25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144D">
            <w:pPr>
              <w:jc w:val="center"/>
            </w:pPr>
            <w:r>
              <w:rPr>
                <w:rFonts w:ascii="宋体" w:hAnsi="宋体" w:eastAsia="宋体"/>
                <w:sz w:val="16"/>
              </w:rPr>
              <w:t>按计划赴疆内各地州覆盖率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B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3A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F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37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85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21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0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74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EAF10">
            <w:pPr>
              <w:jc w:val="center"/>
            </w:pPr>
          </w:p>
        </w:tc>
      </w:tr>
      <w:tr w14:paraId="203F9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035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50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1C1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24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462F">
            <w:pPr>
              <w:jc w:val="center"/>
            </w:pPr>
            <w:r>
              <w:rPr>
                <w:rFonts w:ascii="宋体" w:hAnsi="宋体" w:eastAsia="宋体"/>
                <w:sz w:val="16"/>
              </w:rPr>
              <w:t>=2024年5月前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5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43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7B7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00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93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8613">
            <w:pPr>
              <w:jc w:val="center"/>
            </w:pPr>
            <w:r>
              <w:rPr>
                <w:rFonts w:ascii="宋体" w:hAnsi="宋体" w:eastAsia="宋体"/>
                <w:sz w:val="16"/>
              </w:rPr>
              <w:t>2024年4月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00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64B4C">
            <w:pPr>
              <w:jc w:val="center"/>
            </w:pPr>
          </w:p>
        </w:tc>
      </w:tr>
      <w:tr w14:paraId="7CD77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81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E2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30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8548">
            <w:pPr>
              <w:jc w:val="center"/>
            </w:pPr>
            <w:r>
              <w:rPr>
                <w:rFonts w:ascii="宋体" w:hAnsi="宋体" w:eastAsia="宋体"/>
                <w:sz w:val="16"/>
              </w:rPr>
              <w:t>平均每天租赁费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D0E6">
            <w:pPr>
              <w:jc w:val="center"/>
            </w:pPr>
            <w:r>
              <w:rPr>
                <w:rFonts w:ascii="宋体" w:hAnsi="宋体" w:eastAsia="宋体"/>
                <w:sz w:val="16"/>
              </w:rPr>
              <w:t>&lt;=3000元/天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92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A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FB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E7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C2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DF1F">
            <w:pPr>
              <w:jc w:val="center"/>
            </w:pPr>
            <w:r>
              <w:rPr>
                <w:rFonts w:ascii="宋体" w:hAnsi="宋体" w:eastAsia="宋体"/>
                <w:sz w:val="16"/>
              </w:rPr>
              <w:t>=3000元/天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2B9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5D4DD">
            <w:pPr>
              <w:jc w:val="center"/>
            </w:pPr>
          </w:p>
        </w:tc>
      </w:tr>
      <w:tr w14:paraId="0FE1F3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D79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5959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67D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FB3F">
            <w:pPr>
              <w:jc w:val="center"/>
            </w:pPr>
            <w:r>
              <w:rPr>
                <w:rFonts w:ascii="宋体" w:hAnsi="宋体" w:eastAsia="宋体"/>
                <w:sz w:val="16"/>
              </w:rPr>
              <w:t>通过学习考察交流外事工作能力提升率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F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7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41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062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70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99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B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3C5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FB934">
            <w:pPr>
              <w:jc w:val="center"/>
            </w:pPr>
          </w:p>
        </w:tc>
      </w:tr>
      <w:tr w14:paraId="67F20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49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D29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C90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298B">
            <w:pPr>
              <w:jc w:val="center"/>
            </w:pPr>
            <w:r>
              <w:rPr>
                <w:rFonts w:ascii="宋体" w:hAnsi="宋体" w:eastAsia="宋体"/>
                <w:sz w:val="16"/>
              </w:rPr>
              <w:t>外事干部工作能力水平提升率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F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A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51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054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C1B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DE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32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817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2F6C6">
            <w:pPr>
              <w:jc w:val="center"/>
            </w:pPr>
          </w:p>
        </w:tc>
      </w:tr>
      <w:tr w14:paraId="335C3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7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B0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B4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D7B2">
            <w:pPr>
              <w:jc w:val="center"/>
            </w:pPr>
            <w:r>
              <w:rPr>
                <w:rFonts w:ascii="宋体" w:hAnsi="宋体" w:eastAsia="宋体"/>
                <w:sz w:val="16"/>
              </w:rPr>
              <w:t>参加学习考察干部满意率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19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A3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D9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F6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E20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DC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2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54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0D54">
            <w:pPr>
              <w:jc w:val="center"/>
            </w:pPr>
          </w:p>
        </w:tc>
      </w:tr>
      <w:tr w14:paraId="12A09A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E3FC">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235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5B73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34FECB">
            <w:pPr>
              <w:jc w:val="center"/>
            </w:pPr>
            <w:r>
              <w:rPr>
                <w:rFonts w:ascii="宋体" w:hAnsi="宋体" w:eastAsia="宋体"/>
                <w:sz w:val="16"/>
              </w:rPr>
              <w:t>100分</w:t>
            </w:r>
          </w:p>
        </w:tc>
      </w:tr>
    </w:tbl>
    <w:p w14:paraId="3C156DBA">
      <w:r>
        <w:br w:type="page"/>
      </w:r>
    </w:p>
    <w:p w14:paraId="349604AF">
      <w:pPr>
        <w:spacing w:line="640" w:lineRule="exact"/>
        <w:ind w:firstLine="640"/>
        <w:jc w:val="both"/>
        <w:outlineLvl w:val="2"/>
      </w:pPr>
      <w:r>
        <w:rPr>
          <w:rFonts w:ascii="黑体" w:hAnsi="黑体" w:eastAsia="黑体"/>
          <w:sz w:val="32"/>
        </w:rPr>
        <w:t>十二、其他需说明的事项</w:t>
      </w:r>
    </w:p>
    <w:p w14:paraId="1838AFDE">
      <w:pPr>
        <w:spacing w:line="580" w:lineRule="exact"/>
        <w:ind w:firstLine="640"/>
        <w:jc w:val="both"/>
      </w:pPr>
      <w:r>
        <w:rPr>
          <w:rFonts w:ascii="仿宋_GB2312" w:hAnsi="仿宋_GB2312" w:eastAsia="仿宋_GB2312"/>
          <w:b w:val="0"/>
          <w:sz w:val="32"/>
        </w:rPr>
        <w:t>本年涉密项目2个，全年预算数102.27万元，全年执行数99.61万元。</w:t>
      </w:r>
    </w:p>
    <w:p w14:paraId="30ABB79F">
      <w:r>
        <w:br w:type="page"/>
      </w:r>
    </w:p>
    <w:p w14:paraId="00E15902">
      <w:pPr>
        <w:spacing w:line="240" w:lineRule="auto"/>
        <w:jc w:val="center"/>
        <w:outlineLvl w:val="1"/>
      </w:pPr>
      <w:r>
        <w:rPr>
          <w:rFonts w:ascii="黑体" w:hAnsi="黑体" w:eastAsia="黑体"/>
          <w:sz w:val="32"/>
        </w:rPr>
        <w:t>第三部分 专业名词解释</w:t>
      </w:r>
    </w:p>
    <w:p w14:paraId="7C30F28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57156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1AF35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5F4B2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004B2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1639C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234635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F93E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BA6A4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EFB4F3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934FFF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0027B4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46743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283BD3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DD27D6">
      <w:r>
        <w:br w:type="page"/>
      </w:r>
    </w:p>
    <w:p w14:paraId="16C95BFE">
      <w:pPr>
        <w:spacing w:line="240" w:lineRule="auto"/>
        <w:jc w:val="center"/>
        <w:outlineLvl w:val="1"/>
      </w:pPr>
      <w:r>
        <w:rPr>
          <w:rFonts w:ascii="黑体" w:hAnsi="黑体" w:eastAsia="黑体"/>
          <w:sz w:val="32"/>
        </w:rPr>
        <w:t>第四部分 部门决算报表（见附表）</w:t>
      </w:r>
    </w:p>
    <w:p w14:paraId="067E5FCD">
      <w:pPr>
        <w:spacing w:line="240" w:lineRule="auto"/>
        <w:ind w:firstLine="640"/>
        <w:jc w:val="both"/>
      </w:pPr>
      <w:r>
        <w:rPr>
          <w:rFonts w:ascii="仿宋_GB2312" w:hAnsi="仿宋_GB2312" w:eastAsia="仿宋_GB2312"/>
          <w:b w:val="0"/>
          <w:sz w:val="32"/>
        </w:rPr>
        <w:t>一、《收入支出决算总表》</w:t>
      </w:r>
    </w:p>
    <w:p w14:paraId="3B9F67A8">
      <w:pPr>
        <w:spacing w:line="240" w:lineRule="auto"/>
        <w:ind w:firstLine="640"/>
        <w:jc w:val="both"/>
      </w:pPr>
      <w:r>
        <w:rPr>
          <w:rFonts w:ascii="仿宋_GB2312" w:hAnsi="仿宋_GB2312" w:eastAsia="仿宋_GB2312"/>
          <w:b w:val="0"/>
          <w:sz w:val="32"/>
        </w:rPr>
        <w:t>二、《收入决算表》</w:t>
      </w:r>
    </w:p>
    <w:p w14:paraId="687B7FFB">
      <w:pPr>
        <w:spacing w:line="240" w:lineRule="auto"/>
        <w:ind w:firstLine="640"/>
        <w:jc w:val="both"/>
      </w:pPr>
      <w:r>
        <w:rPr>
          <w:rFonts w:ascii="仿宋_GB2312" w:hAnsi="仿宋_GB2312" w:eastAsia="仿宋_GB2312"/>
          <w:b w:val="0"/>
          <w:sz w:val="32"/>
        </w:rPr>
        <w:t>三、《支出决算表》</w:t>
      </w:r>
    </w:p>
    <w:p w14:paraId="647494F7">
      <w:pPr>
        <w:spacing w:line="240" w:lineRule="auto"/>
        <w:ind w:firstLine="640"/>
        <w:jc w:val="both"/>
      </w:pPr>
      <w:r>
        <w:rPr>
          <w:rFonts w:ascii="仿宋_GB2312" w:hAnsi="仿宋_GB2312" w:eastAsia="仿宋_GB2312"/>
          <w:b w:val="0"/>
          <w:sz w:val="32"/>
        </w:rPr>
        <w:t>四、《财政拨款收入支出决算总表》</w:t>
      </w:r>
    </w:p>
    <w:p w14:paraId="18DEB5CE">
      <w:pPr>
        <w:spacing w:line="240" w:lineRule="auto"/>
        <w:ind w:firstLine="640"/>
        <w:jc w:val="both"/>
      </w:pPr>
      <w:r>
        <w:rPr>
          <w:rFonts w:ascii="仿宋_GB2312" w:hAnsi="仿宋_GB2312" w:eastAsia="仿宋_GB2312"/>
          <w:b w:val="0"/>
          <w:sz w:val="32"/>
        </w:rPr>
        <w:t>五、《一般公共预算财政拨款支出决算表》</w:t>
      </w:r>
    </w:p>
    <w:p w14:paraId="69C0654E">
      <w:pPr>
        <w:spacing w:line="240" w:lineRule="auto"/>
        <w:ind w:firstLine="640"/>
        <w:jc w:val="both"/>
      </w:pPr>
      <w:r>
        <w:rPr>
          <w:rFonts w:ascii="仿宋_GB2312" w:hAnsi="仿宋_GB2312" w:eastAsia="仿宋_GB2312"/>
          <w:b w:val="0"/>
          <w:sz w:val="32"/>
        </w:rPr>
        <w:t>六、《一般公共预算财政拨款基本支出决算表》</w:t>
      </w:r>
    </w:p>
    <w:p w14:paraId="323B2261">
      <w:pPr>
        <w:spacing w:line="240" w:lineRule="auto"/>
        <w:ind w:firstLine="640"/>
        <w:jc w:val="both"/>
      </w:pPr>
      <w:r>
        <w:rPr>
          <w:rFonts w:ascii="仿宋_GB2312" w:hAnsi="仿宋_GB2312" w:eastAsia="仿宋_GB2312"/>
          <w:b w:val="0"/>
          <w:sz w:val="32"/>
        </w:rPr>
        <w:t>七、《政府性基金预算财政拨款收入支出决算表》</w:t>
      </w:r>
    </w:p>
    <w:p w14:paraId="5726FE76">
      <w:pPr>
        <w:spacing w:line="240" w:lineRule="auto"/>
        <w:ind w:firstLine="640"/>
        <w:jc w:val="both"/>
      </w:pPr>
      <w:r>
        <w:rPr>
          <w:rFonts w:ascii="仿宋_GB2312" w:hAnsi="仿宋_GB2312" w:eastAsia="仿宋_GB2312"/>
          <w:b w:val="0"/>
          <w:sz w:val="32"/>
        </w:rPr>
        <w:t>八、《国有资本经营预算财政拨款收入支出决算表》</w:t>
      </w:r>
    </w:p>
    <w:p w14:paraId="774A0A69">
      <w:pPr>
        <w:spacing w:line="240" w:lineRule="auto"/>
        <w:ind w:firstLine="640"/>
        <w:jc w:val="both"/>
      </w:pPr>
      <w:r>
        <w:rPr>
          <w:rFonts w:ascii="仿宋_GB2312" w:hAnsi="仿宋_GB2312" w:eastAsia="仿宋_GB2312"/>
          <w:b w:val="0"/>
          <w:sz w:val="32"/>
        </w:rPr>
        <w:t>九、《财政拨款“三公”经费支出决算表》</w:t>
      </w:r>
    </w:p>
    <w:p w14:paraId="4E4CB4AA">
      <w:pPr>
        <w:spacing w:line="240" w:lineRule="auto"/>
        <w:ind w:firstLine="640"/>
        <w:jc w:val="both"/>
      </w:pPr>
    </w:p>
    <w:p w14:paraId="2FC52CF3">
      <w:pPr>
        <w:spacing w:line="240" w:lineRule="auto"/>
        <w:ind w:firstLine="640"/>
        <w:jc w:val="both"/>
      </w:pPr>
    </w:p>
    <w:p w14:paraId="55AA3612">
      <w:pPr>
        <w:spacing w:line="240" w:lineRule="auto"/>
        <w:ind w:firstLine="640"/>
        <w:jc w:val="both"/>
      </w:pPr>
    </w:p>
    <w:p w14:paraId="0E6F1C8A">
      <w:pPr>
        <w:spacing w:line="240" w:lineRule="auto"/>
        <w:ind w:firstLine="640"/>
        <w:jc w:val="both"/>
      </w:pPr>
    </w:p>
    <w:p w14:paraId="42701C7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A8F8B5-B55D-4C27-918E-6276C553E4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15AC2DF-B870-4FF8-94B2-5BF4F85DC973}"/>
  </w:font>
  <w:font w:name="方正小标宋_GBK">
    <w:panose1 w:val="02000000000000000000"/>
    <w:charset w:val="86"/>
    <w:family w:val="script"/>
    <w:pitch w:val="default"/>
    <w:sig w:usb0="A00002BF" w:usb1="38CF7CFA" w:usb2="00082016" w:usb3="00000000" w:csb0="00040001" w:csb1="00000000"/>
    <w:embedRegular r:id="rId3" w:fontKey="{244ADD5A-1F37-4B68-A56D-F149D1EB8DBB}"/>
  </w:font>
  <w:font w:name="楷体_GB2312">
    <w:panose1 w:val="02010609030101010101"/>
    <w:charset w:val="86"/>
    <w:family w:val="auto"/>
    <w:pitch w:val="default"/>
    <w:sig w:usb0="00000001" w:usb1="080E0000" w:usb2="00000000" w:usb3="00000000" w:csb0="00040000" w:csb1="00000000"/>
    <w:embedRegular r:id="rId4" w:fontKey="{1B88B153-C56B-4060-B270-B618D7F312E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CD27EF"/>
    <w:rsid w:val="0F9811B3"/>
    <w:rsid w:val="11E15093"/>
    <w:rsid w:val="120E0809"/>
    <w:rsid w:val="19071D6C"/>
    <w:rsid w:val="19B5554D"/>
    <w:rsid w:val="1B8F2D19"/>
    <w:rsid w:val="1C317E4F"/>
    <w:rsid w:val="1C472464"/>
    <w:rsid w:val="1D491D3F"/>
    <w:rsid w:val="1DAF458D"/>
    <w:rsid w:val="1E086ACE"/>
    <w:rsid w:val="1E4B5CA5"/>
    <w:rsid w:val="1EAA4A5F"/>
    <w:rsid w:val="1F587A0B"/>
    <w:rsid w:val="1F6A725F"/>
    <w:rsid w:val="2064678E"/>
    <w:rsid w:val="20BC0B75"/>
    <w:rsid w:val="20DD6197"/>
    <w:rsid w:val="21F317F2"/>
    <w:rsid w:val="2241392C"/>
    <w:rsid w:val="2297741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16623C"/>
    <w:rsid w:val="326F0A17"/>
    <w:rsid w:val="3277581B"/>
    <w:rsid w:val="3688251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4B7048"/>
    <w:rsid w:val="73423603"/>
    <w:rsid w:val="737A5923"/>
    <w:rsid w:val="73DE4104"/>
    <w:rsid w:val="73FB6630"/>
    <w:rsid w:val="74585CAE"/>
    <w:rsid w:val="74CE04EC"/>
    <w:rsid w:val="74E76DCD"/>
    <w:rsid w:val="76660D7C"/>
    <w:rsid w:val="77ED6F44"/>
    <w:rsid w:val="795A0A34"/>
    <w:rsid w:val="7A0D3BC7"/>
    <w:rsid w:val="7A3A3CDB"/>
    <w:rsid w:val="7BBB00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6696</Words>
  <Characters>7607</Characters>
  <Lines>0</Lines>
  <Paragraphs>0</Paragraphs>
  <TotalTime>11</TotalTime>
  <ScaleCrop>false</ScaleCrop>
  <LinksUpToDate>false</LinksUpToDate>
  <CharactersWithSpaces>7615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