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both"/>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方正小标宋_GBK" w:eastAsia="方正小标宋_GBK" w:hAnsi="华文中宋" w:cs="宋体"/>
          <w:b/>
          <w:kern w:val="0"/>
          <w:sz w:val="44"/>
          <w:szCs w:val="44"/>
        </w:rPr>
      </w:pPr>
      <w:r>
        <w:rPr>
          <w:rFonts w:ascii="方正小标宋_GBK" w:eastAsia="方正小标宋_GBK" w:hAnsi="华文中宋" w:cs="宋体" w:hint="eastAsia"/>
          <w:b/>
          <w:kern w:val="0"/>
          <w:sz w:val="44"/>
          <w:szCs w:val="44"/>
        </w:rPr>
        <w:t xml:space="preserve"> 部门单位项目支出绩效评价报告</w:t>
      </w:r>
    </w:p>
    <w:p>
      <w:pPr>
        <w:spacing w:line="570" w:lineRule="exact"/>
        <w:jc w:val="center"/>
        <w:rPr>
          <w:rFonts w:ascii="华文中宋" w:eastAsia="华文中宋" w:hAnsi="华文中宋" w:cs="宋体"/>
          <w:b/>
          <w:kern w:val="0"/>
          <w:sz w:val="52"/>
          <w:szCs w:val="52"/>
        </w:rPr>
      </w:pPr>
    </w:p>
    <w:p>
      <w:pPr>
        <w:spacing w:line="57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仿宋_GB2312" w:eastAsia="仿宋_GB2312" w:hAnsi="楷体" w:hint="eastAsia"/>
          <w:spacing w:val="-4"/>
          <w:sz w:val="32"/>
          <w:szCs w:val="32"/>
        </w:rPr>
        <w:t xml:space="preserve">2024</w:t>
      </w:r>
      <w:r>
        <w:rPr>
          <w:rFonts w:ascii="方正仿宋_GBK" w:eastAsia="方正仿宋_GBK" w:hAnsi="宋体" w:cs="宋体" w:hint="eastAsia"/>
          <w:kern w:val="0"/>
          <w:sz w:val="36"/>
          <w:szCs w:val="36"/>
        </w:rPr>
        <w:t xml:space="preserve"> </w:t>
      </w:r>
      <w:r>
        <w:rPr>
          <w:rFonts w:eastAsia="仿宋_GB2312" w:hAnsi="宋体" w:cs="宋体" w:hint="eastAsia"/>
          <w:kern w:val="0"/>
          <w:sz w:val="36"/>
          <w:szCs w:val="36"/>
        </w:rPr>
        <w:t xml:space="preserve"> 年度）</w:t>
      </w: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70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项目名称：</w:t>
      </w:r>
      <w:r>
        <w:rPr>
          <w:rStyle w:val="Strong"/>
          <w:rFonts w:ascii="仿宋" w:eastAsia="仿宋" w:hAnsi="仿宋" w:cs="仿宋" w:hint="eastAsia"/>
          <w:b w:val="0"/>
          <w:bCs w:val="0"/>
          <w:spacing w:val="-4"/>
          <w:sz w:val="32"/>
          <w:szCs w:val="32"/>
        </w:rPr>
        <w:t xml:space="preserve">中介机构投资评审项目费用</w:t>
      </w:r>
    </w:p>
    <w:p>
      <w:pPr>
        <w:spacing w:line="57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实施单位（公章）：</w:t>
      </w:r>
      <w:r>
        <w:rPr>
          <w:rStyle w:val="Strong"/>
          <w:rFonts w:ascii="仿宋" w:eastAsia="仿宋" w:hAnsi="仿宋" w:cs="仿宋" w:hint="eastAsia"/>
          <w:b w:val="0"/>
          <w:bCs w:val="0"/>
          <w:spacing w:val="-4"/>
          <w:sz w:val="32"/>
          <w:szCs w:val="32"/>
        </w:rPr>
        <w:t xml:space="preserve">新疆维吾尔自治区喀什地区财政局</w:t>
      </w:r>
    </w:p>
    <w:p>
      <w:pPr>
        <w:spacing w:line="540" w:lineRule="exact"/>
        <w:ind w:firstLine="360" w:firstLineChars="100"/>
        <w:rPr>
          <w:rFonts w:ascii="仿宋" w:eastAsia="仿宋" w:hAnsi="仿宋" w:cs="仿宋" w:hint="eastAsia"/>
          <w:spacing w:val="-4"/>
          <w:sz w:val="32"/>
          <w:szCs w:val="32"/>
        </w:rPr>
      </w:pPr>
      <w:r>
        <w:rPr>
          <w:rFonts w:ascii="仿宋" w:eastAsia="仿宋" w:hAnsi="仿宋" w:cs="仿宋" w:hint="eastAsia"/>
          <w:kern w:val="0"/>
          <w:sz w:val="36"/>
          <w:szCs w:val="36"/>
        </w:rPr>
        <w:t xml:space="preserve">主管部门（公章）：</w:t>
      </w:r>
      <w:r>
        <w:rPr>
          <w:rStyle w:val="Strong"/>
          <w:rFonts w:ascii="仿宋" w:eastAsia="仿宋" w:hAnsi="仿宋" w:cs="仿宋" w:hint="eastAsia"/>
          <w:b w:val="0"/>
          <w:bCs w:val="0"/>
          <w:spacing w:val="-4"/>
          <w:sz w:val="32"/>
          <w:szCs w:val="32"/>
        </w:rPr>
        <w:t xml:space="preserve">喀什地区财政局</w:t>
      </w:r>
    </w:p>
    <w:p>
      <w:pPr>
        <w:spacing w:line="570" w:lineRule="exact"/>
        <w:ind w:firstLine="360" w:firstLineChars="100"/>
        <w:rPr>
          <w:rFonts w:ascii="仿宋" w:eastAsia="仿宋" w:hAnsi="仿宋" w:cs="仿宋"/>
          <w:spacing w:val="-4"/>
          <w:sz w:val="32"/>
          <w:szCs w:val="32"/>
        </w:rPr>
      </w:pPr>
      <w:r>
        <w:rPr>
          <w:rFonts w:ascii="仿宋" w:eastAsia="仿宋" w:hAnsi="仿宋" w:cs="仿宋" w:hint="eastAsia"/>
          <w:kern w:val="0"/>
          <w:sz w:val="36"/>
          <w:szCs w:val="36"/>
        </w:rPr>
        <w:t xml:space="preserve">项目负责人（签章）：</w:t>
      </w:r>
      <w:r>
        <w:rPr>
          <w:rStyle w:val="Strong"/>
          <w:rFonts w:ascii="仿宋" w:eastAsia="仿宋" w:hAnsi="仿宋" w:cs="仿宋" w:hint="eastAsia"/>
          <w:b w:val="0"/>
          <w:bCs w:val="0"/>
          <w:spacing w:val="-4"/>
          <w:sz w:val="32"/>
          <w:szCs w:val="32"/>
        </w:rPr>
        <w:t xml:space="preserve">谢志勇</w:t>
      </w:r>
    </w:p>
    <w:p>
      <w:pPr>
        <w:spacing w:line="540" w:lineRule="exact"/>
        <w:ind w:firstLine="360" w:firstLineChars="100"/>
        <w:rPr>
          <w:rStyle w:val="Strong"/>
          <w:rFonts w:ascii="仿宋" w:eastAsia="仿宋" w:hAnsi="仿宋" w:cs="仿宋" w:hint="eastAsia"/>
          <w:b w:val="0"/>
          <w:bCs w:val="0"/>
          <w:spacing w:val="-4"/>
          <w:sz w:val="32"/>
          <w:szCs w:val="32"/>
        </w:rPr>
      </w:pPr>
      <w:r>
        <w:rPr>
          <w:rFonts w:ascii="仿宋" w:eastAsia="仿宋" w:hAnsi="仿宋" w:cs="仿宋" w:hint="eastAsia"/>
          <w:kern w:val="0"/>
          <w:sz w:val="36"/>
          <w:szCs w:val="36"/>
        </w:rPr>
        <w:t xml:space="preserve">填报时间：</w:t>
      </w:r>
      <w:r>
        <w:rPr>
          <w:rStyle w:val="Strong"/>
          <w:rFonts w:ascii="仿宋" w:eastAsia="仿宋" w:hAnsi="仿宋" w:cs="仿宋" w:hint="eastAsia"/>
          <w:b w:val="0"/>
          <w:bCs w:val="0"/>
          <w:spacing w:val="-4"/>
          <w:sz w:val="32"/>
          <w:szCs w:val="32"/>
        </w:rPr>
        <w:t xml:space="preserve">2025年03月12日</w:t>
      </w:r>
    </w:p>
    <w:p>
      <w:pPr>
        <w:rPr>
          <w:rStyle w:val="Strong"/>
          <w:rFonts w:ascii="仿宋" w:eastAsia="仿宋" w:hAnsi="仿宋" w:cs="仿宋" w:hint="eastAsia"/>
          <w:b w:val="0"/>
          <w:bCs w:val="0"/>
          <w:spacing w:val="-4"/>
          <w:sz w:val="32"/>
          <w:szCs w:val="32"/>
        </w:rPr>
      </w:pPr>
      <w:r>
        <w:br w:type="page"/>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一、基本情况</w:t>
      </w:r>
    </w:p>
    <w:p>
      <w:pPr>
        <w:spacing w:line="570" w:lineRule="exact"/>
        <w:ind w:firstLine="640" w:firstLineChars="200"/>
        <w:rPr>
          <w:rStyle w:val="Strong"/>
          <w:rFonts w:ascii="方正楷体_GBK" w:eastAsia="方正楷体_GBK" w:hAnsi="方正楷体_GBK" w:cs="方正楷体_GBK"/>
          <w:bCs w:val="0"/>
          <w:spacing w:val="-4"/>
          <w:sz w:val="32"/>
          <w:szCs w:val="32"/>
        </w:rPr>
      </w:pPr>
      <w:r>
        <w:rPr>
          <w:rStyle w:val="Strong"/>
          <w:rFonts w:ascii="楷体" w:eastAsia="楷体" w:hAnsi="楷体" w:cs="楷体" w:hint="eastAsia"/>
          <w:bCs w:val="0"/>
          <w:spacing w:val="-4"/>
          <w:sz w:val="32"/>
          <w:szCs w:val="32"/>
        </w:rPr>
        <w:t xml:space="preserve">（一）项目概况。包括项目背景、主要内容及实施情况、资金投入和使用情况等。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 项目背景</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遵循财政部《项目支出绩效评价管理办法》（财预〔2020〕10号）和自治区财政厅《自治区财政支出绩效评价管理暂行办法》（新财预〔2018〕189号）等相关政策文件与规定，中介机构投资评审项目项目的实施可以进一步加强我区财政投资评审及绩效管理工作，规范财政投资评审行为，提高财政资金使用效益，充分发挥财政投资评审在项目建设中的监督管理作用，加大项目评审质量，提高资金使用效率，节约社会成本。</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主要内容及实施情况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内容：为进一步加强我区财政投资评审及绩效管理工作，规范财政投资评审行为，提高财政资金使用效益，充分发挥财政投资评审在项目建设中的监督管理作用，加大项目评审质量，提高资金使用效率，节约社会成本，2024年委托社会中介机构进行投资项目评审，用于投资评审费用支出，全年喀什地区财政局投资评审中心累计完成投资评审项目51个，送审金额为102627.66万元、审定金额93881.95万元、审减金额8745.72万元，审减率8.52%，支出评审费为167.87万元，出具评审报告合格率100%。加强了我区财政投资评审及绩效管理工作，规范了财政投资评审行为，提高了财政资金使用效益，充分发挥财政投资评审在项目建设中的监督管理作用，加大项目评审质量，提高了资金使用效率，节约了社会成本。</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实施时间：2024年1月1日至12月25日。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3.项目实施主体</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新疆维吾尔自治区喀什地区财政局。</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 资金投入和使用情况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根据喀地财发〔2024〕1号共安排下达资金260万元，为中介机构投资评审项目资金，最终确定项目资金总数为200万元。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截至2023年12月31日，实际支出167.87万元，预算执行率64.57%。</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（二）项目绩效目标。包括总体目标和阶段性目标。</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1.项目绩效总目标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为进一步加强我区财政投资评审及绩效管理工作，规范财政投资评审行为，提高财政资金使用效益，充分发挥财政投资评审在项目建设中的监督管理作用，加大项目评审质量，提高资金使用效率，节约社会成本。</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2.阶段性目标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的前期准备工作：2023年我局委托中介机构进行政府投资项目评审，1月至6月份，完成投资评审项目21个，送审金额97011.44万元，已支付评审费用108.84万元。6月至8月份，完成投资评审项目27个，送审金额35079.41万元，需要支付评审费用76.17万元。9月至12月份，预计还评审项目20个，根据已评审项目费用的平均值，预计还需要支付评审费用60万元。根据2023年评审费用支出及预计2024年项目投资额略有上升的情况，申请2024年投资评审费用260万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具体实施工作：2024年委托社会中介机构进行投资项目评审，用于投资评审费用支出，全年完成喀什地区本级51个财政投资项目评审工作，51个项目送审金额为102627.66万元、审定金额93881.95万元、审减金额8745.72万元，审减率8.52%，支出评审费为167.87万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验收阶段的具体工作：通过对51个政府投资项目进行评审，为进一步加强我区财政投资评审及绩效管理工作，规范财政投资评审行为，提高财政资金使用效益，充分发挥财政投资评审在项目建设中的监督管理作用，加大项目评审质量，提高资金使用效率，节约社会成本。</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二、绩效评价工作开展情况</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（一）绩效评价目的、对象</w:t>
      </w:r>
      <w:r>
        <w:rPr>
          <w:rStyle w:val="Strong"/>
          <w:rFonts w:ascii="楷体" w:eastAsia="楷体" w:hAnsi="楷体" w:cs="楷体" w:hint="eastAsia"/>
          <w:bCs w:val="0"/>
          <w:spacing w:val="-4"/>
          <w:sz w:val="32"/>
          <w:szCs w:val="32"/>
          <w:lang w:eastAsia="zh-CN"/>
        </w:rPr>
        <w:t xml:space="preserve">、时间和</w:t>
      </w:r>
      <w:r>
        <w:rPr>
          <w:rStyle w:val="Strong"/>
          <w:rFonts w:ascii="楷体" w:eastAsia="楷体" w:hAnsi="楷体" w:cs="楷体" w:hint="eastAsia"/>
          <w:bCs w:val="0"/>
          <w:spacing w:val="-4"/>
          <w:sz w:val="32"/>
          <w:szCs w:val="32"/>
        </w:rPr>
        <w:t xml:space="preserve">范围。</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 绩效评价目的</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本次绩效评价遵循财政部《项目支出绩效评价管理办法》（财预〔2020〕10号）、《关于印发〈中央部门项目支出核心绩效目标和指标设置及取值指引（试行）〉的通知》（财预〔2021〕101号）</w:t>
      </w:r>
      <w:r>
        <w:rPr>
          <w:rStyle w:val="Strong"/>
          <w:rFonts w:ascii="仿宋" w:eastAsia="仿宋" w:hAnsi="仿宋" w:cs="仿宋" w:hint="eastAsia"/>
          <w:b w:val="0"/>
          <w:bCs w:val="0"/>
          <w:spacing w:val="-4"/>
          <w:sz w:val="32"/>
          <w:szCs w:val="32"/>
        </w:rPr>
        <w:t xml:space="preserve">以及</w:t>
      </w:r>
      <w:r>
        <w:rPr>
          <w:rStyle w:val="Strong"/>
          <w:rFonts w:ascii="仿宋" w:eastAsia="仿宋" w:hAnsi="仿宋" w:cs="仿宋" w:hint="eastAsia"/>
          <w:b w:val="0"/>
          <w:bCs w:val="0"/>
          <w:spacing w:val="-4"/>
          <w:sz w:val="32"/>
          <w:szCs w:val="32"/>
        </w:rPr>
        <w:t xml:space="preserve">自治区财政厅《关于印发〈自治区项目支出绩效目标设置指引〉的通知》（新财预〔2022〕42号）、《自治区财政支出绩效评价管理暂行办法》（新财预〔2018〕189号）等相关政策文件与规定，旨在评价财政项目实施前期、过程及效果，评价财政预算资金使用的效率及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通过此次绩效评价，发现预算资金在项目立项、执行管理中制度保障、实际操作方面的缺陷和薄弱环节，总结项目管理经验，完善项目管理办法，提高项目管理水平和资金使用效益。同时可根据绩效评价中发现的问题，调整工作计划，完善绩效目标，加强项目管理，提高管理水平，为下一年预算编制与评审提供充分有效的依据，以达到改进预算管理、优化资源配置、提高预算资金使用效益的目的。</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绩效评价对象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和《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 绩效评价范围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（二）绩效评价原则、评价指标体系（附表说明）、评价方法、评价标准等。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 绩效评价原则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本次绩效评价遵循的原则包括：</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（1）科学公正。绩效评价应当运用科学合理的方法，按照规范的程序，对项目绩效进行客观、公正的反映。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（4）公开透明。绩效评价结果应依法依规公开，并自觉接受社会监督。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绩效评价指标体系</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效益满意度3个一级指标，其中：产出下设产出数量、产出质量、产出时效、产出成本4个2级指标，效益下设项目效益1个二级指标，满意度下设项满意度1个二级指标。项目绩效评价体系详见附件1。</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中介机构投资评审项目费用评分表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 二级指标   三级指标               得分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决策（15分） 项目立项（5分）   立项依据充分性（3分）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立项程序（2分）  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绩效目标（5分）   绩效目标合理性（3分）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绩效指标明确性（2分）  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资金投入（5分）   预算编制（3分）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资金分配合理性（2分）         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过程（20分） 资金管理（10分）  资金到位率（3分）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预算执行率（3分）  1.94</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资金使用合规性（4分）  4</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组织实施（10分）  管理制度健全性（5分）  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制度执行（5分）  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产出（45分） 产出数量（10分）  实际完成率（10分）  0.94</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产出质量（10分）  质量达标率（10分）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产出时效（10分）  完成及时性（10分）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产出成本（15分）  成本节约率（15分）  10.79</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效益（10分） 项目效益（10分）  实施效益（10分）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满意度（10分） 满意度（10分）   满意度（10分）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权重分值：100分</w:t>
        <w:tab/>
        <w:tab/>
        <w:t xml:space="preserve">            总得分    </w:t>
        <w:tab/>
        <w:t xml:space="preserve">85.67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 绩效评价方法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本次评价采用定量与定性评价相结合的比较法和公众评判法，总分由各项指标得分汇总形成。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比较法：是指通过对绩效目标与实施效果、历史与当期情况、不同部门和地区同类支出的比较，综合分析绩效目标实现程度。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公众评判法：是指通过专家评估、公众问卷及抽样调查等对财政支出效果进行评判，评价绩效目标实现程度。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 绩效评价标准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绩效评价标准通常包括计划标准、行业标准、历史标准等，用于对绩效指标完成情况进行比较、分析、评价。本次评价主要采用了计划标准。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计划标准：指以预先制定的目标、计划、预算、定额等作为评价标准。</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（三）绩效评价工作过程。</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第一阶段：前期准备。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我单位绩效评价人员根据《项目支出绩效评价管理办法》（财预〔2020〕10号）文件精神认真学习相关要求与规定，成立绩效评价工作组，作为绩效评价工作具体实施机构。成员构成如下：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王绍华任评价组组长，绩效评价工作职责为负责全盘工作。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杜瑞任评价组副组长，绩效评价工作职责为为对项目实施情况进行实地调查。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谢志勇任评价组成员，绩效评价工作职责为负责资料审核等工作。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第二阶段：组织实施。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经评价组通过实地调研、查阅资料等方式，采用综合分析法对项目的决策、管理、绩效进行的综合评价分析。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第三阶段：分析评价。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首先按照指标体系进行定量、定性分析。其次开展量化打分、综合评价工作，形成初步评价结论。最后归纳整体项目情况与存在问题，撰写部门绩效评价报告。</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三、综合评价情况及评价结论</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（一）综合评价情况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通过实施中介机构投资评审项目提高资金使用效率，节约社会成本。项目实施主要通过项目决策、项目过程、项目产出以及项目效益等方面进行评价，其中：</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项目决策：该项目主要通过按照</w:t>
      </w:r>
      <w:r>
        <w:rPr>
          <w:rStyle w:val="Strong"/>
          <w:rFonts w:ascii="仿宋" w:eastAsia="仿宋" w:hAnsi="仿宋" w:cs="仿宋" w:hint="eastAsia"/>
          <w:b w:val="0"/>
          <w:bCs w:val="0"/>
          <w:spacing w:val="-4"/>
          <w:sz w:val="32"/>
          <w:szCs w:val="32"/>
        </w:rPr>
        <w:t xml:space="preserve">《中华人民共和国预算法》</w:t>
      </w:r>
      <w:r>
        <w:rPr>
          <w:rStyle w:val="Strong"/>
          <w:rFonts w:ascii="仿宋" w:eastAsia="仿宋" w:hAnsi="仿宋" w:cs="仿宋" w:hint="eastAsia"/>
          <w:b w:val="0"/>
          <w:bCs w:val="0"/>
          <w:spacing w:val="-4"/>
          <w:sz w:val="32"/>
          <w:szCs w:val="32"/>
        </w:rPr>
        <w:t xml:space="preserve">管理财政预算资金，按照地区财政局资金管理办法及资金支付审批流程依据项目计划和实施进度，项目立项依据充分，立项程序规范。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项目过程：中介机构投资评审项目预算安排 260万元，实际支出167.87万元，预算执行率64.57%。项目资金使用合规，项目财务管理制度健全，财务监控到位，所有资金支付均按照国库集中支付制度严格执行，现有项目管理制度执行情况良好。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项目产出：2024年，喀什地区财政局投资评审中心累计完成投资评审项目51个。</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项目效益：通过实施此项目提高财政资金使用效益，充分发挥财政投资评审在项目建设中的监督管理作用，加大项目评审质量，提高资金使用效率，节约社会成本。</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（二）综合评价结论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中介机构投资评审项目进行客观评价，最终评分结果：评价总分85.67分，绩效等级为“良”。</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中介机构投资评审项目费用绩效评价评分汇总表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 标准分值 得分 得分率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决策指标       15 15 100.00%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过程指标       20 18.94 94.70%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产出指标       45 31.73 70.51%</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效益指标       20 20 100.00%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              100 85.67 85.67%</w:t>
      </w:r>
    </w:p>
    <w:p>
      <w:pPr>
        <w:spacing w:line="570" w:lineRule="exact"/>
        <w:ind w:firstLine="640" w:firstLineChars="200"/>
        <w:rPr>
          <w:rStyle w:val="Strong"/>
          <w:rFonts w:ascii="黑体" w:eastAsia="黑体" w:hAnsi="黑体" w:cs="黑体"/>
          <w:b w:val="0"/>
          <w:sz w:val="32"/>
          <w:szCs w:val="32"/>
        </w:rPr>
      </w:pPr>
      <w:r>
        <w:rPr>
          <w:rStyle w:val="Strong"/>
          <w:rFonts w:ascii="黑体" w:eastAsia="黑体" w:hAnsi="黑体" w:cs="黑体" w:hint="eastAsia"/>
          <w:b w:val="0"/>
          <w:spacing w:val="-4"/>
          <w:sz w:val="32"/>
          <w:szCs w:val="32"/>
        </w:rPr>
        <w:t xml:space="preserve">四、绩效评价指标分析 </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（一）项目决策情况。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（一）项目决策情况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项目决策类指标包括项目立项、绩效目标和资金投入三方面的内容，由6个三级指标构成，权重分为15分，实际得分15分，得分率为100%。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（1）立项依据充分性：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本项目立项符合《财政投资评审管理规定》（财建[2009]648号）；本项目立项符合《</w:t>
      </w:r>
      <w:r>
        <w:rPr>
          <w:rStyle w:val="Strong"/>
          <w:rFonts w:ascii="仿宋" w:eastAsia="仿宋" w:hAnsi="仿宋" w:cs="仿宋" w:hint="eastAsia"/>
          <w:b w:val="0"/>
          <w:bCs w:val="0"/>
          <w:spacing w:val="-4"/>
          <w:sz w:val="32"/>
          <w:szCs w:val="32"/>
        </w:rPr>
        <w:t xml:space="preserve">新疆维吾尔自治区</w:t>
      </w:r>
      <w:r>
        <w:rPr>
          <w:rStyle w:val="Strong"/>
          <w:rFonts w:ascii="仿宋" w:eastAsia="仿宋" w:hAnsi="仿宋" w:cs="仿宋" w:hint="eastAsia"/>
          <w:b w:val="0"/>
          <w:bCs w:val="0"/>
          <w:spacing w:val="-4"/>
          <w:sz w:val="32"/>
          <w:szCs w:val="32"/>
        </w:rPr>
        <w:t xml:space="preserve">工程造价咨询服务收费管理规定》的通知、（新计价房[2002]866号），符合行业发展规划和政策要求；根据《财政资金直接支付申请书》，本项目资金性质为“财政拨款”功能分类为“2010602”经济分类为“行政运行”属于公共财政支持范围，符合中央、地方事权支出责任划分原则；经检查我单位财政应用平台指标，本项目不存在重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综上所述，本指标满分为3.00分，根据评分标准得3.00分，该指标不扣分，本项目立项依据充分。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（2）立项程序规范性：根据决策依据编制工作计划和经费预算，经过与党组会研究确定最终预算方案。经查看，该项目申请设立过程产生的相关文件，符合相关要求，根据评分标准，该指标不扣分，得2分。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（3）绩效目标合理性：制定了《中介机构投资评审项目实施方案》，明确了总体思路及目标、并对任务进行了详细分解，对目标进行了细化，根据评分标准，该指标不扣分，得3分。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（4）绩效指标明确性：将中介机构投资评审项目项目绩效目标细化分解为具体的绩效指标，一级指标4个，二级指标6个，三级指标8个，根据评分标准，该指标不扣分，得2分。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（5）预算编制科学性： 预算编制经过科学论证，2023年我局委托中介机构进行政府投资项目评审，1月至6月份，完成投资评审项目21个，送审金额97011.44万元，，按照新计价房【2002】866号文下浮30%计算，已支付评审费用108.84万元。6月至8月份，完成投资评审项目27个，送审金额35079.41万元，按照按照新计价房【2002】866号文下浮30%计算，已支付评审费用76.17万元，9月至12月份，预计还评审项目20个，根据已评审项目费用的平均值，预计还需要支付评审费用60万元。根据2023年评审费用支出及预计2024年项目投资额略有上升的情况，综合全年完成政府投资项目情况，申请2024年投资评审费用260万元。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6）资金分配合理性：根据新疆维吾尔自治区发展计划委员会发布的新计价房[2002]866号文、社会中介机构与喀什地区财政局投资评审中心签订的造价咨询费协议书，按照文件要求对社会中介机构支付评审费，根据评分标准，该指标不扣分，得2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（二）项目过程情况。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（二）项目过程情况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项目过程类指标包括资金管理和组织实施两方面的内容，由 5个三级指标构成，权重分为20分，实际得分18.94分，得分率为94.70%。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资金到位率：本项目预算资金为260万元，其中：本级财政安排资金260万元，其他资金0万元，实际到位资金260万元，资金到位率=（实际到位资金/预算资金）×100.00%=（260/260）*100.00%=100%。得分=资金到位率*分值=100%*2=2分。预算安排到本项目的资金，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预算执行率：本项目实际到位资金260万元，实际支出资金167.87万元，预算执行率=（实际支出资金/实际到位资金）×100.00%=（167.87/260）*100.00%=64.57%。该项目预算编制较为详细，项目资金支出总体能够按照预算执行，根据评分标准，该指标扣1.06分，得1.94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（3）资金使用合规性：我单位严格按照《喀什地区</w:t>
      </w:r>
      <w:r>
        <w:rPr>
          <w:rStyle w:val="Strong"/>
          <w:rFonts w:ascii="仿宋" w:eastAsia="仿宋" w:hAnsi="仿宋" w:cs="仿宋" w:hint="eastAsia"/>
          <w:b w:val="0"/>
          <w:bCs w:val="0"/>
          <w:spacing w:val="-4"/>
          <w:sz w:val="32"/>
          <w:szCs w:val="32"/>
        </w:rPr>
        <w:t xml:space="preserve">财政部门</w:t>
      </w:r>
      <w:r>
        <w:rPr>
          <w:rStyle w:val="Strong"/>
          <w:rFonts w:ascii="仿宋" w:eastAsia="仿宋" w:hAnsi="仿宋" w:cs="仿宋" w:hint="eastAsia"/>
          <w:b w:val="0"/>
          <w:bCs w:val="0"/>
          <w:spacing w:val="-4"/>
          <w:sz w:val="32"/>
          <w:szCs w:val="32"/>
        </w:rPr>
        <w:t xml:space="preserve">单位预算绩效管理工作实施办法》，《喀什地区财政局财务管理制度》《预算管理制度》对资金进行管控和支付，每一笔资金的支付都是依据项目计划和实施进度,提前做好支付申请，并提供真实、合规的证明材料，经具体负责实施的分管领导、财务负责领导层层把关审批后，按照国库集中支付管理制度的规定和程序进行支付，做到专款专用，坚决杜绝挤占、挪用。对经费使用进行规范管理，财务制度健全、执行严格，根据评分标准，该指标不扣分，得4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管理制度健全性：该项目符合新建维吾尔自治区工程造价咨询服务收费管理规定》的通知、（新计价房[2002]866号），上述已建立的制度均符合行政事业单位内控管理要求，财务和业务管理制度合法、合规、完整，本项目执行符合上述制度规定。</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综上所述，根据评分标准得5分。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制度执行有效性：经对比分析本项目实际执行过程资料和已建立的项目管理制度和财务管理制度，得出本项目严格按照本单位已建立制度执行。项目资金支出严格按照自治区、地区、市以及本单位资金管理办法执行，项目启动实施后，为了加快本项目的实施，成立了专项业务费项目工作领导小组，由局党组书记王绍华任组长，负责项目的组织工作；局党组成员、副局长杜瑞任副组长，负责项目的实施工作；组员包括：谢志勇和库尔班江，主要负责项目监督管理、验收以及资金核拨等工作。综上所述，根据评分标准得5分，本项目所建立制度执行有效。</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（三）项目产出情况。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（三）项目产出情况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项目产出类指标包括产出数量、产出质量、产出时效、产出成本等四方面的内容，由7个三级指标构成，权重分为45分，实际得分31.73分，得分率为70.51%。</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（1）对于“产出数量”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中介机构投资评审项目”指标：预期目标值为大于等于80个，实际完成值为51个，指标完成率为63.75%，与预期目标存在偏差，偏差原因：项目数量变动预测不精准，改进措施：按照项目历年变动精准预测项目数量。根据评分标准，该指标扣9.06分，得0.94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（2）对于“产出质量”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“评审报告验收合格率”指标：预期目标值为等于100%，实际完成值为100%，指标完成率为100%，与预期目标一致，根据评分标准，该指标不扣分，得10分。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（3）对于“产出时效”：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“小型项目评审用时”指标：预期目标值为小于等于10天，实际完成值为10天，指标完成率为100%，与预期目标一致，根据评分标准，该指标不扣分，得3分。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“中型项目评审用时”指标：预期目标值为小于等于20天，实际完成值为20天，指标完成率为100%，与预期目标一致，根据评分标准，该指标不扣分，得3分。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“大型项目评审用时”指标：预期目标值为小于等于50天，实际完成值为50天，指标完成率为100%，与预期目标一致，根据评分标准，该指标不扣分，得4分。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（4）对于“产出成本”：</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“评审项目单位成本 ”指标：预期目标值为小于等于3.25万元/个，实际完成值为3.29万元/个，指标完成率为128.07%，与预期目标存在偏差，偏差原因：项目数量变动预测不精准，改进措施：按照项目历年变动精准预测项目数量。根据评分标准，该指标扣4.21分，得10.79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合计得10.79分。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（四）项目效益情况。</w:t>
      </w:r>
    </w:p>
    <w:p>
      <w:pPr>
        <w:spacing w:line="540" w:lineRule="exact"/>
        <w:ind w:firstLine="567"/>
        <w:rPr>
          <w:rStyle w:val="Strong"/>
          <w:rFonts w:ascii="仿宋" w:eastAsia="仿宋" w:hAnsi="仿宋" w:cs="仿宋" w:hint="eastAsia"/>
          <w:b w:val="0"/>
          <w:bCs w:val="0"/>
          <w:spacing w:val="-4"/>
          <w:sz w:val="32"/>
          <w:szCs w:val="32"/>
        </w:rPr>
      </w:pPr>
      <w:r>
        <w:rPr>
          <w:rStyle w:val="Strong"/>
          <w:rFonts w:ascii="仿宋" w:eastAsia="仿宋" w:hAnsi="仿宋" w:cs="仿宋" w:hint="eastAsia"/>
          <w:b w:val="0"/>
          <w:bCs w:val="0"/>
          <w:spacing w:val="-4"/>
          <w:sz w:val="32"/>
          <w:szCs w:val="32"/>
        </w:rPr>
        <w:t xml:space="preserve">（四）项目效益情况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项目效益类指标包括项目效益1个方面的内容，由2个三级指标构成，权重分为20分，实际得分20分，得分率为100%。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（1）对于“社会效益指标”：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加大项目评审质量，提高资金使用效率，节约社会成本指标，预期目标值为提高，实际完成值为提高，指标完成率为100%，根据评分标准，该指标不扣分，得10分。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w:t>
      </w:r>
      <w:r>
        <w:rPr>
          <w:rFonts w:ascii="楷体" w:eastAsia="楷体" w:hAnsi="楷体" w:cs="楷体" w:hint="eastAsia"/>
          <w:b/>
          <w:spacing w:val="-4"/>
          <w:sz w:val="32"/>
          <w:szCs w:val="32"/>
          <w:lang w:val="en-US" w:eastAsia="zh-CN"/>
        </w:rPr>
        <w:t xml:space="preserve">五</w:t>
      </w:r>
      <w:r>
        <w:rPr>
          <w:rFonts w:ascii="楷体" w:eastAsia="楷体" w:hAnsi="楷体" w:cs="楷体" w:hint="eastAsia"/>
          <w:b/>
          <w:spacing w:val="-4"/>
          <w:sz w:val="32"/>
          <w:szCs w:val="32"/>
        </w:rPr>
        <w:t xml:space="preserve">）满意度指标完成情况分析。</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满意度指标分析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对于“满意度指标：被评审单位满意度，该指标预期指标值为95%，实际完成值为100%，指标完成率为105.26%，与预期目标存在偏差，偏差原因：满意度指标目标值设置偏低，改进措施：结合实际情况合理设置目标值，根据评分标准，该指标不扣分,得10分。</w:t>
      </w:r>
    </w:p>
    <w:p>
      <w:pPr>
        <w:spacing w:line="570" w:lineRule="exact"/>
        <w:ind w:firstLine="640" w:firstLineChars="200"/>
        <w:rPr>
          <w:rStyle w:val="Strong"/>
          <w:rFonts w:ascii="黑体" w:eastAsia="黑体" w:hAnsi="黑体" w:cs="黑体"/>
          <w:b w:val="0"/>
          <w:spacing w:val="-4"/>
          <w:sz w:val="32"/>
          <w:szCs w:val="32"/>
        </w:rPr>
      </w:pPr>
      <w:bookmarkStart w:id="0" w:name="_GoBack"/>
      <w:bookmarkEnd w:id="0"/>
      <w:r>
        <w:rPr>
          <w:rStyle w:val="Strong"/>
          <w:rFonts w:ascii="黑体" w:eastAsia="黑体" w:hAnsi="黑体" w:cs="黑体" w:hint="eastAsia"/>
          <w:b w:val="0"/>
          <w:spacing w:val="-4"/>
          <w:sz w:val="32"/>
          <w:szCs w:val="32"/>
        </w:rPr>
        <w:t xml:space="preserve">五、预算执行进度与绩效指标偏差</w:t>
      </w:r>
    </w:p>
    <w:p>
      <w:pPr>
        <w:spacing w:line="540" w:lineRule="exact"/>
        <w:ind w:firstLine="567"/>
        <w:rPr>
          <w:rFonts w:ascii="仿宋" w:eastAsia="仿宋" w:hAnsi="仿宋" w:cs="仿宋"/>
          <w:spacing w:val="-4"/>
          <w:sz w:val="32"/>
          <w:szCs w:val="32"/>
        </w:rPr>
      </w:pPr>
      <w:r>
        <w:rPr>
          <w:rStyle w:val="Strong"/>
          <w:rFonts w:ascii="仿宋" w:eastAsia="仿宋" w:hAnsi="仿宋" w:cs="仿宋" w:hint="eastAsia"/>
          <w:b w:val="0"/>
          <w:bCs w:val="0"/>
          <w:spacing w:val="-4"/>
          <w:sz w:val="32"/>
          <w:szCs w:val="32"/>
        </w:rPr>
        <w:t xml:space="preserve">中介机构投资评审项目预算260万元，到位260万元，实际支出167.87万元，预算执行率为64.6%，项目绩效指标总体完成率为99.7%，偏差率为35.1%,偏差原因：（1）支付评审费时有些项目还没审完，导致部分资金未支付，采取的措施：加快项目评审进度，及时支付相关评审费；（2）每年项目变动较大，数量及单位成本无法准确预估，导致完成项目数量少于目标项目数量，单位成本高于目标值。改进措施：项目开展前做前期调研，后期尽量精准预算项目数量及单位成本。</w:t>
      </w:r>
    </w:p>
    <w:p>
      <w:pPr>
        <w:spacing w:line="570" w:lineRule="exact"/>
        <w:ind w:firstLine="640" w:firstLineChars="200"/>
        <w:rPr>
          <w:rStyle w:val="Strong"/>
          <w:rFonts w:ascii="黑体" w:eastAsia="黑体" w:hAnsi="黑体" w:cs="黑体" w:hint="eastAsia"/>
          <w:b w:val="0"/>
          <w:spacing w:val="-4"/>
          <w:sz w:val="32"/>
          <w:szCs w:val="32"/>
          <w:lang w:eastAsia="zh-CN"/>
        </w:rPr>
      </w:pPr>
      <w:r>
        <w:rPr>
          <w:rStyle w:val="Strong"/>
          <w:rFonts w:ascii="黑体" w:eastAsia="黑体" w:hAnsi="黑体" w:cs="黑体" w:hint="eastAsia"/>
          <w:b w:val="0"/>
          <w:spacing w:val="-4"/>
          <w:sz w:val="32"/>
          <w:szCs w:val="32"/>
        </w:rPr>
        <w:t xml:space="preserve">六、主要经验及做法、存在的问题及原因分析</w:t>
      </w:r>
      <w:r>
        <w:rPr>
          <w:rStyle w:val="Strong"/>
          <w:rFonts w:ascii="黑体" w:eastAsia="黑体" w:hAnsi="黑体" w:cs="黑体" w:hint="eastAsia"/>
          <w:b w:val="0"/>
          <w:spacing w:val="-4"/>
          <w:sz w:val="32"/>
          <w:szCs w:val="32"/>
          <w:lang w:eastAsia="zh-CN"/>
        </w:rPr>
        <w:t xml:space="preserve">、下一步改进措施</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（一）主要经验及做法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是本项目能够严格按照《中介机构投资评审项目实施方案》执行，项目执行情况较好。二是加强组织领导，本项目绩效评价工作，有主要领导亲自挂帅，分管领导具体负责，从项目到资金，均能够很好的执行。三是加强沟通协调，我单位及时向领导汇报项目项目评审进度，加强与各中介机构沟通，确保项目按期完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（二）存在问题及原因分析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是对各项指标和指标值要进一步优化、完善，主要在细化、量化上改进，二是自评价工作还存在自我审定的局限性，会影响评价质量，容易造成问题的疏漏，在客观性和公正性上说服力不强，三是缺少带着问题去评价的意识，四是现场评价的工作量少，后续效益评价具体措施和方法较少。</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（三）下一步改进措施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要进一步提升财政投资评审工作质量和效率，事前认真学习相关文件，带着问题去评价，加强各相关部门之间的协作配合，项目启动时同步做好档案的归纳与整理，及时整理、收集、汇总，健全档案资料。</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七、有关建议</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1.强化部门协作，确保提高工作效率和质量。为了提高财政投资评审工作的效率和质量，加强各相关部门之间的协作配合，确保财政投资项目的顺利实施，建立喀什地区财政投资评审中心沟通协调机制。</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2.项目评价资料有待进一步完善。项目启动时同步做好档案的归纳与整理，及时整理、收集、汇总，健全档案资料。项目后续管理有待进一步加强和跟踪。</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3.通过绩效管理，发现实施中存在漏洞，以后加强管理，及时掌握与之相关的各类信息，减少成本，使资金效益最大化。</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4．评价工作应从项目实施方案源头抓起，评价工作和意识应贯穿项目整个过程。</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八、其他需要说明的问题</w:t>
      </w:r>
    </w:p>
    <w:p>
      <w:pPr>
        <w:spacing w:line="540" w:lineRule="exact"/>
        <w:ind w:firstLine="567"/>
        <w:rPr>
          <w:rStyle w:val="Strong"/>
          <w:rFonts w:ascii="仿宋" w:eastAsia="仿宋" w:hAnsi="仿宋"/>
          <w:b w:val="0"/>
          <w:spacing w:val="-4"/>
          <w:sz w:val="32"/>
          <w:szCs w:val="32"/>
        </w:rPr>
      </w:pPr>
      <w:r>
        <w:rPr>
          <w:rStyle w:val="Strong"/>
          <w:rFonts w:ascii="仿宋" w:eastAsia="仿宋" w:hAnsi="仿宋" w:cs="仿宋" w:hint="eastAsia"/>
          <w:b w:val="0"/>
          <w:bCs w:val="0"/>
          <w:spacing w:val="-4"/>
          <w:sz w:val="32"/>
          <w:szCs w:val="32"/>
        </w:rPr>
        <w:t xml:space="preserve">我单位对上述项目支出绩效评价报告内反映内容的真实性、完整性负责，接受上级部门及社会公众监督。</w:t>
      </w:r>
    </w:p>
    <w:sectPr>
      <w:footerReference w:type="default" r:id="rId2"/>
      <w:pgSz w:w="11906" w:h="16838" w:orient="portrait"/>
      <w:pgMar w:top="1440" w:right="1558" w:bottom="1440" w:left="1800" w:header="851" w:footer="992" w:gutter="0"/>
      <w:pgBorders/>
      <w:cols w:num="1" w:space="425">
        <w:col w:w="8548"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1</w:t>
        </w:r>
        <w:r>
          <w:fldChar w:fldCharType="end"/>
        </w:r>
      </w:p>
    </w:sdtContent>
  </w:sdt>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3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OTc0ZGFmZGVlMTU2YmFlODYzODJmYzUzZGI2NmMwNGE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alloonText">
    <w:name w:val="Balloon Text"/>
    <w:basedOn w:val="Normal"/>
    <w:link w:val="批注框文本字符"/>
    <w:uiPriority w:val="99"/>
    <w:semiHidden/>
    <w:unhideWhenUsed/>
    <w:qFormat/>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qFormat/>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qFormat/>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qFormat/>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qFormat/>
    <w:rPr>
      <w:rFonts w:ascii="Calibri" w:eastAsia="宋体" w:hAnsi="Calibri"/>
      <w:kern w:val="2"/>
      <w:sz w:val="18"/>
      <w:szCs w:val="18"/>
    </w:rPr>
  </w:style>
  <w:style w:type="character" w:customStyle="1" w:styleId="页脚字符">
    <w:name w:val="页脚 字符"/>
    <w:basedOn w:val="DefaultParagraphFont"/>
    <w:link w:val="Footer"/>
    <w:uiPriority w:val="99"/>
    <w:qFormat/>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Template>
  <TotalTime>0</TotalTime>
  <Pages>3</Pages>
  <Words>341</Words>
  <Characters>646</Characters>
  <Application>WPS Office_11.1.0.14036_F1E327BC-269C-435d-A152-05C5408002CA</Application>
  <DocSecurity>0</DocSecurity>
  <Lines>5</Lines>
  <Paragraphs>1</Paragraphs>
  <Company>Microsoft</Company>
  <CharactersWithSpaces>652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ksjx-admin</cp:lastModifiedBy>
  <cp:revision>19</cp:revision>
  <cp:lastPrinted>2018-12-31T10:56:00Z</cp:lastPrinted>
  <dcterms:created xsi:type="dcterms:W3CDTF">2022-01-14T05:11:00Z</dcterms:created>
  <dcterms:modified xsi:type="dcterms:W3CDTF">2025-03-26T11:27:46Z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2052-11.1.0.14036</vt:lpwstr>
  </property>
  <property fmtid="{D5CDD505-2E9C-101B-9397-08002B2CF9AE}" pid="3" name="ICV">
    <vt:lpwstr>299A846E7742483FADE25949A45A48D3_12</vt:lpwstr>
  </property>
</Properties>
</file>