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FB0D51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泽普县人民检察院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FC0D32">
      <w:r>
        <w:br w:type="page"/>
      </w:r>
    </w:p>
    <w:p w14:paraId="07391129">
      <w:pPr>
        <w:spacing w:line="640" w:lineRule="exact"/>
        <w:jc w:val="center"/>
        <w:outlineLvl w:val="1"/>
      </w:pPr>
      <w:r>
        <w:rPr>
          <w:rFonts w:ascii="黑体" w:hAnsi="黑体" w:eastAsia="黑体"/>
          <w:sz w:val="32"/>
        </w:rPr>
        <w:t>第一部分 部门概况</w:t>
      </w:r>
    </w:p>
    <w:p w14:paraId="19CDB735">
      <w:pPr>
        <w:spacing w:line="640" w:lineRule="exact"/>
        <w:ind w:firstLine="640"/>
        <w:jc w:val="both"/>
        <w:outlineLvl w:val="2"/>
      </w:pPr>
      <w:r>
        <w:rPr>
          <w:rFonts w:ascii="黑体" w:hAnsi="黑体" w:eastAsia="黑体"/>
          <w:sz w:val="32"/>
        </w:rPr>
        <w:t>一、主要职能</w:t>
      </w:r>
    </w:p>
    <w:p w14:paraId="717082C5">
      <w:pPr>
        <w:spacing w:line="580" w:lineRule="exact"/>
        <w:ind w:firstLine="640"/>
        <w:jc w:val="both"/>
      </w:pPr>
      <w:r>
        <w:rPr>
          <w:rFonts w:ascii="仿宋_GB2312" w:hAnsi="仿宋_GB2312" w:eastAsia="仿宋_GB2312"/>
          <w:sz w:val="32"/>
        </w:rPr>
        <w:t>（1）深入贯彻习近平新时代中国特色社会主义思想，深入贯彻党的路线方针政策和决策部署，坚持党对检察工作的绝对领导，坚决维护习近平总书记的核心地位，坚决维护党中央权威和集中统一领导。</w:t>
      </w:r>
    </w:p>
    <w:p w14:paraId="20E69BE4">
      <w:pPr>
        <w:spacing w:line="580" w:lineRule="exact"/>
        <w:ind w:firstLine="640"/>
        <w:jc w:val="both"/>
      </w:pPr>
      <w:r>
        <w:rPr>
          <w:rFonts w:ascii="仿宋_GB2312" w:hAnsi="仿宋_GB2312" w:eastAsia="仿宋_GB2312"/>
          <w:sz w:val="32"/>
        </w:rPr>
        <w:t>（2）依法向泽普县人民检察院人民代表大会及其常务委员会报告工作、提出议案。</w:t>
      </w:r>
    </w:p>
    <w:p w14:paraId="32B60EA8">
      <w:pPr>
        <w:spacing w:line="580" w:lineRule="exact"/>
        <w:ind w:firstLine="640"/>
        <w:jc w:val="both"/>
      </w:pPr>
      <w:r>
        <w:rPr>
          <w:rFonts w:ascii="仿宋_GB2312" w:hAnsi="仿宋_GB2312" w:eastAsia="仿宋_GB2312"/>
          <w:sz w:val="32"/>
        </w:rPr>
        <w:t>（3）贯彻落实上级人民检察院工作方针、总体规划，确定本院检察工作任务并组织实施。</w:t>
      </w:r>
    </w:p>
    <w:p w14:paraId="650EA1A3">
      <w:pPr>
        <w:spacing w:line="580" w:lineRule="exact"/>
        <w:ind w:firstLine="640"/>
        <w:jc w:val="both"/>
      </w:pPr>
      <w:r>
        <w:rPr>
          <w:rFonts w:ascii="仿宋_GB2312" w:hAnsi="仿宋_GB2312" w:eastAsia="仿宋_GB2312"/>
          <w:sz w:val="32"/>
        </w:rPr>
        <w:t>（4）负责对刑事案件依法审查批准逮捕、决定逮捕、提起公诉。</w:t>
      </w:r>
    </w:p>
    <w:p w14:paraId="23D0BF7D">
      <w:pPr>
        <w:spacing w:line="580" w:lineRule="exact"/>
        <w:ind w:firstLine="640"/>
        <w:jc w:val="both"/>
      </w:pPr>
      <w:r>
        <w:rPr>
          <w:rFonts w:ascii="仿宋_GB2312" w:hAnsi="仿宋_GB2312" w:eastAsia="仿宋_GB2312"/>
          <w:sz w:val="32"/>
        </w:rPr>
        <w:t>（5）负责对刑事、民事、行政判决和裁定等生效法律文书执行的监督工作。</w:t>
      </w:r>
    </w:p>
    <w:p w14:paraId="31140F31">
      <w:pPr>
        <w:spacing w:line="580" w:lineRule="exact"/>
        <w:ind w:firstLine="640"/>
        <w:jc w:val="both"/>
      </w:pPr>
      <w:r>
        <w:rPr>
          <w:rFonts w:ascii="仿宋_GB2312" w:hAnsi="仿宋_GB2312" w:eastAsia="仿宋_GB2312"/>
          <w:sz w:val="32"/>
        </w:rPr>
        <w:t>（6）负责提起公益诉讼、生态环境保护检察工作。</w:t>
      </w:r>
    </w:p>
    <w:p w14:paraId="47729854">
      <w:pPr>
        <w:spacing w:line="580" w:lineRule="exact"/>
        <w:ind w:firstLine="640"/>
        <w:jc w:val="both"/>
      </w:pPr>
      <w:r>
        <w:rPr>
          <w:rFonts w:ascii="仿宋_GB2312" w:hAnsi="仿宋_GB2312" w:eastAsia="仿宋_GB2312"/>
          <w:sz w:val="32"/>
        </w:rPr>
        <w:t>（7）负责对辖区内监狱、看守所和社区矫正机构等执法活动的法律监督工作。</w:t>
      </w:r>
    </w:p>
    <w:p w14:paraId="328D1444">
      <w:pPr>
        <w:spacing w:line="580" w:lineRule="exact"/>
        <w:ind w:firstLine="640"/>
        <w:jc w:val="both"/>
      </w:pPr>
      <w:r>
        <w:rPr>
          <w:rFonts w:ascii="仿宋_GB2312" w:hAnsi="仿宋_GB2312" w:eastAsia="仿宋_GB2312"/>
          <w:sz w:val="32"/>
        </w:rPr>
        <w:t>（8）受理控告申诉，办理刑事申诉、司法救助案件。</w:t>
      </w:r>
    </w:p>
    <w:p w14:paraId="398A8CA6">
      <w:pPr>
        <w:spacing w:line="580" w:lineRule="exact"/>
        <w:ind w:firstLine="640"/>
        <w:jc w:val="both"/>
      </w:pPr>
      <w:r>
        <w:rPr>
          <w:rFonts w:ascii="仿宋_GB2312" w:hAnsi="仿宋_GB2312" w:eastAsia="仿宋_GB2312"/>
          <w:sz w:val="32"/>
        </w:rPr>
        <w:t>（9）负责其他应当由县级人民检察院承办的事项。</w:t>
      </w:r>
    </w:p>
    <w:p w14:paraId="2DDFBD37">
      <w:pPr>
        <w:spacing w:line="640" w:lineRule="exact"/>
        <w:ind w:firstLine="640"/>
        <w:jc w:val="both"/>
        <w:outlineLvl w:val="2"/>
      </w:pPr>
      <w:r>
        <w:rPr>
          <w:rFonts w:ascii="黑体" w:hAnsi="黑体" w:eastAsia="黑体"/>
          <w:sz w:val="32"/>
        </w:rPr>
        <w:t>二、机构设置及人员情况</w:t>
      </w:r>
    </w:p>
    <w:p w14:paraId="1E7FBC8D">
      <w:pPr>
        <w:spacing w:line="580" w:lineRule="exact"/>
        <w:ind w:firstLine="640"/>
        <w:jc w:val="both"/>
      </w:pPr>
      <w:r>
        <w:rPr>
          <w:rFonts w:ascii="仿宋_GB2312" w:hAnsi="仿宋_GB2312" w:eastAsia="仿宋_GB2312"/>
          <w:sz w:val="32"/>
        </w:rPr>
        <w:t>泽普县人民检察院2024年度，实有人数56人，其中：在职人员32人，减少2人；离休人员0人，增加0人；退休人员24人,增加3人。</w:t>
      </w:r>
    </w:p>
    <w:p w14:paraId="1417EC2E">
      <w:pPr>
        <w:spacing w:line="580" w:lineRule="exact"/>
        <w:ind w:firstLine="640"/>
        <w:jc w:val="both"/>
      </w:pPr>
      <w:r>
        <w:rPr>
          <w:rFonts w:ascii="仿宋_GB2312" w:hAnsi="仿宋_GB2312" w:eastAsia="仿宋_GB2312"/>
          <w:sz w:val="32"/>
        </w:rPr>
        <w:t>泽普县人民检察院无下属预算单位，下设5个科室，分别是：办公室、政治部、第一检察部、第二检察部、第三检察部。</w:t>
      </w:r>
    </w:p>
    <w:p w14:paraId="0E050532">
      <w:r>
        <w:br w:type="page"/>
      </w:r>
    </w:p>
    <w:p w14:paraId="7ED9739D">
      <w:pPr>
        <w:spacing w:line="240" w:lineRule="auto"/>
        <w:jc w:val="center"/>
        <w:outlineLvl w:val="1"/>
      </w:pPr>
      <w:r>
        <w:rPr>
          <w:rFonts w:ascii="黑体" w:hAnsi="黑体" w:eastAsia="黑体"/>
          <w:sz w:val="32"/>
        </w:rPr>
        <w:t>第二部分 部门决算情况说明</w:t>
      </w:r>
    </w:p>
    <w:p w14:paraId="541673EF">
      <w:pPr>
        <w:spacing w:line="640" w:lineRule="exact"/>
        <w:ind w:firstLine="640"/>
        <w:jc w:val="both"/>
        <w:outlineLvl w:val="2"/>
      </w:pPr>
      <w:r>
        <w:rPr>
          <w:rFonts w:ascii="黑体" w:hAnsi="黑体" w:eastAsia="黑体"/>
          <w:sz w:val="32"/>
        </w:rPr>
        <w:t>一、收入支出决算总体情况说明</w:t>
      </w:r>
    </w:p>
    <w:p w14:paraId="2749C00B">
      <w:pPr>
        <w:spacing w:line="580" w:lineRule="exact"/>
        <w:ind w:firstLine="640"/>
        <w:jc w:val="both"/>
      </w:pPr>
      <w:r>
        <w:rPr>
          <w:rFonts w:ascii="仿宋_GB2312" w:hAnsi="仿宋_GB2312" w:eastAsia="仿宋_GB2312"/>
          <w:b/>
          <w:sz w:val="32"/>
        </w:rPr>
        <w:t>2024年度收入总计1,126.34万元，</w:t>
      </w:r>
      <w:r>
        <w:rPr>
          <w:rFonts w:ascii="仿宋_GB2312" w:hAnsi="仿宋_GB2312" w:eastAsia="仿宋_GB2312"/>
          <w:b w:val="0"/>
          <w:sz w:val="32"/>
        </w:rPr>
        <w:t>其中：本年收入合计1,126.34万元，使用非财政拨款结余（含专用结余）0.00万元，年初结转和结余0.00万元。</w:t>
      </w:r>
    </w:p>
    <w:p w14:paraId="1D0D895F">
      <w:pPr>
        <w:spacing w:line="580" w:lineRule="exact"/>
        <w:ind w:firstLine="640"/>
        <w:jc w:val="both"/>
      </w:pPr>
      <w:r>
        <w:rPr>
          <w:rFonts w:ascii="仿宋_GB2312" w:hAnsi="仿宋_GB2312" w:eastAsia="仿宋_GB2312"/>
          <w:b/>
          <w:sz w:val="32"/>
        </w:rPr>
        <w:t>2024年度支出总计1,126.34万元，</w:t>
      </w:r>
      <w:r>
        <w:rPr>
          <w:rFonts w:ascii="仿宋_GB2312" w:hAnsi="仿宋_GB2312" w:eastAsia="仿宋_GB2312"/>
          <w:b w:val="0"/>
          <w:sz w:val="32"/>
        </w:rPr>
        <w:t>其中：本年支出合计1,126.34万元，结余分配0.00万元，年末结转和结余0.00万元。</w:t>
      </w:r>
    </w:p>
    <w:p w14:paraId="59BA351F">
      <w:pPr>
        <w:spacing w:line="580" w:lineRule="exact"/>
        <w:ind w:firstLine="640"/>
        <w:jc w:val="both"/>
      </w:pPr>
      <w:r>
        <w:rPr>
          <w:rFonts w:ascii="仿宋_GB2312" w:hAnsi="仿宋_GB2312" w:eastAsia="仿宋_GB2312"/>
          <w:b w:val="0"/>
          <w:sz w:val="32"/>
        </w:rPr>
        <w:t>收入支出总体与上年相比，减少19.31万元，下降1.69%，主要原因是：本年减少专项、司法改革绩效工资等项目经费，导致相关经费减少。</w:t>
      </w:r>
    </w:p>
    <w:p w14:paraId="038B1561">
      <w:pPr>
        <w:spacing w:line="640" w:lineRule="exact"/>
        <w:ind w:firstLine="640"/>
        <w:jc w:val="both"/>
        <w:outlineLvl w:val="2"/>
      </w:pPr>
      <w:r>
        <w:rPr>
          <w:rFonts w:ascii="黑体" w:hAnsi="黑体" w:eastAsia="黑体"/>
          <w:sz w:val="32"/>
        </w:rPr>
        <w:t>二、收入决算情况说明</w:t>
      </w:r>
    </w:p>
    <w:p w14:paraId="731F6598">
      <w:pPr>
        <w:spacing w:line="580" w:lineRule="exact"/>
        <w:ind w:firstLine="640"/>
        <w:jc w:val="both"/>
      </w:pPr>
      <w:r>
        <w:rPr>
          <w:rFonts w:ascii="仿宋_GB2312" w:hAnsi="仿宋_GB2312" w:eastAsia="仿宋_GB2312"/>
          <w:b/>
          <w:sz w:val="32"/>
        </w:rPr>
        <w:t>本年收入1,126.34万元，</w:t>
      </w:r>
      <w:r>
        <w:rPr>
          <w:rFonts w:ascii="仿宋_GB2312" w:hAnsi="仿宋_GB2312" w:eastAsia="仿宋_GB2312"/>
          <w:b w:val="0"/>
          <w:sz w:val="32"/>
        </w:rPr>
        <w:t>其中：财政拨款收入1,116.34万元，占99.11%；上级补助收入0.00万元，占0.00%；事业收入0.00万元，占0.00%；经营收入0.00万元，占0.00%；附属单位上缴收入0.00万元，占0.00%；其他收入10.00万元，占0.89%。</w:t>
      </w:r>
    </w:p>
    <w:p w14:paraId="4C03467F">
      <w:pPr>
        <w:spacing w:line="640" w:lineRule="exact"/>
        <w:ind w:firstLine="640"/>
        <w:jc w:val="both"/>
        <w:outlineLvl w:val="2"/>
      </w:pPr>
      <w:r>
        <w:rPr>
          <w:rFonts w:ascii="黑体" w:hAnsi="黑体" w:eastAsia="黑体"/>
          <w:sz w:val="32"/>
        </w:rPr>
        <w:t>三、支出决算情况说明</w:t>
      </w:r>
    </w:p>
    <w:p w14:paraId="76E44D01">
      <w:pPr>
        <w:spacing w:line="580" w:lineRule="exact"/>
        <w:ind w:firstLine="640"/>
        <w:jc w:val="both"/>
      </w:pPr>
      <w:r>
        <w:rPr>
          <w:rFonts w:ascii="仿宋_GB2312" w:hAnsi="仿宋_GB2312" w:eastAsia="仿宋_GB2312"/>
          <w:b/>
          <w:sz w:val="32"/>
        </w:rPr>
        <w:t>本年支出1,126.34万元，</w:t>
      </w:r>
      <w:r>
        <w:rPr>
          <w:rFonts w:ascii="仿宋_GB2312" w:hAnsi="仿宋_GB2312" w:eastAsia="仿宋_GB2312"/>
          <w:b w:val="0"/>
          <w:sz w:val="32"/>
        </w:rPr>
        <w:t>其中：基本支出912.45万元，占81.01%；项目支出213.89万元，占18.99%；上缴上级支出0.00万元，占0.00%；经营支出0.00万元，占0.00%；对附属单位补助支出0.00万元，占0.00%。</w:t>
      </w:r>
    </w:p>
    <w:p w14:paraId="3AC02E4D">
      <w:pPr>
        <w:spacing w:line="640" w:lineRule="exact"/>
        <w:ind w:firstLine="640"/>
        <w:jc w:val="both"/>
        <w:outlineLvl w:val="2"/>
      </w:pPr>
      <w:r>
        <w:rPr>
          <w:rFonts w:ascii="黑体" w:hAnsi="黑体" w:eastAsia="黑体"/>
          <w:sz w:val="32"/>
        </w:rPr>
        <w:t>四、财政拨款收入支出决算总体情况说明</w:t>
      </w:r>
    </w:p>
    <w:p w14:paraId="1D2576AB">
      <w:pPr>
        <w:spacing w:line="580" w:lineRule="exact"/>
        <w:ind w:firstLine="640"/>
        <w:jc w:val="both"/>
      </w:pPr>
      <w:r>
        <w:rPr>
          <w:rFonts w:ascii="仿宋_GB2312" w:hAnsi="仿宋_GB2312" w:eastAsia="仿宋_GB2312"/>
          <w:b/>
          <w:sz w:val="32"/>
        </w:rPr>
        <w:t>2024年度财政拨款收入总计1,116.34万元，</w:t>
      </w:r>
      <w:r>
        <w:rPr>
          <w:rFonts w:ascii="仿宋_GB2312" w:hAnsi="仿宋_GB2312" w:eastAsia="仿宋_GB2312"/>
          <w:b w:val="0"/>
          <w:sz w:val="32"/>
        </w:rPr>
        <w:t>其中：年初财政拨款结转和结余0.00万元，本年财政拨款收入1,116.34万元。</w:t>
      </w:r>
      <w:r>
        <w:rPr>
          <w:rFonts w:ascii="仿宋_GB2312" w:hAnsi="仿宋_GB2312" w:eastAsia="仿宋_GB2312"/>
          <w:b/>
          <w:sz w:val="32"/>
        </w:rPr>
        <w:t>财政拨款支出总计1,116.34万元，</w:t>
      </w:r>
      <w:r>
        <w:rPr>
          <w:rFonts w:ascii="仿宋_GB2312" w:hAnsi="仿宋_GB2312" w:eastAsia="仿宋_GB2312"/>
          <w:b w:val="0"/>
          <w:sz w:val="32"/>
        </w:rPr>
        <w:t>其中：年末财政拨款结转和结余0.00万元，本年财政拨款支出1,116.34万元。</w:t>
      </w:r>
    </w:p>
    <w:p w14:paraId="617888F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减少19.31万元，下降1.70%，主要原因是：本年减少专项、司法改革绩效工资等项目经费，导致相关经费减少。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年初预算数1,101.71万元，决算数1,116.34万元，预决算差异率1.33%，主要原因是：年中追加人员工资、社保、公积金基数调增部分资金，导致预决算存在差异。</w:t>
      </w:r>
    </w:p>
    <w:p w14:paraId="5D9B35F0">
      <w:pPr>
        <w:spacing w:line="640" w:lineRule="exact"/>
        <w:ind w:firstLine="640"/>
        <w:jc w:val="both"/>
        <w:outlineLvl w:val="2"/>
      </w:pPr>
      <w:r>
        <w:rPr>
          <w:rFonts w:ascii="黑体" w:hAnsi="黑体" w:eastAsia="黑体"/>
          <w:sz w:val="32"/>
        </w:rPr>
        <w:t>五、一般公共预算财政拨款支出决算情况说明</w:t>
      </w:r>
    </w:p>
    <w:p w14:paraId="003F5755">
      <w:pPr>
        <w:spacing w:line="640" w:lineRule="exact"/>
        <w:ind w:firstLine="640"/>
        <w:jc w:val="both"/>
        <w:outlineLvl w:val="3"/>
      </w:pPr>
      <w:r>
        <w:rPr>
          <w:rFonts w:ascii="楷体_GB2312" w:hAnsi="楷体_GB2312" w:eastAsia="楷体_GB2312"/>
          <w:b/>
          <w:sz w:val="32"/>
        </w:rPr>
        <w:t>（一）一般公共预算财政拨款支出决算总体情况</w:t>
      </w:r>
    </w:p>
    <w:p w14:paraId="42510266">
      <w:pPr>
        <w:spacing w:line="580" w:lineRule="exact"/>
        <w:ind w:firstLine="640"/>
        <w:jc w:val="both"/>
      </w:pPr>
      <w:r>
        <w:rPr>
          <w:rFonts w:ascii="仿宋_GB2312" w:hAnsi="仿宋_GB2312" w:eastAsia="仿宋_GB2312"/>
          <w:b/>
          <w:sz w:val="32"/>
        </w:rPr>
        <w:t>2024年度一般公共预算财政拨款支出1,116.34万元，</w:t>
      </w:r>
      <w:r>
        <w:rPr>
          <w:rFonts w:ascii="仿宋_GB2312" w:hAnsi="仿宋_GB2312" w:eastAsia="仿宋_GB2312"/>
          <w:b w:val="0"/>
          <w:sz w:val="32"/>
        </w:rPr>
        <w:t>占本年支出合计的99.11%。</w:t>
      </w:r>
      <w:r>
        <w:rPr>
          <w:rFonts w:ascii="仿宋_GB2312" w:hAnsi="仿宋_GB2312" w:eastAsia="仿宋_GB2312"/>
          <w:b/>
          <w:sz w:val="32"/>
        </w:rPr>
        <w:t>与上年相比，</w:t>
      </w:r>
      <w:r>
        <w:rPr>
          <w:rFonts w:ascii="仿宋_GB2312" w:hAnsi="仿宋_GB2312" w:eastAsia="仿宋_GB2312"/>
          <w:b w:val="0"/>
          <w:sz w:val="32"/>
        </w:rPr>
        <w:t>减少19.31万元，下降1.70%，主要原因是：本年减少专项、司法改革绩效工资等项目经费，导致相关经费减少。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年初预算数1,101.71万元，决算数1,116.34万元，预决算差异率1.33%，主要原因是：年中追加人员工资、社保、公积金基数调增部分资金，导致预决算存在差异。</w:t>
      </w:r>
    </w:p>
    <w:p w14:paraId="2FCD40F6">
      <w:pPr>
        <w:spacing w:line="640" w:lineRule="exact"/>
        <w:ind w:firstLine="640"/>
        <w:jc w:val="both"/>
        <w:outlineLvl w:val="3"/>
      </w:pPr>
      <w:r>
        <w:rPr>
          <w:rFonts w:ascii="楷体_GB2312" w:hAnsi="楷体_GB2312" w:eastAsia="楷体_GB2312"/>
          <w:b/>
          <w:sz w:val="32"/>
        </w:rPr>
        <w:t>（二）一般公共预算财政拨款支出决算结构情况</w:t>
      </w:r>
    </w:p>
    <w:p w14:paraId="2B6A387B">
      <w:pPr>
        <w:spacing w:line="580" w:lineRule="exact"/>
        <w:ind w:firstLine="640"/>
        <w:jc w:val="both"/>
      </w:pPr>
      <w:r>
        <w:rPr>
          <w:rFonts w:ascii="仿宋_GB2312" w:hAnsi="仿宋_GB2312" w:eastAsia="仿宋_GB2312"/>
          <w:b w:val="0"/>
          <w:sz w:val="32"/>
        </w:rPr>
        <w:t>1.公共安全支出(类)918.18万元,占82.25%。</w:t>
      </w:r>
    </w:p>
    <w:p w14:paraId="598410A9">
      <w:pPr>
        <w:spacing w:line="580" w:lineRule="exact"/>
        <w:ind w:firstLine="640"/>
        <w:jc w:val="both"/>
      </w:pPr>
      <w:r>
        <w:rPr>
          <w:rFonts w:ascii="仿宋_GB2312" w:hAnsi="仿宋_GB2312" w:eastAsia="仿宋_GB2312"/>
          <w:b w:val="0"/>
          <w:sz w:val="32"/>
        </w:rPr>
        <w:t>2.社会保障和就业支出(类)105.77万元,占9.47%。</w:t>
      </w:r>
    </w:p>
    <w:p w14:paraId="68572701">
      <w:pPr>
        <w:spacing w:line="580" w:lineRule="exact"/>
        <w:ind w:firstLine="640"/>
        <w:jc w:val="both"/>
      </w:pPr>
      <w:r>
        <w:rPr>
          <w:rFonts w:ascii="仿宋_GB2312" w:hAnsi="仿宋_GB2312" w:eastAsia="仿宋_GB2312"/>
          <w:b w:val="0"/>
          <w:sz w:val="32"/>
        </w:rPr>
        <w:t>3.卫生健康支出(类)35.92万元,占3.22%。</w:t>
      </w:r>
    </w:p>
    <w:p w14:paraId="69400AA9">
      <w:pPr>
        <w:spacing w:line="580" w:lineRule="exact"/>
        <w:ind w:firstLine="640"/>
        <w:jc w:val="both"/>
      </w:pPr>
      <w:r>
        <w:rPr>
          <w:rFonts w:ascii="仿宋_GB2312" w:hAnsi="仿宋_GB2312" w:eastAsia="仿宋_GB2312"/>
          <w:b w:val="0"/>
          <w:sz w:val="32"/>
        </w:rPr>
        <w:t>4.住房保障支出(类)56.47万元,占5.06%。</w:t>
      </w:r>
    </w:p>
    <w:p w14:paraId="238C214A">
      <w:pPr>
        <w:spacing w:line="640" w:lineRule="exact"/>
        <w:ind w:firstLine="640"/>
        <w:jc w:val="both"/>
        <w:outlineLvl w:val="3"/>
      </w:pPr>
      <w:r>
        <w:rPr>
          <w:rFonts w:ascii="楷体_GB2312" w:hAnsi="楷体_GB2312" w:eastAsia="楷体_GB2312"/>
          <w:b/>
          <w:sz w:val="32"/>
        </w:rPr>
        <w:t>（三）一般公共预算财政拨款支出决算具体情况</w:t>
      </w:r>
    </w:p>
    <w:p w14:paraId="1995FD90">
      <w:pPr>
        <w:spacing w:line="580" w:lineRule="exact"/>
        <w:ind w:firstLine="640"/>
        <w:jc w:val="both"/>
      </w:pPr>
      <w:r>
        <w:rPr>
          <w:rFonts w:ascii="仿宋_GB2312" w:hAnsi="仿宋_GB2312" w:eastAsia="仿宋_GB2312"/>
          <w:b w:val="0"/>
          <w:sz w:val="32"/>
        </w:rPr>
        <w:t>1.公共安全支出(类)检察(款)行政运行(项):支出决算数为709.59万元，比上年决算增加71.07万元，增长11.13%,主要原因是：本年在职人员工资调薪，工资等相关人员经费增加，其他工资福利支出增加，导致相关经费增加。</w:t>
      </w:r>
    </w:p>
    <w:p w14:paraId="2EA92A36">
      <w:pPr>
        <w:spacing w:line="580" w:lineRule="exact"/>
        <w:ind w:firstLine="640"/>
        <w:jc w:val="both"/>
      </w:pPr>
      <w:r>
        <w:rPr>
          <w:rFonts w:ascii="仿宋_GB2312" w:hAnsi="仿宋_GB2312" w:eastAsia="仿宋_GB2312"/>
          <w:b w:val="0"/>
          <w:sz w:val="32"/>
        </w:rPr>
        <w:t>2.公共安全支出(类)检察(款)一般行政管理事务(项):支出决算数为70.23万元，比上年决算减少8.07万元，下降10.31%,主要原因是：本年减少司法改革绩效工资等项目经费，导致相关经费减少。</w:t>
      </w:r>
    </w:p>
    <w:p w14:paraId="1F7F9A66">
      <w:pPr>
        <w:spacing w:line="580" w:lineRule="exact"/>
        <w:ind w:firstLine="640"/>
        <w:jc w:val="both"/>
      </w:pPr>
      <w:r>
        <w:rPr>
          <w:rFonts w:ascii="仿宋_GB2312" w:hAnsi="仿宋_GB2312" w:eastAsia="仿宋_GB2312"/>
          <w:b w:val="0"/>
          <w:sz w:val="32"/>
        </w:rPr>
        <w:t>3.公共安全支出(类)检察(款)其他检察支出(项):支出决算数为133.66万元，比上年决算减少83.82万元，下降38.54%,主要原因是：本年减少专项项目经费，导致相关经费减少。</w:t>
      </w:r>
    </w:p>
    <w:p w14:paraId="3FB8DDD4">
      <w:pPr>
        <w:spacing w:line="580" w:lineRule="exact"/>
        <w:ind w:firstLine="640"/>
        <w:jc w:val="both"/>
      </w:pPr>
      <w:r>
        <w:rPr>
          <w:rFonts w:ascii="仿宋_GB2312" w:hAnsi="仿宋_GB2312" w:eastAsia="仿宋_GB2312"/>
          <w:b w:val="0"/>
          <w:sz w:val="32"/>
        </w:rPr>
        <w:t>4.公共安全支出(类)法院(款)行政运行(项):支出决算数为4.69万元，比上年决算增加4.69万元，增长100.00%,主要原因是：追加人员调资指标时支出分类科目选错，导致此科目经费较上年增加。</w:t>
      </w:r>
    </w:p>
    <w:p w14:paraId="07658A45">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5.社会保障和就业支出(类)行政事业单位养老支出(款)行政单位离退休(项):支出决算数为32.97万元，比上年决算增加8.04万元，增长32.25%,主要原因是：本年新增退休人员，导致退休费较上年增加。</w:t>
      </w:r>
    </w:p>
    <w:p w14:paraId="3756AD57">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65.84万元，比上年决算增加2.63万元，增长4.16%,主要原因是：本年在职人员工资基数调增，养老缴费基数上涨，相应支出增加。</w:t>
      </w:r>
    </w:p>
    <w:p w14:paraId="21E92E2C">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6.96万元，比上年决算增加0.80万元，增长12.99%,主要原因是：本年新增退休人员，导致职业年金缴费较上年增加。</w:t>
      </w:r>
    </w:p>
    <w:p w14:paraId="6F3B4625">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8.社会保障和就业支出(类)抚恤(款)死亡抚恤(项):支出决算数为0.00万元，比上年决算减少22.03万元，下降100.00%,主要原因是：本年无退休人员死亡，抚恤金较上年减少。</w:t>
      </w:r>
    </w:p>
    <w:p w14:paraId="5A35135C">
      <w:pPr>
        <w:spacing w:line="580" w:lineRule="exact"/>
        <w:ind w:firstLine="640"/>
        <w:jc w:val="both"/>
      </w:pPr>
      <w:r>
        <w:rPr>
          <w:rFonts w:ascii="仿宋_GB2312" w:hAnsi="仿宋_GB2312" w:eastAsia="仿宋_GB2312"/>
          <w:b w:val="0"/>
          <w:sz w:val="32"/>
        </w:rPr>
        <w:t>9.卫生健康支出(类)行政事业单位医疗(款)行政单位医疗(项):支出决算数为27.98万元，比上年决算增加0.45万元，增长1.63%,主要原因是：本年在职人员工资基数调增，医疗缴费基数上涨，相应支出增加。</w:t>
      </w:r>
    </w:p>
    <w:p w14:paraId="040EE50E">
      <w:pPr>
        <w:spacing w:line="580" w:lineRule="exact"/>
        <w:ind w:firstLine="640"/>
        <w:jc w:val="both"/>
      </w:pPr>
      <w:r>
        <w:rPr>
          <w:rFonts w:ascii="仿宋_GB2312" w:hAnsi="仿宋_GB2312" w:eastAsia="仿宋_GB2312"/>
          <w:b w:val="0"/>
          <w:sz w:val="32"/>
        </w:rPr>
        <w:t>10.卫生健康支出(类)行政事业单位医疗(款)公务员医疗补助(项):支出决算数为7.94万元，比上年决算减少0.04万元，下降0.50%,主要原因是：本年在职人员减少，公务员医疗补助较上年减少。</w:t>
      </w:r>
    </w:p>
    <w:p w14:paraId="0A05A6E3">
      <w:pPr>
        <w:spacing w:line="580" w:lineRule="exact"/>
        <w:ind w:firstLine="640"/>
        <w:jc w:val="both"/>
      </w:pPr>
      <w:r>
        <w:rPr>
          <w:rFonts w:ascii="仿宋_GB2312" w:hAnsi="仿宋_GB2312" w:eastAsia="仿宋_GB2312"/>
          <w:b w:val="0"/>
          <w:sz w:val="32"/>
        </w:rPr>
        <w:t>11.住房保障支出(类)住房改革支出(款)住房公积金(项):支出决算数为56.47万元，比上年决算增加6.97万元，增长14.08%,主要原因是：本年在职人员工资基数调增，公积金缴费基数上涨，相应支出增加。</w:t>
      </w:r>
    </w:p>
    <w:p w14:paraId="78C7412C">
      <w:pPr>
        <w:spacing w:line="640" w:lineRule="exact"/>
        <w:ind w:firstLine="640"/>
        <w:jc w:val="both"/>
        <w:outlineLvl w:val="2"/>
      </w:pPr>
      <w:r>
        <w:rPr>
          <w:rFonts w:ascii="黑体" w:hAnsi="黑体" w:eastAsia="黑体"/>
          <w:sz w:val="32"/>
        </w:rPr>
        <w:t>六、一般公共预算财政拨款基本支出决算情况说明</w:t>
      </w:r>
    </w:p>
    <w:p w14:paraId="75098A7D">
      <w:pPr>
        <w:spacing w:line="580" w:lineRule="exact"/>
        <w:ind w:firstLine="640"/>
        <w:jc w:val="both"/>
      </w:pPr>
      <w:r>
        <w:rPr>
          <w:rFonts w:ascii="仿宋_GB2312" w:hAnsi="仿宋_GB2312" w:eastAsia="仿宋_GB2312"/>
          <w:b w:val="0"/>
          <w:sz w:val="32"/>
        </w:rPr>
        <w:t>2024年度一般公共预算财政拨款基本支出912.45万元，其中：</w:t>
      </w:r>
      <w:r>
        <w:rPr>
          <w:rFonts w:ascii="仿宋_GB2312" w:hAnsi="仿宋_GB2312" w:eastAsia="仿宋_GB2312"/>
          <w:b/>
          <w:sz w:val="32"/>
        </w:rPr>
        <w:t>人员经费840.90万元，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14:paraId="13640F87">
      <w:pPr>
        <w:spacing w:line="580" w:lineRule="exact"/>
        <w:ind w:firstLine="640"/>
        <w:jc w:val="both"/>
      </w:pPr>
      <w:r>
        <w:rPr>
          <w:rFonts w:ascii="仿宋_GB2312" w:hAnsi="仿宋_GB2312" w:eastAsia="仿宋_GB2312"/>
          <w:b/>
          <w:sz w:val="32"/>
        </w:rPr>
        <w:t>公用经费71.55万元，</w:t>
      </w:r>
      <w:r>
        <w:rPr>
          <w:rFonts w:ascii="仿宋_GB2312" w:hAnsi="仿宋_GB2312" w:eastAsia="仿宋_GB2312"/>
          <w:b w:val="0"/>
          <w:sz w:val="32"/>
        </w:rPr>
        <w:t>包括：办公费、水费、电费、邮电费、取暖费、物业管理费、差旅费、维修（护）费、工会经费、公务用车运行维护费、其他商品和服务支出。</w:t>
      </w:r>
    </w:p>
    <w:p w14:paraId="10818821">
      <w:pPr>
        <w:spacing w:line="640" w:lineRule="exact"/>
        <w:ind w:firstLine="640"/>
        <w:jc w:val="both"/>
        <w:outlineLvl w:val="2"/>
      </w:pPr>
      <w:r>
        <w:rPr>
          <w:rFonts w:ascii="黑体" w:hAnsi="黑体" w:eastAsia="黑体"/>
          <w:sz w:val="32"/>
        </w:rPr>
        <w:t>七、政府性基金预算财政拨款收入支出决算情况说明</w:t>
      </w:r>
    </w:p>
    <w:p w14:paraId="00C5843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56DD5DA">
      <w:pPr>
        <w:spacing w:line="640" w:lineRule="exact"/>
        <w:ind w:firstLine="640"/>
        <w:jc w:val="both"/>
        <w:outlineLvl w:val="2"/>
      </w:pPr>
      <w:r>
        <w:rPr>
          <w:rFonts w:ascii="黑体" w:hAnsi="黑体" w:eastAsia="黑体"/>
          <w:sz w:val="32"/>
        </w:rPr>
        <w:t>八、国有资本经营预算财政拨款收入支出决算情况说明</w:t>
      </w:r>
    </w:p>
    <w:p w14:paraId="45CA59B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A502768">
      <w:pPr>
        <w:spacing w:line="640" w:lineRule="exact"/>
        <w:ind w:firstLine="640"/>
        <w:jc w:val="both"/>
        <w:outlineLvl w:val="2"/>
      </w:pPr>
      <w:r>
        <w:rPr>
          <w:rFonts w:ascii="黑体" w:hAnsi="黑体" w:eastAsia="黑体"/>
          <w:sz w:val="32"/>
        </w:rPr>
        <w:t>九、财政拨款“三公”经费支出决算情况说明</w:t>
      </w:r>
    </w:p>
    <w:p w14:paraId="3D22255A">
      <w:pPr>
        <w:spacing w:line="580" w:lineRule="exact"/>
        <w:ind w:firstLine="640"/>
        <w:jc w:val="both"/>
      </w:pPr>
      <w:r>
        <w:rPr>
          <w:rFonts w:ascii="仿宋_GB2312" w:hAnsi="仿宋_GB2312" w:eastAsia="仿宋_GB2312"/>
          <w:b/>
          <w:sz w:val="32"/>
        </w:rPr>
        <w:t>2024年度财政拨款“三公”经费支出20.70万元，</w:t>
      </w:r>
      <w:r>
        <w:rPr>
          <w:rFonts w:ascii="仿宋_GB2312" w:hAnsi="仿宋_GB2312" w:eastAsia="仿宋_GB2312"/>
          <w:b w:val="0"/>
          <w:sz w:val="32"/>
        </w:rPr>
        <w:t>比上年增加4.41万元，增长27.07%，主要原因是：本部门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20.70万元，占100.00%，比上年增加4.41万元，增长27.07%，主要原因是：本部门公务用车日渐老化，维修维护成本增加，导致公务用车运行维护费较上年增加。公务接待费支出0.00万元，占0.00%，比上年增加0.00万元，增长0.00%，主要原因是：2023年与2024年均未安排公务接待费支出。</w:t>
      </w:r>
    </w:p>
    <w:p w14:paraId="2B1F3E2E">
      <w:pPr>
        <w:spacing w:line="580" w:lineRule="exact"/>
        <w:ind w:firstLine="640"/>
        <w:jc w:val="both"/>
      </w:pPr>
      <w:r>
        <w:rPr>
          <w:rFonts w:ascii="仿宋_GB2312" w:hAnsi="仿宋_GB2312" w:eastAsia="仿宋_GB2312"/>
          <w:b/>
          <w:sz w:val="32"/>
        </w:rPr>
        <w:t>具体情况如下：</w:t>
      </w:r>
    </w:p>
    <w:p w14:paraId="6BAD83B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C1E0788">
      <w:pPr>
        <w:spacing w:line="580" w:lineRule="exact"/>
        <w:ind w:firstLine="640"/>
        <w:jc w:val="both"/>
      </w:pPr>
      <w:r>
        <w:rPr>
          <w:rFonts w:ascii="仿宋_GB2312" w:hAnsi="仿宋_GB2312" w:eastAsia="仿宋_GB2312"/>
          <w:b w:val="0"/>
          <w:sz w:val="32"/>
        </w:rPr>
        <w:t>公务用车购置及运行维护费20.70万元，其中：公务用车购置费0.00万元，公务用车运行维护费20.70万元。公务用车运行维护费开支内容包括车辆加油费、维修费、保险费。公务用车购置数0辆，公务用车保有量9辆。国有资产占用情况中固定资产车辆9辆，与公务用车保有量差异原因是：本部门固定资产车辆与公务用车保有量一致无差异。</w:t>
      </w:r>
    </w:p>
    <w:p w14:paraId="5BA8868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E9C16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20.70万元，决算数20.70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20.70万元，决算数20.70万元，预决算差异率0.00%，主要原因是：严格按照预算执行，预决算无差异。公务接待费全年预算数0.00万元，决算数0.00万元，预决算差异率0.00%，主要原因是：本部门无公务接待费。</w:t>
      </w:r>
    </w:p>
    <w:p w14:paraId="6002D107">
      <w:pPr>
        <w:spacing w:line="640" w:lineRule="exact"/>
        <w:ind w:firstLine="640"/>
        <w:jc w:val="both"/>
        <w:outlineLvl w:val="2"/>
      </w:pPr>
      <w:r>
        <w:rPr>
          <w:rFonts w:ascii="黑体" w:hAnsi="黑体" w:eastAsia="黑体"/>
          <w:sz w:val="32"/>
        </w:rPr>
        <w:t>十、其他重要事项的情况说明</w:t>
      </w:r>
    </w:p>
    <w:p w14:paraId="38EEF034">
      <w:pPr>
        <w:spacing w:line="640" w:lineRule="exact"/>
        <w:ind w:firstLine="640"/>
        <w:jc w:val="both"/>
        <w:outlineLvl w:val="3"/>
      </w:pPr>
      <w:r>
        <w:rPr>
          <w:rFonts w:ascii="楷体_GB2312" w:hAnsi="楷体_GB2312" w:eastAsia="楷体_GB2312"/>
          <w:b/>
          <w:sz w:val="32"/>
        </w:rPr>
        <w:t>（一）机关运行经费及公用经费支出情况</w:t>
      </w:r>
    </w:p>
    <w:p w14:paraId="1DE3ED37">
      <w:pPr>
        <w:spacing w:line="580" w:lineRule="exact"/>
        <w:ind w:firstLine="640"/>
        <w:jc w:val="both"/>
      </w:pPr>
      <w:r>
        <w:rPr>
          <w:rFonts w:ascii="仿宋_GB2312" w:hAnsi="仿宋_GB2312" w:eastAsia="仿宋_GB2312"/>
          <w:b w:val="0"/>
          <w:sz w:val="32"/>
        </w:rPr>
        <w:t>2024年度泽普县人民检察院（行政单位和参照公务员法管理事业单位）机关运行经费支出71.55万元，比上年增加26.96万元，增长60.46%，主要原因是：本年增加办公费、水电费、办公用房取暖费等公用经费支出，导致经费较上年增加。</w:t>
      </w:r>
    </w:p>
    <w:p w14:paraId="319B59B0">
      <w:pPr>
        <w:spacing w:line="640" w:lineRule="exact"/>
        <w:ind w:firstLine="640"/>
        <w:jc w:val="both"/>
        <w:outlineLvl w:val="3"/>
      </w:pPr>
      <w:r>
        <w:rPr>
          <w:rFonts w:ascii="楷体_GB2312" w:hAnsi="楷体_GB2312" w:eastAsia="楷体_GB2312"/>
          <w:b/>
          <w:sz w:val="32"/>
        </w:rPr>
        <w:t>（二）政府采购情况</w:t>
      </w:r>
    </w:p>
    <w:p w14:paraId="7E9ED8EA">
      <w:pPr>
        <w:spacing w:line="580" w:lineRule="exact"/>
        <w:ind w:firstLine="640"/>
        <w:jc w:val="both"/>
      </w:pPr>
      <w:r>
        <w:rPr>
          <w:rFonts w:ascii="仿宋_GB2312" w:hAnsi="仿宋_GB2312" w:eastAsia="仿宋_GB2312"/>
          <w:b w:val="0"/>
          <w:sz w:val="32"/>
        </w:rPr>
        <w:t>2024年度政府采购支出总额62.10万元，其中：政府采购货物支出47.30万元、政府采购工程支出0.00万元、政府采购服务支出14.80万元。</w:t>
      </w:r>
    </w:p>
    <w:p w14:paraId="1CD5112C">
      <w:pPr>
        <w:spacing w:line="580" w:lineRule="exact"/>
        <w:ind w:firstLine="640"/>
        <w:jc w:val="both"/>
      </w:pPr>
      <w:r>
        <w:rPr>
          <w:rFonts w:ascii="仿宋_GB2312" w:hAnsi="仿宋_GB2312" w:eastAsia="仿宋_GB2312"/>
          <w:b w:val="0"/>
          <w:sz w:val="32"/>
        </w:rPr>
        <w:t>授予中小企业合同金额62.10万元，占政府采购支出总额的100.00%，其中：授予小微企业合同金额62.10万元，占政府采购支出总额的100.00%。</w:t>
      </w:r>
    </w:p>
    <w:p w14:paraId="6D965D3E">
      <w:pPr>
        <w:spacing w:line="640" w:lineRule="exact"/>
        <w:ind w:firstLine="640"/>
        <w:jc w:val="both"/>
        <w:outlineLvl w:val="3"/>
      </w:pPr>
      <w:r>
        <w:rPr>
          <w:rFonts w:ascii="楷体_GB2312" w:hAnsi="楷体_GB2312" w:eastAsia="楷体_GB2312"/>
          <w:b/>
          <w:sz w:val="32"/>
        </w:rPr>
        <w:t>（三）国有资产占用情况说明</w:t>
      </w:r>
    </w:p>
    <w:p w14:paraId="1E437395">
      <w:pPr>
        <w:spacing w:line="580" w:lineRule="exact"/>
        <w:ind w:firstLine="640"/>
        <w:jc w:val="both"/>
      </w:pPr>
      <w:r>
        <w:rPr>
          <w:rFonts w:ascii="仿宋_GB2312" w:hAnsi="仿宋_GB2312" w:eastAsia="仿宋_GB2312"/>
          <w:b w:val="0"/>
          <w:sz w:val="32"/>
        </w:rPr>
        <w:t>截至2024年12月31日，房屋3,657.00平方米，价值513.52万元。车辆9辆，价值153.90万元，其中：副部（省）级及以上领导用车0辆、主要负责人用车0辆、机要通信用车0辆、应急保障用车0辆、执法执勤用车8辆、特种专业技术用车1辆、离退休干部服务用车0辆、其他用车0辆，其他用车主要是：本部门无其他用车。单价100万元（含）以上设备（不含车辆）1台（套）。</w:t>
      </w:r>
    </w:p>
    <w:p w14:paraId="51EA1596">
      <w:pPr>
        <w:spacing w:line="640" w:lineRule="exact"/>
        <w:ind w:firstLine="640"/>
        <w:jc w:val="both"/>
        <w:outlineLvl w:val="2"/>
      </w:pPr>
      <w:r>
        <w:rPr>
          <w:rFonts w:ascii="黑体" w:hAnsi="黑体" w:eastAsia="黑体"/>
          <w:sz w:val="32"/>
        </w:rPr>
        <w:t>十一、预算绩效的情况说明</w:t>
      </w:r>
    </w:p>
    <w:p w14:paraId="6794A0F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根据预算绩效管理要求，本部门2024年度预算绩效管理形成整体支出绩效自评表1个，全年预算总额1,168.84万元，实际执行总额1,126.34万元；预算绩效评价项目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256.4</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w:t>
      </w:r>
      <w:r>
        <w:rPr>
          <w:rFonts w:hint="eastAsia" w:ascii="仿宋_GB2312" w:hAnsi="仿宋_GB2312" w:eastAsia="仿宋_GB2312"/>
          <w:b w:val="0"/>
          <w:sz w:val="32"/>
        </w:rPr>
        <w:t>213.89</w:t>
      </w:r>
      <w:r>
        <w:rPr>
          <w:rFonts w:ascii="仿宋_GB2312" w:hAnsi="仿宋_GB2312" w:eastAsia="仿宋_GB2312"/>
          <w:b w:val="0"/>
          <w:sz w:val="32"/>
        </w:rPr>
        <w:t>万元。预算绩效管理取得的成效：为加强预算管理，规范财务行为，已制定各项管理制度，有效保障了高效履行工作职能，加强了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部门整体支出绩效自评表，项目支出绩效自评表。</w:t>
      </w:r>
    </w:p>
    <w:p w14:paraId="35E2A22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DFF892">
        <w:tblPrEx>
          <w:tblCellMar>
            <w:top w:w="0" w:type="dxa"/>
            <w:left w:w="108" w:type="dxa"/>
            <w:bottom w:w="0" w:type="dxa"/>
            <w:right w:w="108" w:type="dxa"/>
          </w:tblCellMar>
        </w:tblPrEx>
        <w:tc>
          <w:tcPr>
            <w:tcW w:w="8847" w:type="dxa"/>
            <w:gridSpan w:val="9"/>
            <w:vAlign w:val="center"/>
          </w:tcPr>
          <w:p w14:paraId="70F9E385">
            <w:pPr>
              <w:jc w:val="center"/>
            </w:pPr>
            <w:r>
              <w:rPr>
                <w:rFonts w:ascii="宋体" w:hAnsi="宋体" w:eastAsia="宋体"/>
                <w:sz w:val="24"/>
              </w:rPr>
              <w:t>部门整体支出绩效自评表</w:t>
            </w:r>
          </w:p>
        </w:tc>
      </w:tr>
      <w:tr w14:paraId="611D88A6">
        <w:tblPrEx>
          <w:tblCellMar>
            <w:top w:w="0" w:type="dxa"/>
            <w:left w:w="108" w:type="dxa"/>
            <w:bottom w:w="0" w:type="dxa"/>
            <w:right w:w="108" w:type="dxa"/>
          </w:tblCellMar>
        </w:tblPrEx>
        <w:tc>
          <w:tcPr>
            <w:tcW w:w="8847" w:type="dxa"/>
            <w:gridSpan w:val="9"/>
            <w:vAlign w:val="center"/>
          </w:tcPr>
          <w:p w14:paraId="119145C0">
            <w:pPr>
              <w:jc w:val="center"/>
            </w:pPr>
            <w:r>
              <w:rPr>
                <w:rFonts w:ascii="宋体" w:hAnsi="宋体" w:eastAsia="宋体"/>
                <w:sz w:val="24"/>
              </w:rPr>
              <w:t>（2024年度）</w:t>
            </w:r>
          </w:p>
        </w:tc>
      </w:tr>
      <w:tr w14:paraId="09906F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2D8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5BEDDF">
            <w:pPr>
              <w:jc w:val="center"/>
            </w:pPr>
            <w:r>
              <w:rPr>
                <w:rFonts w:ascii="宋体" w:hAnsi="宋体" w:eastAsia="宋体"/>
                <w:sz w:val="16"/>
              </w:rPr>
              <w:t>泽普县人民检察院</w:t>
            </w:r>
          </w:p>
        </w:tc>
      </w:tr>
      <w:tr w14:paraId="52C502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48BA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776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4F83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DC98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4042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4C7F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D1E2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A395F">
            <w:pPr>
              <w:jc w:val="center"/>
            </w:pPr>
            <w:r>
              <w:rPr>
                <w:rFonts w:ascii="宋体" w:hAnsi="宋体" w:eastAsia="宋体"/>
                <w:sz w:val="16"/>
              </w:rPr>
              <w:t>得分</w:t>
            </w:r>
          </w:p>
        </w:tc>
      </w:tr>
      <w:tr w14:paraId="5DB8DB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F94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D8E6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BF91D">
            <w:pPr>
              <w:jc w:val="center"/>
            </w:pPr>
            <w:r>
              <w:rPr>
                <w:rFonts w:ascii="宋体" w:hAnsi="宋体" w:eastAsia="宋体"/>
                <w:sz w:val="16"/>
              </w:rPr>
              <w:t>1,101.71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7B01F">
            <w:pPr>
              <w:jc w:val="center"/>
            </w:pPr>
            <w:r>
              <w:rPr>
                <w:rFonts w:ascii="宋体" w:hAnsi="宋体" w:eastAsia="宋体"/>
                <w:sz w:val="16"/>
              </w:rPr>
              <w:t>1,168.84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7F6A4">
            <w:pPr>
              <w:jc w:val="center"/>
            </w:pPr>
            <w:r>
              <w:rPr>
                <w:rFonts w:ascii="宋体" w:hAnsi="宋体" w:eastAsia="宋体"/>
                <w:sz w:val="16"/>
              </w:rPr>
              <w:t>1,126.34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8E1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8FF29">
            <w:pPr>
              <w:jc w:val="center"/>
            </w:pPr>
            <w:r>
              <w:rPr>
                <w:rFonts w:ascii="宋体" w:hAnsi="宋体" w:eastAsia="宋体"/>
                <w:sz w:val="16"/>
              </w:rPr>
              <w:t>96.36%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73ED">
            <w:pPr>
              <w:jc w:val="center"/>
            </w:pPr>
            <w:r>
              <w:rPr>
                <w:rFonts w:ascii="宋体" w:hAnsi="宋体" w:eastAsia="宋体"/>
                <w:sz w:val="16"/>
              </w:rPr>
              <w:t>9.64</w:t>
            </w:r>
          </w:p>
        </w:tc>
      </w:tr>
      <w:tr w14:paraId="27B330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F7DB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6BF4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A057D">
            <w:pPr>
              <w:jc w:val="center"/>
            </w:pPr>
            <w:r>
              <w:rPr>
                <w:rFonts w:ascii="宋体" w:hAnsi="宋体" w:eastAsia="宋体"/>
                <w:sz w:val="16"/>
              </w:rPr>
              <w:t>224.57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7E086">
            <w:pPr>
              <w:jc w:val="center"/>
            </w:pPr>
            <w:r>
              <w:rPr>
                <w:rFonts w:ascii="宋体" w:hAnsi="宋体" w:eastAsia="宋体"/>
                <w:sz w:val="16"/>
              </w:rPr>
              <w:t>235.72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1AEF">
            <w:pPr>
              <w:jc w:val="center"/>
            </w:pPr>
            <w:r>
              <w:rPr>
                <w:rFonts w:ascii="宋体" w:hAnsi="宋体" w:eastAsia="宋体"/>
                <w:sz w:val="16"/>
              </w:rPr>
              <w:t>193.22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E77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F2B9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C2AC9">
            <w:pPr>
              <w:jc w:val="center"/>
            </w:pPr>
            <w:r>
              <w:rPr>
                <w:rFonts w:ascii="宋体" w:hAnsi="宋体" w:eastAsia="宋体"/>
                <w:sz w:val="16"/>
              </w:rPr>
              <w:t>—</w:t>
            </w:r>
          </w:p>
        </w:tc>
      </w:tr>
      <w:tr w14:paraId="592479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AA9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F894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B8219">
            <w:pPr>
              <w:jc w:val="center"/>
            </w:pPr>
            <w:r>
              <w:rPr>
                <w:rFonts w:ascii="宋体" w:hAnsi="宋体" w:eastAsia="宋体"/>
                <w:sz w:val="16"/>
              </w:rPr>
              <w:t>877.14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E6890">
            <w:pPr>
              <w:jc w:val="center"/>
            </w:pPr>
            <w:r>
              <w:rPr>
                <w:rFonts w:ascii="宋体" w:hAnsi="宋体" w:eastAsia="宋体"/>
                <w:sz w:val="16"/>
              </w:rPr>
              <w:t>923.12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18769">
            <w:pPr>
              <w:jc w:val="center"/>
            </w:pPr>
            <w:r>
              <w:rPr>
                <w:rFonts w:ascii="宋体" w:hAnsi="宋体" w:eastAsia="宋体"/>
                <w:sz w:val="16"/>
              </w:rPr>
              <w:t>923.12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17F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7088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9470">
            <w:pPr>
              <w:jc w:val="center"/>
            </w:pPr>
            <w:r>
              <w:rPr>
                <w:rFonts w:ascii="宋体" w:hAnsi="宋体" w:eastAsia="宋体"/>
                <w:sz w:val="16"/>
              </w:rPr>
              <w:t>—</w:t>
            </w:r>
          </w:p>
        </w:tc>
      </w:tr>
      <w:tr w14:paraId="62878F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778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751E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DE2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55634">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9E202">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23A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2007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C4C88">
            <w:pPr>
              <w:jc w:val="center"/>
            </w:pPr>
            <w:r>
              <w:rPr>
                <w:rFonts w:ascii="宋体" w:hAnsi="宋体" w:eastAsia="宋体"/>
                <w:sz w:val="16"/>
              </w:rPr>
              <w:t>—</w:t>
            </w:r>
          </w:p>
        </w:tc>
      </w:tr>
      <w:tr w14:paraId="2778B2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1BD6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62B65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7C668D">
            <w:pPr>
              <w:jc w:val="center"/>
            </w:pPr>
            <w:r>
              <w:rPr>
                <w:rFonts w:ascii="宋体" w:hAnsi="宋体" w:eastAsia="宋体"/>
                <w:sz w:val="16"/>
              </w:rPr>
              <w:t>实际完成情况</w:t>
            </w:r>
          </w:p>
        </w:tc>
      </w:tr>
      <w:tr w14:paraId="285A25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75A8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3CEF35">
            <w:pPr>
              <w:jc w:val="both"/>
            </w:pPr>
            <w:r>
              <w:rPr>
                <w:rFonts w:ascii="宋体" w:hAnsi="宋体" w:eastAsia="宋体"/>
                <w:sz w:val="16"/>
              </w:rPr>
              <w:t>2024年我院全面优化刑事检察监督，保障被监管人的合法权益，持续推进公益诉讼检察，全院全年受理案件数为460件，检察建议采纳率达到100%，全县</w:t>
            </w:r>
            <w:r>
              <w:rPr>
                <w:rFonts w:hint="eastAsia" w:ascii="宋体" w:hAnsi="宋体"/>
                <w:sz w:val="16"/>
                <w:lang w:eastAsia="zh-CN"/>
              </w:rPr>
              <w:t>范围</w:t>
            </w:r>
            <w:r>
              <w:rPr>
                <w:rFonts w:ascii="宋体" w:hAnsi="宋体" w:eastAsia="宋体"/>
                <w:sz w:val="16"/>
              </w:rPr>
              <w:t>开展未成年人宣传覆盖率100%，刑事案件认罪认罚适用率达到90%以上，使群众信访案件满意度预计能达到95%以上，不断深化信访工作，提升依法履职能力，推动“四大</w:t>
            </w:r>
            <w:r>
              <w:rPr>
                <w:rFonts w:hint="eastAsia" w:ascii="宋体" w:hAnsi="宋体"/>
                <w:sz w:val="16"/>
                <w:lang w:eastAsia="zh-CN"/>
              </w:rPr>
              <w:t>检察</w:t>
            </w:r>
            <w:r>
              <w:rPr>
                <w:rFonts w:ascii="宋体" w:hAnsi="宋体" w:eastAsia="宋体"/>
                <w:sz w:val="16"/>
              </w:rPr>
              <w:t>”协调发展，打造忠诚干净担当的过硬检察队伍，维护社会治安和维护社会公平正义。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0CBF23">
            <w:pPr>
              <w:jc w:val="both"/>
            </w:pPr>
            <w:r>
              <w:rPr>
                <w:rFonts w:ascii="宋体" w:hAnsi="宋体" w:eastAsia="宋体"/>
                <w:sz w:val="16"/>
              </w:rPr>
              <w:t>泽普县人民检察院全年办理刑事案件数量为473件，受理行政公益诉讼案件线索为56件，检察建议采纳率为100%，群众信访案件满意度为95%。在县委和上级检察机关的正确领导下，在人大及其常委会的有力监督下，坚持以习近平新时代中国特色社会主义思想和党的二十大精神为指导，全面深入落实《中共中央关于加强新时代检察机关法律监督工作的意见》、第十六次</w:t>
            </w:r>
            <w:r>
              <w:rPr>
                <w:rFonts w:hint="eastAsia" w:ascii="宋体" w:hAnsi="宋体"/>
                <w:sz w:val="16"/>
                <w:lang w:eastAsia="zh-CN"/>
              </w:rPr>
              <w:t>全疆</w:t>
            </w:r>
            <w:r>
              <w:rPr>
                <w:rFonts w:ascii="宋体" w:hAnsi="宋体" w:eastAsia="宋体"/>
                <w:sz w:val="16"/>
              </w:rPr>
              <w:t>检察工作会议精神，以“务本、求实、提质、增效”为工作目标，全面优化刑事检察监督,保障被监管人的合法权益；持续加强刑事、民事检察监督；大力推进公益诉讼检察 ，不断深化信访工作；提升依法履职能力，打造忠诚干净担当的过硬检察队伍，保障检察业务工作正常运行，维护社会长治久安。</w:t>
            </w:r>
          </w:p>
        </w:tc>
      </w:tr>
      <w:tr w14:paraId="5F3698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4281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F5AD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BE5C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E41F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9459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6661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69A5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B5A6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6A251">
            <w:pPr>
              <w:jc w:val="center"/>
            </w:pPr>
            <w:r>
              <w:rPr>
                <w:rFonts w:ascii="宋体" w:hAnsi="宋体" w:eastAsia="宋体"/>
                <w:sz w:val="16"/>
              </w:rPr>
              <w:t>得分</w:t>
            </w:r>
          </w:p>
        </w:tc>
      </w:tr>
      <w:tr w14:paraId="398B84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A62E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2CAB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842B7">
            <w:pPr>
              <w:jc w:val="center"/>
            </w:pPr>
            <w:r>
              <w:rPr>
                <w:rFonts w:ascii="宋体" w:hAnsi="宋体" w:eastAsia="宋体"/>
                <w:sz w:val="16"/>
              </w:rPr>
              <w:t>全院全年受理案件数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C0E03">
            <w:pPr>
              <w:jc w:val="center"/>
            </w:pPr>
            <w:r>
              <w:rPr>
                <w:rFonts w:ascii="宋体" w:hAnsi="宋体" w:eastAsia="宋体"/>
                <w:sz w:val="16"/>
              </w:rPr>
              <w:t>&gt;=460件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A2A40">
            <w:pPr>
              <w:jc w:val="center"/>
            </w:pPr>
            <w:r>
              <w:rPr>
                <w:rFonts w:ascii="宋体" w:hAnsi="宋体" w:eastAsia="宋体"/>
                <w:sz w:val="16"/>
              </w:rPr>
              <w:t>泽普县人民检察院工作报告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9C91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15D98">
            <w:pPr>
              <w:jc w:val="center"/>
            </w:pPr>
            <w:r>
              <w:rPr>
                <w:rFonts w:ascii="宋体" w:hAnsi="宋体" w:eastAsia="宋体"/>
                <w:sz w:val="16"/>
              </w:rPr>
              <w:t>473件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07FEB">
            <w:pPr>
              <w:jc w:val="center"/>
            </w:pPr>
            <w:r>
              <w:rPr>
                <w:rFonts w:ascii="宋体" w:hAnsi="宋体" w:eastAsia="宋体"/>
                <w:sz w:val="16"/>
              </w:rPr>
              <w:t>102.82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7716F">
            <w:pPr>
              <w:jc w:val="center"/>
            </w:pPr>
            <w:r>
              <w:rPr>
                <w:rFonts w:ascii="宋体" w:hAnsi="宋体" w:eastAsia="宋体"/>
                <w:sz w:val="16"/>
              </w:rPr>
              <w:t>20</w:t>
            </w:r>
          </w:p>
        </w:tc>
      </w:tr>
      <w:tr w14:paraId="048FBF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2FB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9D5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DAC1C">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1E6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51EEE">
            <w:pPr>
              <w:jc w:val="center"/>
            </w:pPr>
            <w:r>
              <w:rPr>
                <w:rFonts w:ascii="宋体" w:hAnsi="宋体" w:eastAsia="宋体"/>
                <w:sz w:val="16"/>
              </w:rPr>
              <w:t>泽普县人民检察院工作报告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6A10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DAF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49F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963C9">
            <w:pPr>
              <w:jc w:val="center"/>
            </w:pPr>
            <w:r>
              <w:rPr>
                <w:rFonts w:ascii="宋体" w:hAnsi="宋体" w:eastAsia="宋体"/>
                <w:sz w:val="16"/>
              </w:rPr>
              <w:t>15</w:t>
            </w:r>
          </w:p>
        </w:tc>
      </w:tr>
      <w:tr w14:paraId="059E0B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DCE9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A5A1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44085">
            <w:pPr>
              <w:jc w:val="center"/>
            </w:pPr>
            <w:r>
              <w:rPr>
                <w:rFonts w:ascii="宋体" w:hAnsi="宋体" w:eastAsia="宋体"/>
                <w:sz w:val="16"/>
              </w:rPr>
              <w:t>未成年人宣传覆盖率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AFA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73F5E">
            <w:pPr>
              <w:jc w:val="center"/>
            </w:pPr>
            <w:r>
              <w:rPr>
                <w:rFonts w:ascii="宋体" w:hAnsi="宋体" w:eastAsia="宋体"/>
                <w:sz w:val="16"/>
              </w:rPr>
              <w:t>泽普县人民检察院工作报告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3D3C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CC3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EB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F646E">
            <w:pPr>
              <w:jc w:val="center"/>
            </w:pPr>
            <w:r>
              <w:rPr>
                <w:rFonts w:ascii="宋体" w:hAnsi="宋体" w:eastAsia="宋体"/>
                <w:sz w:val="16"/>
              </w:rPr>
              <w:t>15</w:t>
            </w:r>
          </w:p>
        </w:tc>
      </w:tr>
      <w:tr w14:paraId="3AA436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932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776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9905E">
            <w:pPr>
              <w:jc w:val="center"/>
            </w:pPr>
            <w:r>
              <w:rPr>
                <w:rFonts w:ascii="宋体" w:hAnsi="宋体" w:eastAsia="宋体"/>
                <w:sz w:val="16"/>
              </w:rPr>
              <w:t>认罪认罚率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77171">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63A96">
            <w:pPr>
              <w:jc w:val="center"/>
            </w:pPr>
            <w:r>
              <w:rPr>
                <w:rFonts w:ascii="宋体" w:hAnsi="宋体" w:eastAsia="宋体"/>
                <w:sz w:val="16"/>
              </w:rPr>
              <w:t>泽普县人民检察院工作报告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FD83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AA2E5">
            <w:pPr>
              <w:jc w:val="center"/>
            </w:pPr>
            <w:r>
              <w:rPr>
                <w:rFonts w:ascii="宋体" w:hAnsi="宋体" w:eastAsia="宋体"/>
                <w:sz w:val="16"/>
              </w:rPr>
              <w: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605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56A06">
            <w:pPr>
              <w:jc w:val="center"/>
            </w:pPr>
            <w:r>
              <w:rPr>
                <w:rFonts w:ascii="宋体" w:hAnsi="宋体" w:eastAsia="宋体"/>
                <w:sz w:val="16"/>
              </w:rPr>
              <w:t>20</w:t>
            </w:r>
          </w:p>
        </w:tc>
      </w:tr>
      <w:tr w14:paraId="480FED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78B27">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91F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F6181">
            <w:pPr>
              <w:jc w:val="center"/>
            </w:pPr>
            <w:r>
              <w:rPr>
                <w:rFonts w:ascii="宋体" w:hAnsi="宋体" w:eastAsia="宋体"/>
                <w:sz w:val="16"/>
              </w:rPr>
              <w:t>群众信访案件满意度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7503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8F8CC">
            <w:pPr>
              <w:jc w:val="center"/>
            </w:pPr>
            <w:r>
              <w:rPr>
                <w:rFonts w:ascii="宋体" w:hAnsi="宋体" w:eastAsia="宋体"/>
                <w:sz w:val="16"/>
              </w:rPr>
              <w:t>关于开展2023年事前绩效评估和绩效目标编制工作的通知（喀地财绩〔2023〕3号）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362B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B816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207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42D99">
            <w:pPr>
              <w:jc w:val="center"/>
            </w:pPr>
            <w:r>
              <w:rPr>
                <w:rFonts w:ascii="宋体" w:hAnsi="宋体" w:eastAsia="宋体"/>
                <w:sz w:val="16"/>
              </w:rPr>
              <w:t>20</w:t>
            </w:r>
          </w:p>
        </w:tc>
      </w:tr>
    </w:tbl>
    <w:p w14:paraId="783E2B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8D68281">
        <w:tc>
          <w:tcPr>
            <w:tcW w:w="8912" w:type="dxa"/>
            <w:gridSpan w:val="14"/>
            <w:vAlign w:val="center"/>
          </w:tcPr>
          <w:p w14:paraId="3AAE0BF6">
            <w:pPr>
              <w:jc w:val="center"/>
            </w:pPr>
            <w:r>
              <w:rPr>
                <w:rFonts w:ascii="宋体" w:hAnsi="宋体" w:eastAsia="宋体"/>
                <w:sz w:val="24"/>
              </w:rPr>
              <w:t>项目支出绩效自评表</w:t>
            </w:r>
          </w:p>
        </w:tc>
      </w:tr>
      <w:tr w14:paraId="4928D537">
        <w:tblPrEx>
          <w:tblCellMar>
            <w:top w:w="0" w:type="dxa"/>
            <w:left w:w="108" w:type="dxa"/>
            <w:bottom w:w="0" w:type="dxa"/>
            <w:right w:w="108" w:type="dxa"/>
          </w:tblCellMar>
        </w:tblPrEx>
        <w:tc>
          <w:tcPr>
            <w:tcW w:w="8912" w:type="dxa"/>
            <w:gridSpan w:val="14"/>
            <w:vAlign w:val="center"/>
          </w:tcPr>
          <w:p w14:paraId="7DE1CE4D">
            <w:pPr>
              <w:jc w:val="center"/>
            </w:pPr>
            <w:r>
              <w:rPr>
                <w:rFonts w:ascii="宋体" w:hAnsi="宋体" w:eastAsia="宋体"/>
                <w:sz w:val="24"/>
              </w:rPr>
              <w:t>(2024年度)</w:t>
            </w:r>
          </w:p>
        </w:tc>
      </w:tr>
      <w:tr w14:paraId="1B17EC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3A57">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DB6904">
            <w:pPr>
              <w:jc w:val="center"/>
            </w:pPr>
            <w:r>
              <w:rPr>
                <w:rFonts w:ascii="宋体" w:hAnsi="宋体" w:eastAsia="宋体"/>
                <w:sz w:val="16"/>
              </w:rPr>
              <w:t>机关后勤保障项目</w:t>
            </w:r>
          </w:p>
        </w:tc>
      </w:tr>
      <w:tr w14:paraId="06E95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270D">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802CB">
            <w:pPr>
              <w:jc w:val="center"/>
            </w:pPr>
            <w:r>
              <w:rPr>
                <w:rFonts w:ascii="宋体" w:hAnsi="宋体" w:eastAsia="宋体"/>
                <w:sz w:val="16"/>
              </w:rPr>
              <w:t>泽普县人民检察院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A8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46C884">
            <w:pPr>
              <w:jc w:val="center"/>
            </w:pPr>
            <w:r>
              <w:rPr>
                <w:rFonts w:ascii="宋体" w:hAnsi="宋体" w:eastAsia="宋体"/>
                <w:sz w:val="16"/>
              </w:rPr>
              <w:t>泽普县人民检察院</w:t>
            </w:r>
          </w:p>
        </w:tc>
      </w:tr>
      <w:tr w14:paraId="3B5DF9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9B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C20E3">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EEA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C2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30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3B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40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CBF7">
            <w:pPr>
              <w:jc w:val="center"/>
            </w:pPr>
            <w:r>
              <w:rPr>
                <w:rFonts w:ascii="宋体" w:hAnsi="宋体" w:eastAsia="宋体"/>
                <w:sz w:val="16"/>
              </w:rPr>
              <w:t>得分</w:t>
            </w:r>
          </w:p>
        </w:tc>
      </w:tr>
      <w:tr w14:paraId="54FBD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F82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D76E">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1148">
            <w:pPr>
              <w:jc w:val="center"/>
            </w:pPr>
            <w:r>
              <w:rPr>
                <w:rFonts w:ascii="宋体" w:hAnsi="宋体" w:eastAsia="宋体"/>
                <w:sz w:val="16"/>
              </w:rPr>
              <w:t>15.52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631D">
            <w:pPr>
              <w:jc w:val="center"/>
            </w:pPr>
            <w:r>
              <w:rPr>
                <w:rFonts w:ascii="宋体" w:hAnsi="宋体" w:eastAsia="宋体"/>
                <w:sz w:val="16"/>
              </w:rPr>
              <w:t>15.52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B8F9B">
            <w:pPr>
              <w:jc w:val="center"/>
            </w:pPr>
            <w:r>
              <w:rPr>
                <w:rFonts w:ascii="宋体" w:hAnsi="宋体" w:eastAsia="宋体"/>
                <w:sz w:val="16"/>
              </w:rPr>
              <w:t>15.52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7E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0B01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9022">
            <w:pPr>
              <w:jc w:val="center"/>
            </w:pPr>
            <w:r>
              <w:rPr>
                <w:rFonts w:ascii="宋体" w:hAnsi="宋体" w:eastAsia="宋体"/>
                <w:sz w:val="16"/>
              </w:rPr>
              <w:t>10.00分</w:t>
            </w:r>
          </w:p>
        </w:tc>
      </w:tr>
      <w:tr w14:paraId="07A33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382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8FF0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FCF3">
            <w:pPr>
              <w:jc w:val="center"/>
            </w:pPr>
            <w:r>
              <w:rPr>
                <w:rFonts w:ascii="宋体" w:hAnsi="宋体" w:eastAsia="宋体"/>
                <w:sz w:val="16"/>
              </w:rPr>
              <w:t>15.52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F8C6B">
            <w:pPr>
              <w:jc w:val="center"/>
            </w:pPr>
            <w:r>
              <w:rPr>
                <w:rFonts w:ascii="宋体" w:hAnsi="宋体" w:eastAsia="宋体"/>
                <w:sz w:val="16"/>
              </w:rPr>
              <w:t>15.52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078EB">
            <w:pPr>
              <w:jc w:val="center"/>
            </w:pPr>
            <w:r>
              <w:rPr>
                <w:rFonts w:ascii="宋体" w:hAnsi="宋体" w:eastAsia="宋体"/>
                <w:sz w:val="16"/>
              </w:rPr>
              <w:t>15.52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18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10D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C72F">
            <w:pPr>
              <w:jc w:val="center"/>
            </w:pPr>
            <w:r>
              <w:rPr>
                <w:rFonts w:ascii="宋体" w:hAnsi="宋体" w:eastAsia="宋体"/>
                <w:sz w:val="16"/>
              </w:rPr>
              <w:t>—</w:t>
            </w:r>
          </w:p>
        </w:tc>
      </w:tr>
      <w:tr w14:paraId="1D39D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2C5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E2726">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F20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D34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77F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CA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60D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D96B">
            <w:pPr>
              <w:jc w:val="center"/>
            </w:pPr>
            <w:r>
              <w:rPr>
                <w:rFonts w:ascii="宋体" w:hAnsi="宋体" w:eastAsia="宋体"/>
                <w:sz w:val="16"/>
              </w:rPr>
              <w:t>—</w:t>
            </w:r>
          </w:p>
        </w:tc>
      </w:tr>
      <w:tr w14:paraId="4E6696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8FE10">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9A4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3FF51">
            <w:pPr>
              <w:jc w:val="center"/>
            </w:pPr>
            <w:r>
              <w:rPr>
                <w:rFonts w:ascii="宋体" w:hAnsi="宋体" w:eastAsia="宋体"/>
                <w:sz w:val="16"/>
              </w:rPr>
              <w:t>实际完成情况</w:t>
            </w:r>
          </w:p>
        </w:tc>
      </w:tr>
      <w:tr w14:paraId="03ED1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D9488"/>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C8301">
            <w:pPr>
              <w:jc w:val="both"/>
            </w:pPr>
            <w:r>
              <w:rPr>
                <w:rFonts w:ascii="宋体" w:hAnsi="宋体" w:eastAsia="宋体"/>
                <w:sz w:val="16"/>
              </w:rPr>
              <w:t>该项目依据年初预算批复下达本级项目资金15.52万元,其中劳务费项目15.52万元，用于单位后勤保障人员支出；保障基层检察院</w:t>
            </w:r>
            <w:r>
              <w:rPr>
                <w:rFonts w:hint="eastAsia" w:ascii="宋体" w:hAnsi="宋体"/>
                <w:sz w:val="16"/>
                <w:lang w:val="en-US" w:eastAsia="zh-CN"/>
              </w:rPr>
              <w:t>办公正</w:t>
            </w:r>
            <w:r>
              <w:rPr>
                <w:rFonts w:ascii="宋体" w:hAnsi="宋体" w:eastAsia="宋体"/>
                <w:sz w:val="16"/>
              </w:rPr>
              <w:t>常运行，提高工作效率，全面推进各项检察工作业务，充分发挥基层检察职能作用，有效促进司法为民，努力让人民群众在每一件司法案件中感受到公平正义。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A446A4">
            <w:pPr>
              <w:jc w:val="both"/>
            </w:pPr>
            <w:r>
              <w:rPr>
                <w:rFonts w:ascii="宋体" w:hAnsi="宋体" w:eastAsia="宋体"/>
                <w:sz w:val="16"/>
              </w:rPr>
              <w:t>该项目资金为15.52万元，主要用于劳务费支出，目前已执行完毕。该资金保障了13名劳务派遣人员支出，有力保障了单位办案正常运转，截至目前我院受理起诉案件256件，已办结245件，充分保障了犯罪嫌疑人的权益。</w:t>
            </w:r>
          </w:p>
        </w:tc>
      </w:tr>
      <w:tr w14:paraId="4768F8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421C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6C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34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F7CF">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4BB0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71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BE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A8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1A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8C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CC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A7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3EF77">
            <w:pPr>
              <w:jc w:val="center"/>
            </w:pPr>
            <w:r>
              <w:rPr>
                <w:rFonts w:ascii="宋体" w:hAnsi="宋体" w:eastAsia="宋体"/>
                <w:sz w:val="16"/>
              </w:rPr>
              <w:t>偏差原因分析及改进措施</w:t>
            </w:r>
          </w:p>
        </w:tc>
      </w:tr>
      <w:tr w14:paraId="1FEC99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A06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96E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1D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95C5">
            <w:pPr>
              <w:jc w:val="center"/>
            </w:pPr>
            <w:r>
              <w:rPr>
                <w:rFonts w:ascii="宋体" w:hAnsi="宋体" w:eastAsia="宋体"/>
                <w:sz w:val="16"/>
              </w:rPr>
              <w:t>服务保障人数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058E76">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7BF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6203">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C1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57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EB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78BE">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0B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9AB69">
            <w:pPr>
              <w:jc w:val="center"/>
            </w:pPr>
          </w:p>
        </w:tc>
      </w:tr>
      <w:tr w14:paraId="4BDA9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8FA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A9C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4D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28C0">
            <w:pPr>
              <w:jc w:val="center"/>
            </w:pPr>
            <w:r>
              <w:rPr>
                <w:rFonts w:ascii="宋体" w:hAnsi="宋体" w:eastAsia="宋体"/>
                <w:sz w:val="16"/>
              </w:rPr>
              <w:t>支出程序合规率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093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D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1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0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39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77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B4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68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A30C">
            <w:pPr>
              <w:jc w:val="center"/>
            </w:pPr>
          </w:p>
        </w:tc>
      </w:tr>
      <w:tr w14:paraId="4A4B2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50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3A8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142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0F2E">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433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70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D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DE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DD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D5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A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3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D81F">
            <w:pPr>
              <w:jc w:val="center"/>
            </w:pPr>
          </w:p>
        </w:tc>
      </w:tr>
      <w:tr w14:paraId="5CBA7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9E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75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AB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83F7">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145773">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3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0F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01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9B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B7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21D5">
            <w:pPr>
              <w:jc w:val="center"/>
            </w:pPr>
            <w:r>
              <w:rPr>
                <w:rFonts w:ascii="宋体" w:hAnsi="宋体" w:eastAsia="宋体"/>
                <w:sz w:val="16"/>
              </w:rPr>
              <w:t>=2024年4月23日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90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F4956">
            <w:pPr>
              <w:jc w:val="center"/>
            </w:pPr>
          </w:p>
        </w:tc>
      </w:tr>
      <w:tr w14:paraId="4839D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BEE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C2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F6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5460">
            <w:pPr>
              <w:jc w:val="center"/>
            </w:pPr>
            <w:r>
              <w:rPr>
                <w:rFonts w:ascii="宋体" w:hAnsi="宋体" w:eastAsia="宋体"/>
                <w:sz w:val="16"/>
              </w:rPr>
              <w:t>劳务支出成本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958E3A">
            <w:pPr>
              <w:jc w:val="center"/>
            </w:pPr>
            <w:r>
              <w:rPr>
                <w:rFonts w:ascii="宋体" w:hAnsi="宋体" w:eastAsia="宋体"/>
                <w:sz w:val="16"/>
              </w:rPr>
              <w:t>&lt;=1.19万元/人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56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36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B0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6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A2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1F99">
            <w:pPr>
              <w:jc w:val="center"/>
            </w:pPr>
            <w:r>
              <w:rPr>
                <w:rFonts w:ascii="宋体" w:hAnsi="宋体" w:eastAsia="宋体"/>
                <w:sz w:val="16"/>
              </w:rPr>
              <w:t>=1.19万元/人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CD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2228">
            <w:pPr>
              <w:jc w:val="center"/>
            </w:pPr>
          </w:p>
        </w:tc>
      </w:tr>
      <w:tr w14:paraId="3ED9E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B0A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4C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BB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B114">
            <w:pPr>
              <w:jc w:val="center"/>
            </w:pPr>
            <w:r>
              <w:rPr>
                <w:rFonts w:ascii="宋体" w:hAnsi="宋体" w:eastAsia="宋体"/>
                <w:sz w:val="16"/>
              </w:rPr>
              <w:t>维护社会公平正义情况</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4994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F04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91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E2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35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04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C2A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9D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4D09">
            <w:pPr>
              <w:jc w:val="center"/>
            </w:pPr>
          </w:p>
        </w:tc>
      </w:tr>
      <w:tr w14:paraId="243A4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2C7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7B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1C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B256">
            <w:pPr>
              <w:jc w:val="center"/>
            </w:pPr>
            <w:r>
              <w:rPr>
                <w:rFonts w:ascii="宋体" w:hAnsi="宋体" w:eastAsia="宋体"/>
                <w:sz w:val="16"/>
              </w:rPr>
              <w:t>后勤人员满意度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180A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1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E7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EB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02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B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E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69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8C8D">
            <w:pPr>
              <w:jc w:val="center"/>
            </w:pPr>
            <w:r>
              <w:rPr>
                <w:rFonts w:ascii="宋体" w:hAnsi="宋体" w:eastAsia="宋体"/>
                <w:sz w:val="16"/>
              </w:rPr>
              <w:t>偏差原因：年初目标设置不合理，导致指标实际完成值高于年初预期值。改进措施：以后年度根据项目实际情况设置预期指标值。</w:t>
            </w:r>
          </w:p>
        </w:tc>
      </w:tr>
      <w:tr w14:paraId="3ACED5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2549">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4B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ACB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6A06CD">
            <w:pPr>
              <w:jc w:val="center"/>
            </w:pPr>
            <w:r>
              <w:rPr>
                <w:rFonts w:ascii="宋体" w:hAnsi="宋体" w:eastAsia="宋体"/>
                <w:sz w:val="16"/>
              </w:rPr>
              <w:t>100分</w:t>
            </w:r>
          </w:p>
        </w:tc>
      </w:tr>
    </w:tbl>
    <w:p w14:paraId="0560DB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5E218850">
        <w:tblPrEx>
          <w:tblCellMar>
            <w:top w:w="0" w:type="dxa"/>
            <w:left w:w="108" w:type="dxa"/>
            <w:bottom w:w="0" w:type="dxa"/>
            <w:right w:w="108" w:type="dxa"/>
          </w:tblCellMar>
        </w:tblPrEx>
        <w:tc>
          <w:tcPr>
            <w:tcW w:w="8848" w:type="dxa"/>
            <w:gridSpan w:val="14"/>
            <w:vAlign w:val="center"/>
          </w:tcPr>
          <w:p w14:paraId="76ED0364">
            <w:pPr>
              <w:jc w:val="center"/>
            </w:pPr>
            <w:r>
              <w:rPr>
                <w:rFonts w:ascii="宋体" w:hAnsi="宋体" w:eastAsia="宋体"/>
                <w:sz w:val="24"/>
              </w:rPr>
              <w:t>项目支出绩效自评表</w:t>
            </w:r>
          </w:p>
        </w:tc>
      </w:tr>
      <w:tr w14:paraId="3464270E">
        <w:tblPrEx>
          <w:tblCellMar>
            <w:top w:w="0" w:type="dxa"/>
            <w:left w:w="108" w:type="dxa"/>
            <w:bottom w:w="0" w:type="dxa"/>
            <w:right w:w="108" w:type="dxa"/>
          </w:tblCellMar>
        </w:tblPrEx>
        <w:tc>
          <w:tcPr>
            <w:tcW w:w="8848" w:type="dxa"/>
            <w:gridSpan w:val="14"/>
            <w:vAlign w:val="center"/>
          </w:tcPr>
          <w:p w14:paraId="75CF806D">
            <w:pPr>
              <w:jc w:val="center"/>
            </w:pPr>
            <w:r>
              <w:rPr>
                <w:rFonts w:ascii="宋体" w:hAnsi="宋体" w:eastAsia="宋体"/>
                <w:sz w:val="24"/>
              </w:rPr>
              <w:t>(2024年度)</w:t>
            </w:r>
          </w:p>
        </w:tc>
      </w:tr>
      <w:tr w14:paraId="094A18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95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31E155">
            <w:pPr>
              <w:jc w:val="center"/>
            </w:pPr>
            <w:r>
              <w:rPr>
                <w:rFonts w:ascii="宋体" w:hAnsi="宋体" w:eastAsia="宋体"/>
                <w:sz w:val="16"/>
              </w:rPr>
              <w:t>泽普检察院赴闵行检察院交流培训项目</w:t>
            </w:r>
          </w:p>
        </w:tc>
      </w:tr>
      <w:tr w14:paraId="5D3622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AF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3748F">
            <w:pPr>
              <w:jc w:val="center"/>
            </w:pPr>
            <w:r>
              <w:rPr>
                <w:rFonts w:ascii="宋体" w:hAnsi="宋体" w:eastAsia="宋体"/>
                <w:sz w:val="16"/>
              </w:rPr>
              <w:t>泽普县人民检察院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02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261B26">
            <w:pPr>
              <w:jc w:val="center"/>
            </w:pPr>
            <w:r>
              <w:rPr>
                <w:rFonts w:ascii="宋体" w:hAnsi="宋体" w:eastAsia="宋体"/>
                <w:sz w:val="16"/>
              </w:rPr>
              <w:t>泽普县人民检察院</w:t>
            </w:r>
          </w:p>
        </w:tc>
      </w:tr>
      <w:tr w14:paraId="164E18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7D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AC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36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EF7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A6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484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BB4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E8C2">
            <w:pPr>
              <w:jc w:val="center"/>
            </w:pPr>
            <w:r>
              <w:rPr>
                <w:rFonts w:ascii="宋体" w:hAnsi="宋体" w:eastAsia="宋体"/>
                <w:sz w:val="16"/>
              </w:rPr>
              <w:t>得分</w:t>
            </w:r>
          </w:p>
        </w:tc>
      </w:tr>
      <w:tr w14:paraId="328DD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81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26B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966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A33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A50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0D0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F3C7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F7FE">
            <w:pPr>
              <w:jc w:val="center"/>
            </w:pPr>
            <w:r>
              <w:rPr>
                <w:rFonts w:ascii="宋体" w:hAnsi="宋体" w:eastAsia="宋体"/>
                <w:sz w:val="16"/>
              </w:rPr>
              <w:t>10.00分</w:t>
            </w:r>
          </w:p>
        </w:tc>
      </w:tr>
      <w:tr w14:paraId="245AC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730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A5B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05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E52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4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4A3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F0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58B2">
            <w:pPr>
              <w:jc w:val="center"/>
            </w:pPr>
            <w:r>
              <w:rPr>
                <w:rFonts w:ascii="宋体" w:hAnsi="宋体" w:eastAsia="宋体"/>
                <w:sz w:val="16"/>
              </w:rPr>
              <w:t>—</w:t>
            </w:r>
          </w:p>
        </w:tc>
      </w:tr>
      <w:tr w14:paraId="1B06F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9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92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F44E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40B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3E2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A48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781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28F4">
            <w:pPr>
              <w:jc w:val="center"/>
            </w:pPr>
            <w:r>
              <w:rPr>
                <w:rFonts w:ascii="宋体" w:hAnsi="宋体" w:eastAsia="宋体"/>
                <w:sz w:val="16"/>
              </w:rPr>
              <w:t>—</w:t>
            </w:r>
          </w:p>
        </w:tc>
      </w:tr>
      <w:tr w14:paraId="2644F4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B36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E24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CC342">
            <w:pPr>
              <w:jc w:val="center"/>
            </w:pPr>
            <w:r>
              <w:rPr>
                <w:rFonts w:ascii="宋体" w:hAnsi="宋体" w:eastAsia="宋体"/>
                <w:sz w:val="16"/>
              </w:rPr>
              <w:t>实际完成情况</w:t>
            </w:r>
          </w:p>
        </w:tc>
      </w:tr>
      <w:tr w14:paraId="59A9B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84D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B3B7A">
            <w:pPr>
              <w:jc w:val="both"/>
            </w:pPr>
            <w:r>
              <w:rPr>
                <w:rFonts w:ascii="宋体" w:hAnsi="宋体" w:eastAsia="宋体"/>
                <w:sz w:val="16"/>
              </w:rPr>
              <w:t>该项目根据泽普县援疆资金方案下达本级项目资金10万元，该项目主要用于2024年4</w:t>
            </w:r>
            <w:r>
              <w:rPr>
                <w:rFonts w:hint="eastAsia" w:ascii="宋体" w:hAnsi="宋体"/>
                <w:sz w:val="16"/>
                <w:lang w:eastAsia="zh-CN"/>
              </w:rPr>
              <w:t>—</w:t>
            </w:r>
            <w:r>
              <w:rPr>
                <w:rFonts w:ascii="宋体" w:hAnsi="宋体" w:eastAsia="宋体"/>
                <w:sz w:val="16"/>
              </w:rPr>
              <w:t>11月，16人分两批次赴闵行检察院实地培训检察业务工作，通过培训学习先进办案理念、经验，提升办案质量、履职能力。主要用于人员往返交通费、住宿费、差旅费等，切实夯实基层检察院办案力量，全力打造一支素质过硬检察队伍，为泽普发展保驾护航，使人民群众时刻感受到公平正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97BA7">
            <w:pPr>
              <w:jc w:val="both"/>
            </w:pPr>
            <w:r>
              <w:rPr>
                <w:rFonts w:ascii="宋体" w:hAnsi="宋体" w:eastAsia="宋体"/>
                <w:sz w:val="16"/>
              </w:rPr>
              <w:t>该项目全部资金用于2024年4</w:t>
            </w:r>
            <w:r>
              <w:rPr>
                <w:rFonts w:hint="eastAsia" w:ascii="宋体" w:hAnsi="宋体"/>
                <w:sz w:val="16"/>
                <w:lang w:eastAsia="zh-CN"/>
              </w:rPr>
              <w:t>—</w:t>
            </w:r>
            <w:r>
              <w:rPr>
                <w:rFonts w:ascii="宋体" w:hAnsi="宋体" w:eastAsia="宋体"/>
                <w:sz w:val="16"/>
              </w:rPr>
              <w:t>11月，16人分两批次赴闵行检察院实地培训检察业务工作，通过汲取先进的发展理念、拓宽工作思路，创新工作方式方法，实现资源共享、优势互补，全力打造一支素质过硬检察队伍，开创泽普检察工作新局面。</w:t>
            </w:r>
          </w:p>
        </w:tc>
      </w:tr>
      <w:tr w14:paraId="3BE9D6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B54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A6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4A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5E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5C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DE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5A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44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CD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3B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18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5F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508E">
            <w:pPr>
              <w:jc w:val="center"/>
            </w:pPr>
            <w:r>
              <w:rPr>
                <w:rFonts w:ascii="宋体" w:hAnsi="宋体" w:eastAsia="宋体"/>
                <w:sz w:val="16"/>
              </w:rPr>
              <w:t>偏差原因分析及改进措施</w:t>
            </w:r>
          </w:p>
        </w:tc>
      </w:tr>
      <w:tr w14:paraId="3A1037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BC3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04E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E5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6418">
            <w:pPr>
              <w:jc w:val="center"/>
            </w:pPr>
            <w:r>
              <w:rPr>
                <w:rFonts w:ascii="宋体" w:hAnsi="宋体" w:eastAsia="宋体"/>
                <w:sz w:val="16"/>
              </w:rPr>
              <w:t>参加培训次数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08C3">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48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6361">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4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1E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B28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BE78">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01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3BB8D">
            <w:pPr>
              <w:jc w:val="center"/>
            </w:pPr>
          </w:p>
        </w:tc>
      </w:tr>
      <w:tr w14:paraId="46810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11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40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AA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30F8">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C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4B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7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79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E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70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0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05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A7A4">
            <w:pPr>
              <w:jc w:val="center"/>
            </w:pPr>
          </w:p>
        </w:tc>
      </w:tr>
      <w:tr w14:paraId="1E4F1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C0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D45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B94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CF64">
            <w:pPr>
              <w:jc w:val="center"/>
            </w:pPr>
            <w:r>
              <w:rPr>
                <w:rFonts w:ascii="宋体" w:hAnsi="宋体" w:eastAsia="宋体"/>
                <w:sz w:val="16"/>
              </w:rPr>
              <w:t>培训开展及时性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5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F9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5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80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26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1E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2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EA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3EC0">
            <w:pPr>
              <w:jc w:val="center"/>
            </w:pPr>
          </w:p>
        </w:tc>
      </w:tr>
      <w:tr w14:paraId="49D6E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AD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E4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9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4C5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9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3F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8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7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6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EC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4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7E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6E87">
            <w:pPr>
              <w:jc w:val="center"/>
            </w:pPr>
          </w:p>
        </w:tc>
      </w:tr>
      <w:tr w14:paraId="089F2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76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B4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0B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810B">
            <w:pPr>
              <w:jc w:val="center"/>
            </w:pPr>
            <w:r>
              <w:rPr>
                <w:rFonts w:ascii="宋体" w:hAnsi="宋体" w:eastAsia="宋体"/>
                <w:sz w:val="16"/>
              </w:rPr>
              <w:t>培训费用平均成本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C96B">
            <w:pPr>
              <w:jc w:val="center"/>
            </w:pPr>
            <w:r>
              <w:rPr>
                <w:rFonts w:ascii="宋体" w:hAnsi="宋体" w:eastAsia="宋体"/>
                <w:sz w:val="16"/>
              </w:rPr>
              <w:t>&lt;=5万元/批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F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CA52">
            <w:pPr>
              <w:jc w:val="center"/>
            </w:pPr>
            <w:r>
              <w:rPr>
                <w:rFonts w:ascii="宋体" w:hAnsi="宋体" w:eastAsia="宋体"/>
                <w:sz w:val="16"/>
              </w:rPr>
              <w:t>5万元/批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F7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3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26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F7D8">
            <w:pPr>
              <w:jc w:val="center"/>
            </w:pPr>
            <w:r>
              <w:rPr>
                <w:rFonts w:ascii="宋体" w:hAnsi="宋体" w:eastAsia="宋体"/>
                <w:sz w:val="16"/>
              </w:rPr>
              <w:t>=5万元/批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7B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73612">
            <w:pPr>
              <w:jc w:val="center"/>
            </w:pPr>
          </w:p>
        </w:tc>
      </w:tr>
      <w:tr w14:paraId="4F4BC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79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E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8B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C3C6">
            <w:pPr>
              <w:jc w:val="center"/>
            </w:pPr>
            <w:r>
              <w:rPr>
                <w:rFonts w:ascii="宋体" w:hAnsi="宋体" w:eastAsia="宋体"/>
                <w:sz w:val="16"/>
              </w:rPr>
              <w:t>提升干警素能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B4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A74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09B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51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FB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A3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907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BF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FFE5">
            <w:pPr>
              <w:jc w:val="center"/>
            </w:pPr>
          </w:p>
        </w:tc>
      </w:tr>
      <w:tr w14:paraId="79934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EC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E0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AE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45C9">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7A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5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8E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46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98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C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C249">
            <w:pPr>
              <w:jc w:val="center"/>
            </w:pPr>
            <w:r>
              <w:rPr>
                <w:rFonts w:ascii="宋体" w:hAnsi="宋体" w:eastAsia="宋体"/>
                <w:sz w:val="16"/>
              </w:rPr>
              <w:t>=96.88%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38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0130">
            <w:pPr>
              <w:jc w:val="center"/>
            </w:pPr>
            <w:r>
              <w:rPr>
                <w:rFonts w:ascii="宋体" w:hAnsi="宋体" w:eastAsia="宋体"/>
                <w:sz w:val="16"/>
              </w:rPr>
              <w:t>偏差原因：参与培训人员对此项目较满意，与预期目标值存在差异。改进措施：加强预算监督管理体系，做好预期目标计划。</w:t>
            </w:r>
          </w:p>
        </w:tc>
      </w:tr>
      <w:tr w14:paraId="1026DF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A24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8F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DFB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BDBCFC">
            <w:pPr>
              <w:jc w:val="center"/>
            </w:pPr>
            <w:r>
              <w:rPr>
                <w:rFonts w:ascii="宋体" w:hAnsi="宋体" w:eastAsia="宋体"/>
                <w:sz w:val="16"/>
              </w:rPr>
              <w:t>100分</w:t>
            </w:r>
          </w:p>
        </w:tc>
      </w:tr>
    </w:tbl>
    <w:p w14:paraId="7B641AF6">
      <w:r>
        <w:br w:type="page"/>
      </w:r>
    </w:p>
    <w:p w14:paraId="08224298">
      <w:pPr>
        <w:spacing w:line="640" w:lineRule="exact"/>
        <w:ind w:firstLine="640"/>
        <w:jc w:val="both"/>
        <w:outlineLvl w:val="2"/>
      </w:pPr>
      <w:r>
        <w:rPr>
          <w:rFonts w:ascii="黑体" w:hAnsi="黑体" w:eastAsia="黑体"/>
          <w:sz w:val="32"/>
        </w:rPr>
        <w:t>十二、其他需说明的事项</w:t>
      </w:r>
    </w:p>
    <w:p w14:paraId="0725EA2D">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项6个，全年预算数230.88万元，全年执行数188.37万元。</w:t>
      </w:r>
      <w:bookmarkStart w:id="0" w:name="_GoBack"/>
      <w:bookmarkEnd w:id="0"/>
    </w:p>
    <w:p w14:paraId="0B096C8E">
      <w:r>
        <w:br w:type="page"/>
      </w:r>
    </w:p>
    <w:p w14:paraId="64558B59">
      <w:pPr>
        <w:spacing w:line="240" w:lineRule="auto"/>
        <w:jc w:val="center"/>
        <w:outlineLvl w:val="1"/>
      </w:pPr>
      <w:r>
        <w:rPr>
          <w:rFonts w:ascii="黑体" w:hAnsi="黑体" w:eastAsia="黑体"/>
          <w:sz w:val="32"/>
        </w:rPr>
        <w:t>第三部分 专业名词解释</w:t>
      </w:r>
    </w:p>
    <w:p w14:paraId="715FD3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617C8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3677D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63725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B22F3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B6C60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AAA6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6503A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1978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34487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75C73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59F5D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389D6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1FAE0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D04D7C">
      <w:r>
        <w:br w:type="page"/>
      </w:r>
    </w:p>
    <w:p w14:paraId="482C27C1">
      <w:pPr>
        <w:spacing w:line="240" w:lineRule="auto"/>
        <w:jc w:val="center"/>
        <w:outlineLvl w:val="1"/>
      </w:pPr>
      <w:r>
        <w:rPr>
          <w:rFonts w:ascii="黑体" w:hAnsi="黑体" w:eastAsia="黑体"/>
          <w:sz w:val="32"/>
        </w:rPr>
        <w:t>第四部分 部门决算报表（见附表）</w:t>
      </w:r>
    </w:p>
    <w:p w14:paraId="39A14D44">
      <w:pPr>
        <w:spacing w:line="240" w:lineRule="auto"/>
        <w:ind w:firstLine="640"/>
        <w:jc w:val="both"/>
      </w:pPr>
      <w:r>
        <w:rPr>
          <w:rFonts w:ascii="仿宋_GB2312" w:hAnsi="仿宋_GB2312" w:eastAsia="仿宋_GB2312"/>
          <w:b w:val="0"/>
          <w:sz w:val="32"/>
        </w:rPr>
        <w:t>一、《收入支出决算总表》</w:t>
      </w:r>
    </w:p>
    <w:p w14:paraId="3CD0A014">
      <w:pPr>
        <w:spacing w:line="240" w:lineRule="auto"/>
        <w:ind w:firstLine="640"/>
        <w:jc w:val="both"/>
      </w:pPr>
      <w:r>
        <w:rPr>
          <w:rFonts w:ascii="仿宋_GB2312" w:hAnsi="仿宋_GB2312" w:eastAsia="仿宋_GB2312"/>
          <w:b w:val="0"/>
          <w:sz w:val="32"/>
        </w:rPr>
        <w:t>二、《收入决算表》</w:t>
      </w:r>
    </w:p>
    <w:p w14:paraId="3AB0E822">
      <w:pPr>
        <w:spacing w:line="240" w:lineRule="auto"/>
        <w:ind w:firstLine="640"/>
        <w:jc w:val="both"/>
      </w:pPr>
      <w:r>
        <w:rPr>
          <w:rFonts w:ascii="仿宋_GB2312" w:hAnsi="仿宋_GB2312" w:eastAsia="仿宋_GB2312"/>
          <w:b w:val="0"/>
          <w:sz w:val="32"/>
        </w:rPr>
        <w:t>三、《支出决算表》</w:t>
      </w:r>
    </w:p>
    <w:p w14:paraId="4C482973">
      <w:pPr>
        <w:spacing w:line="240" w:lineRule="auto"/>
        <w:ind w:firstLine="640"/>
        <w:jc w:val="both"/>
      </w:pPr>
      <w:r>
        <w:rPr>
          <w:rFonts w:ascii="仿宋_GB2312" w:hAnsi="仿宋_GB2312" w:eastAsia="仿宋_GB2312"/>
          <w:b w:val="0"/>
          <w:sz w:val="32"/>
        </w:rPr>
        <w:t>四、《财政拨款收入支出决算总表》</w:t>
      </w:r>
    </w:p>
    <w:p w14:paraId="2DB63C8E">
      <w:pPr>
        <w:spacing w:line="240" w:lineRule="auto"/>
        <w:ind w:firstLine="640"/>
        <w:jc w:val="both"/>
      </w:pPr>
      <w:r>
        <w:rPr>
          <w:rFonts w:ascii="仿宋_GB2312" w:hAnsi="仿宋_GB2312" w:eastAsia="仿宋_GB2312"/>
          <w:b w:val="0"/>
          <w:sz w:val="32"/>
        </w:rPr>
        <w:t>五、《一般公共预算财政拨款支出决算表》</w:t>
      </w:r>
    </w:p>
    <w:p w14:paraId="16C9673D">
      <w:pPr>
        <w:spacing w:line="240" w:lineRule="auto"/>
        <w:ind w:firstLine="640"/>
        <w:jc w:val="both"/>
      </w:pPr>
      <w:r>
        <w:rPr>
          <w:rFonts w:ascii="仿宋_GB2312" w:hAnsi="仿宋_GB2312" w:eastAsia="仿宋_GB2312"/>
          <w:b w:val="0"/>
          <w:sz w:val="32"/>
        </w:rPr>
        <w:t>六、《一般公共预算财政拨款基本支出决算表》</w:t>
      </w:r>
    </w:p>
    <w:p w14:paraId="75848EB6">
      <w:pPr>
        <w:spacing w:line="240" w:lineRule="auto"/>
        <w:ind w:firstLine="640"/>
        <w:jc w:val="both"/>
      </w:pPr>
      <w:r>
        <w:rPr>
          <w:rFonts w:ascii="仿宋_GB2312" w:hAnsi="仿宋_GB2312" w:eastAsia="仿宋_GB2312"/>
          <w:b w:val="0"/>
          <w:sz w:val="32"/>
        </w:rPr>
        <w:t>七、《政府性基金预算财政拨款收入支出决算表》</w:t>
      </w:r>
    </w:p>
    <w:p w14:paraId="5AA631B6">
      <w:pPr>
        <w:spacing w:line="240" w:lineRule="auto"/>
        <w:ind w:firstLine="640"/>
        <w:jc w:val="both"/>
      </w:pPr>
      <w:r>
        <w:rPr>
          <w:rFonts w:ascii="仿宋_GB2312" w:hAnsi="仿宋_GB2312" w:eastAsia="仿宋_GB2312"/>
          <w:b w:val="0"/>
          <w:sz w:val="32"/>
        </w:rPr>
        <w:t>八、《国有资本经营预算财政拨款收入支出决算表》</w:t>
      </w:r>
    </w:p>
    <w:p w14:paraId="006A6830">
      <w:pPr>
        <w:spacing w:line="240" w:lineRule="auto"/>
        <w:ind w:firstLine="640"/>
        <w:jc w:val="both"/>
      </w:pPr>
      <w:r>
        <w:rPr>
          <w:rFonts w:ascii="仿宋_GB2312" w:hAnsi="仿宋_GB2312" w:eastAsia="仿宋_GB2312"/>
          <w:b w:val="0"/>
          <w:sz w:val="32"/>
        </w:rPr>
        <w:t>九、《财政拨款“三公”经费支出决算表》</w:t>
      </w:r>
    </w:p>
    <w:p w14:paraId="144CAD3C">
      <w:pPr>
        <w:spacing w:line="240" w:lineRule="auto"/>
        <w:ind w:firstLine="640"/>
        <w:jc w:val="both"/>
      </w:pPr>
    </w:p>
    <w:p w14:paraId="2C4BEBB6">
      <w:pPr>
        <w:spacing w:line="240" w:lineRule="auto"/>
        <w:ind w:firstLine="640"/>
        <w:jc w:val="both"/>
      </w:pPr>
    </w:p>
    <w:p w14:paraId="6C88DF3D">
      <w:pPr>
        <w:spacing w:line="240" w:lineRule="auto"/>
        <w:ind w:firstLine="640"/>
        <w:jc w:val="both"/>
      </w:pPr>
    </w:p>
    <w:p w14:paraId="3F807D68">
      <w:pPr>
        <w:spacing w:line="240" w:lineRule="auto"/>
        <w:ind w:firstLine="640"/>
        <w:jc w:val="both"/>
      </w:pPr>
    </w:p>
    <w:p w14:paraId="2D2EC32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33D0EE-C7F8-4898-AEB7-5419350D45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EC2584F-3ABB-4608-B28E-857EBC0C6AFB}"/>
  </w:font>
  <w:font w:name="方正小标宋_GBK">
    <w:panose1 w:val="02000000000000000000"/>
    <w:charset w:val="86"/>
    <w:family w:val="script"/>
    <w:pitch w:val="default"/>
    <w:sig w:usb0="A00002BF" w:usb1="38CF7CFA" w:usb2="00082016" w:usb3="00000000" w:csb0="00040001" w:csb1="00000000"/>
    <w:embedRegular r:id="rId3" w:fontKey="{4CE35FB0-81DC-4316-A273-05043FE16051}"/>
  </w:font>
  <w:font w:name="楷体_GB2312">
    <w:altName w:val="楷体"/>
    <w:panose1 w:val="02010609030101010101"/>
    <w:charset w:val="86"/>
    <w:family w:val="auto"/>
    <w:pitch w:val="default"/>
    <w:sig w:usb0="00000000" w:usb1="00000000" w:usb2="00000000" w:usb3="00000000" w:csb0="00040000" w:csb1="00000000"/>
    <w:embedRegular r:id="rId4" w:fontKey="{6DD41B8C-875E-47E5-82D6-EA740FB94258}"/>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BB784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A24DBD"/>
    <w:rsid w:val="38006E2C"/>
    <w:rsid w:val="3914510A"/>
    <w:rsid w:val="3A0F6392"/>
    <w:rsid w:val="3B1220C9"/>
    <w:rsid w:val="3C2868F6"/>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B16E6E"/>
    <w:rsid w:val="5FA17648"/>
    <w:rsid w:val="5FD320BD"/>
    <w:rsid w:val="60DE4D57"/>
    <w:rsid w:val="613409CB"/>
    <w:rsid w:val="61A46A97"/>
    <w:rsid w:val="62DD7D21"/>
    <w:rsid w:val="63AF58DE"/>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5720</Words>
  <Characters>6628</Characters>
  <Lines>0</Lines>
  <Paragraphs>0</Paragraphs>
  <TotalTime>9</TotalTime>
  <ScaleCrop>false</ScaleCrop>
  <LinksUpToDate>false</LinksUpToDate>
  <CharactersWithSpaces>6637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