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63320B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疏勒县人民检察院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9E656D">
      <w:r>
        <w:br w:type="page"/>
      </w:r>
    </w:p>
    <w:p w14:paraId="4020C4A7">
      <w:pPr>
        <w:spacing w:line="640" w:lineRule="exact"/>
        <w:jc w:val="center"/>
        <w:outlineLvl w:val="1"/>
      </w:pPr>
      <w:r>
        <w:rPr>
          <w:rFonts w:ascii="黑体" w:hAnsi="黑体" w:eastAsia="黑体"/>
          <w:sz w:val="32"/>
        </w:rPr>
        <w:t>第一部分 部门概况</w:t>
      </w:r>
    </w:p>
    <w:p w14:paraId="3F0BB479">
      <w:pPr>
        <w:spacing w:line="640" w:lineRule="exact"/>
        <w:ind w:firstLine="640"/>
        <w:jc w:val="both"/>
        <w:outlineLvl w:val="2"/>
      </w:pPr>
      <w:r>
        <w:rPr>
          <w:rFonts w:ascii="黑体" w:hAnsi="黑体" w:eastAsia="黑体"/>
          <w:sz w:val="32"/>
        </w:rPr>
        <w:t>一、主要职能</w:t>
      </w:r>
    </w:p>
    <w:p w14:paraId="4543EAFD">
      <w:pPr>
        <w:spacing w:line="580" w:lineRule="exact"/>
        <w:ind w:firstLine="640"/>
        <w:jc w:val="both"/>
        <w:rPr>
          <w:rFonts w:hint="eastAsia" w:eastAsia="仿宋_GB2312"/>
          <w:lang w:eastAsia="zh-CN"/>
        </w:rPr>
      </w:pPr>
      <w:r>
        <w:rPr>
          <w:rFonts w:ascii="仿宋_GB2312" w:hAnsi="仿宋_GB2312" w:eastAsia="仿宋_GB2312"/>
          <w:sz w:val="32"/>
        </w:rPr>
        <w:t>疏勒县人民检察院是国家检察机关，对喀什地区人民检察院、中共疏勒县委</w:t>
      </w:r>
      <w:r>
        <w:rPr>
          <w:rFonts w:hint="eastAsia" w:ascii="仿宋_GB2312" w:hAnsi="仿宋_GB2312" w:eastAsia="仿宋_GB2312"/>
          <w:sz w:val="32"/>
          <w:lang w:eastAsia="zh-CN"/>
        </w:rPr>
        <w:t>、县</w:t>
      </w:r>
      <w:r>
        <w:rPr>
          <w:rFonts w:ascii="仿宋_GB2312" w:hAnsi="仿宋_GB2312" w:eastAsia="仿宋_GB2312"/>
          <w:sz w:val="32"/>
        </w:rPr>
        <w:t>人大报告工作</w:t>
      </w:r>
      <w:r>
        <w:rPr>
          <w:rFonts w:hint="eastAsia" w:ascii="仿宋_GB2312" w:hAnsi="仿宋_GB2312" w:eastAsia="仿宋_GB2312"/>
          <w:sz w:val="32"/>
          <w:lang w:eastAsia="zh-CN"/>
        </w:rPr>
        <w:t>；</w:t>
      </w:r>
      <w:r>
        <w:rPr>
          <w:rFonts w:ascii="仿宋_GB2312" w:hAnsi="仿宋_GB2312" w:eastAsia="仿宋_GB2312"/>
          <w:sz w:val="32"/>
        </w:rPr>
        <w:t>接受喀什地区人民检察院工作的监督指导。其主要职能</w:t>
      </w:r>
      <w:r>
        <w:rPr>
          <w:rFonts w:hint="eastAsia" w:ascii="仿宋_GB2312" w:hAnsi="仿宋_GB2312" w:eastAsia="仿宋_GB2312"/>
          <w:sz w:val="32"/>
          <w:lang w:eastAsia="zh-CN"/>
        </w:rPr>
        <w:t>：</w:t>
      </w:r>
    </w:p>
    <w:p w14:paraId="0D1910CA">
      <w:pPr>
        <w:spacing w:line="580" w:lineRule="exact"/>
        <w:ind w:firstLine="640"/>
        <w:jc w:val="both"/>
      </w:pPr>
      <w:r>
        <w:rPr>
          <w:rFonts w:ascii="仿宋_GB2312" w:hAnsi="仿宋_GB2312" w:eastAsia="仿宋_GB2312"/>
          <w:sz w:val="32"/>
        </w:rPr>
        <w:t>（1）对县人民代表大会及其常务委员会和市人民检察院负责并报告工作，接受县人民代表大会及其常务委员会的监督，查办县人民代表大会及其常务委员会和上级人民检察院交办的案件或其他事项。</w:t>
      </w:r>
    </w:p>
    <w:p w14:paraId="61BC6486">
      <w:pPr>
        <w:spacing w:line="580" w:lineRule="exact"/>
        <w:ind w:firstLine="640"/>
        <w:jc w:val="both"/>
      </w:pPr>
      <w:r>
        <w:rPr>
          <w:rFonts w:ascii="仿宋_GB2312" w:hAnsi="仿宋_GB2312" w:eastAsia="仿宋_GB2312"/>
          <w:sz w:val="32"/>
        </w:rPr>
        <w:t>（2）依法对贪污贿赂犯罪，国家工作人员的渎职犯罪、国家机关工作人员利用职权实施的非法拘禁、刑讯逼供、报复陷害、非法搜查等侵犯公民人身权利的犯罪以及侵犯公民民主权利的犯罪进行侦查。</w:t>
      </w:r>
    </w:p>
    <w:p w14:paraId="015DFD90">
      <w:pPr>
        <w:spacing w:line="580" w:lineRule="exact"/>
        <w:ind w:firstLine="640"/>
        <w:jc w:val="both"/>
      </w:pPr>
      <w:r>
        <w:rPr>
          <w:rFonts w:ascii="仿宋_GB2312" w:hAnsi="仿宋_GB2312" w:eastAsia="仿宋_GB2312"/>
          <w:sz w:val="32"/>
        </w:rPr>
        <w:t>（3）开展预防职务犯罪，综合治理工作，为企业提供法律服务，为县域经济发展保驾护航。</w:t>
      </w:r>
    </w:p>
    <w:p w14:paraId="0B0C4A35">
      <w:pPr>
        <w:spacing w:line="580" w:lineRule="exact"/>
        <w:ind w:firstLine="640"/>
        <w:jc w:val="both"/>
      </w:pPr>
      <w:r>
        <w:rPr>
          <w:rFonts w:ascii="仿宋_GB2312" w:hAnsi="仿宋_GB2312" w:eastAsia="仿宋_GB2312"/>
          <w:sz w:val="32"/>
        </w:rPr>
        <w:t>（4）对刑事犯罪案件依法审查批捕，提起公诉，履行法律监督职责，掌握社会治安动态，参与社会治安综合治理。</w:t>
      </w:r>
    </w:p>
    <w:p w14:paraId="318FDCAE">
      <w:pPr>
        <w:spacing w:line="580" w:lineRule="exact"/>
        <w:ind w:firstLine="640"/>
        <w:jc w:val="both"/>
      </w:pPr>
      <w:r>
        <w:rPr>
          <w:rFonts w:ascii="仿宋_GB2312" w:hAnsi="仿宋_GB2312" w:eastAsia="仿宋_GB2312"/>
          <w:sz w:val="32"/>
        </w:rPr>
        <w:t>（5）对同级人民检察院已发生法律效力的民事、经济和行政审判活动进行监督，对确有错误的向上级人民检察院提起抗诉。</w:t>
      </w:r>
    </w:p>
    <w:p w14:paraId="7BF0A0B1">
      <w:pPr>
        <w:spacing w:line="580" w:lineRule="exact"/>
        <w:ind w:firstLine="640"/>
        <w:jc w:val="both"/>
      </w:pPr>
      <w:r>
        <w:rPr>
          <w:rFonts w:ascii="仿宋_GB2312" w:hAnsi="仿宋_GB2312" w:eastAsia="仿宋_GB2312"/>
          <w:sz w:val="32"/>
        </w:rPr>
        <w:t>（6）对同级人民检察院确有错误的判决和裁定，依法提起抗诉。</w:t>
      </w:r>
    </w:p>
    <w:p w14:paraId="50A6B12C">
      <w:pPr>
        <w:spacing w:line="580" w:lineRule="exact"/>
        <w:ind w:firstLine="640"/>
        <w:jc w:val="both"/>
      </w:pPr>
      <w:r>
        <w:rPr>
          <w:rFonts w:ascii="仿宋_GB2312" w:hAnsi="仿宋_GB2312" w:eastAsia="仿宋_GB2312"/>
          <w:sz w:val="32"/>
        </w:rPr>
        <w:t>（7）受理公民控告、申诉和检举，办理刑事赔偿事项。</w:t>
      </w:r>
    </w:p>
    <w:p w14:paraId="38B8FBD2">
      <w:pPr>
        <w:spacing w:line="580" w:lineRule="exact"/>
        <w:ind w:firstLine="640"/>
        <w:jc w:val="both"/>
      </w:pPr>
      <w:r>
        <w:rPr>
          <w:rFonts w:ascii="仿宋_GB2312" w:hAnsi="仿宋_GB2312" w:eastAsia="仿宋_GB2312"/>
          <w:sz w:val="32"/>
        </w:rPr>
        <w:t>（8）对于检察工作中具体应用法律的问题进行研究；向有关领导和业务部门提出意见和建议，研究探索检察工作的加强和改革，进行检察学理论研究。</w:t>
      </w:r>
    </w:p>
    <w:p w14:paraId="2BFF3FC8">
      <w:pPr>
        <w:spacing w:line="580" w:lineRule="exact"/>
        <w:ind w:firstLine="640"/>
        <w:jc w:val="both"/>
      </w:pPr>
      <w:r>
        <w:rPr>
          <w:rFonts w:ascii="仿宋_GB2312" w:hAnsi="仿宋_GB2312" w:eastAsia="仿宋_GB2312"/>
          <w:sz w:val="32"/>
        </w:rPr>
        <w:t>（9）对全院干警的执法执纪情况进行监督，查处群众反映的干警违法违纪行为，开展纪律教育、执法检查等活动，督查各项制度的落实。</w:t>
      </w:r>
    </w:p>
    <w:p w14:paraId="4B92CB58">
      <w:pPr>
        <w:spacing w:line="580" w:lineRule="exact"/>
        <w:ind w:firstLine="640"/>
        <w:jc w:val="both"/>
      </w:pPr>
      <w:r>
        <w:rPr>
          <w:rFonts w:ascii="仿宋_GB2312" w:hAnsi="仿宋_GB2312" w:eastAsia="仿宋_GB2312"/>
          <w:sz w:val="32"/>
        </w:rPr>
        <w:t>（10）加强检察机关的思想政治工作和队伍建设，提请县人民代表大会常务委员会决定任免县人民检察院副检察长，检察委员会委员、检察员。</w:t>
      </w:r>
    </w:p>
    <w:p w14:paraId="345E47AC">
      <w:pPr>
        <w:spacing w:line="580" w:lineRule="exact"/>
        <w:ind w:firstLine="640"/>
        <w:jc w:val="both"/>
        <w:rPr>
          <w:rFonts w:hint="eastAsia" w:eastAsia="仿宋_GB2312"/>
          <w:lang w:eastAsia="zh-CN"/>
        </w:rPr>
      </w:pPr>
      <w:r>
        <w:rPr>
          <w:rFonts w:ascii="仿宋_GB2312" w:hAnsi="仿宋_GB2312" w:eastAsia="仿宋_GB2312"/>
          <w:sz w:val="32"/>
        </w:rPr>
        <w:t>（11）协同主管部门管理人民检察院的机构设置、人员编制工作；做好检察人员的教育培训工作，制定中长期发展规划和学历教育工作</w:t>
      </w:r>
      <w:r>
        <w:rPr>
          <w:rFonts w:hint="eastAsia" w:ascii="仿宋_GB2312" w:hAnsi="仿宋_GB2312" w:eastAsia="仿宋_GB2312"/>
          <w:sz w:val="32"/>
          <w:lang w:eastAsia="zh-CN"/>
        </w:rPr>
        <w:t>。</w:t>
      </w:r>
    </w:p>
    <w:p w14:paraId="2F47C022">
      <w:pPr>
        <w:spacing w:line="580" w:lineRule="exact"/>
        <w:ind w:firstLine="640"/>
        <w:jc w:val="both"/>
      </w:pPr>
      <w:r>
        <w:rPr>
          <w:rFonts w:ascii="仿宋_GB2312" w:hAnsi="仿宋_GB2312" w:eastAsia="仿宋_GB2312"/>
          <w:sz w:val="32"/>
        </w:rPr>
        <w:t>（12）负责检察机关先进集体、个人的表彰、奖励工作，做好检察官等级呈报及司法警察的授衔和管理工作。</w:t>
      </w:r>
    </w:p>
    <w:p w14:paraId="6ECEE800">
      <w:pPr>
        <w:spacing w:line="580" w:lineRule="exact"/>
        <w:ind w:firstLine="640"/>
        <w:jc w:val="both"/>
      </w:pPr>
      <w:r>
        <w:rPr>
          <w:rFonts w:ascii="仿宋_GB2312" w:hAnsi="仿宋_GB2312" w:eastAsia="仿宋_GB2312"/>
          <w:sz w:val="32"/>
        </w:rPr>
        <w:t>（13）负责检察机关党总支工作，老干部工作、妇联、工会及其他有关工作。</w:t>
      </w:r>
    </w:p>
    <w:p w14:paraId="6BCAFFC2">
      <w:pPr>
        <w:spacing w:line="580" w:lineRule="exact"/>
        <w:ind w:firstLine="640"/>
        <w:jc w:val="both"/>
      </w:pPr>
      <w:r>
        <w:rPr>
          <w:rFonts w:ascii="仿宋_GB2312" w:hAnsi="仿宋_GB2312" w:eastAsia="仿宋_GB2312"/>
          <w:sz w:val="32"/>
        </w:rPr>
        <w:t>（14）做好上报下达，财务装备，信息反馈等工作。</w:t>
      </w:r>
    </w:p>
    <w:p w14:paraId="60571E25">
      <w:pPr>
        <w:spacing w:line="580" w:lineRule="exact"/>
        <w:ind w:firstLine="640"/>
        <w:jc w:val="both"/>
      </w:pPr>
      <w:r>
        <w:rPr>
          <w:rFonts w:ascii="仿宋_GB2312" w:hAnsi="仿宋_GB2312" w:eastAsia="仿宋_GB2312"/>
          <w:sz w:val="32"/>
        </w:rPr>
        <w:t>（15）其他应由县人民检察院承办的事项。</w:t>
      </w:r>
    </w:p>
    <w:p w14:paraId="61CA7C68">
      <w:pPr>
        <w:spacing w:line="640" w:lineRule="exact"/>
        <w:ind w:firstLine="640"/>
        <w:jc w:val="both"/>
        <w:outlineLvl w:val="2"/>
      </w:pPr>
      <w:r>
        <w:rPr>
          <w:rFonts w:ascii="黑体" w:hAnsi="黑体" w:eastAsia="黑体"/>
          <w:sz w:val="32"/>
        </w:rPr>
        <w:t>二、机构设置及人员情况</w:t>
      </w:r>
    </w:p>
    <w:p w14:paraId="3E00FD1E">
      <w:pPr>
        <w:spacing w:line="580" w:lineRule="exact"/>
        <w:ind w:firstLine="640"/>
        <w:jc w:val="both"/>
      </w:pPr>
      <w:r>
        <w:rPr>
          <w:rFonts w:ascii="仿宋_GB2312" w:hAnsi="仿宋_GB2312" w:eastAsia="仿宋_GB2312"/>
          <w:sz w:val="32"/>
        </w:rPr>
        <w:t>疏勒县人民检察院2024年度，实有人数61人，其中：在职人员37人，增加0人；离休人员0人，增加0人；退休人员24人,增加2人。</w:t>
      </w:r>
    </w:p>
    <w:p w14:paraId="57817A25">
      <w:pPr>
        <w:spacing w:line="580" w:lineRule="exact"/>
        <w:ind w:firstLine="640"/>
        <w:jc w:val="both"/>
      </w:pPr>
      <w:r>
        <w:rPr>
          <w:rFonts w:ascii="仿宋_GB2312" w:hAnsi="仿宋_GB2312" w:eastAsia="仿宋_GB2312"/>
          <w:sz w:val="32"/>
        </w:rPr>
        <w:t>疏勒县人民检察院无下属预算单位，下设5个科室，分别是：办公室、政治部、第一检察部、第二检察部、第三检察部。</w:t>
      </w:r>
    </w:p>
    <w:p w14:paraId="583A4B1C">
      <w:r>
        <w:br w:type="page"/>
      </w:r>
    </w:p>
    <w:p w14:paraId="432360F3">
      <w:pPr>
        <w:spacing w:line="240" w:lineRule="auto"/>
        <w:jc w:val="center"/>
        <w:outlineLvl w:val="1"/>
      </w:pPr>
      <w:r>
        <w:rPr>
          <w:rFonts w:ascii="黑体" w:hAnsi="黑体" w:eastAsia="黑体"/>
          <w:sz w:val="32"/>
        </w:rPr>
        <w:t>第二部分 部门决算情况说明</w:t>
      </w:r>
    </w:p>
    <w:p w14:paraId="6DA317A0">
      <w:pPr>
        <w:spacing w:line="640" w:lineRule="exact"/>
        <w:ind w:firstLine="640"/>
        <w:jc w:val="both"/>
        <w:outlineLvl w:val="2"/>
      </w:pPr>
      <w:r>
        <w:rPr>
          <w:rFonts w:ascii="黑体" w:hAnsi="黑体" w:eastAsia="黑体"/>
          <w:sz w:val="32"/>
        </w:rPr>
        <w:t>一、收入支出决算总体情况说明</w:t>
      </w:r>
    </w:p>
    <w:p w14:paraId="60B13E45">
      <w:pPr>
        <w:spacing w:line="580" w:lineRule="exact"/>
        <w:ind w:firstLine="640"/>
        <w:jc w:val="both"/>
      </w:pPr>
      <w:r>
        <w:rPr>
          <w:rFonts w:ascii="仿宋_GB2312" w:hAnsi="仿宋_GB2312" w:eastAsia="仿宋_GB2312"/>
          <w:b/>
          <w:sz w:val="32"/>
        </w:rPr>
        <w:t>2024年度收入总计1,307.02万元，</w:t>
      </w:r>
      <w:r>
        <w:rPr>
          <w:rFonts w:ascii="仿宋_GB2312" w:hAnsi="仿宋_GB2312" w:eastAsia="仿宋_GB2312"/>
          <w:b w:val="0"/>
          <w:sz w:val="32"/>
        </w:rPr>
        <w:t>其中：本年收入合计1,307.02万元，使用非财政拨款结余（含专用结余）0.00万元，年初结转和结余0.00万元。</w:t>
      </w:r>
    </w:p>
    <w:p w14:paraId="6DF75D6B">
      <w:pPr>
        <w:spacing w:line="580" w:lineRule="exact"/>
        <w:ind w:firstLine="640"/>
        <w:jc w:val="both"/>
      </w:pPr>
      <w:r>
        <w:rPr>
          <w:rFonts w:ascii="仿宋_GB2312" w:hAnsi="仿宋_GB2312" w:eastAsia="仿宋_GB2312"/>
          <w:b/>
          <w:sz w:val="32"/>
        </w:rPr>
        <w:t>2024年度支出总计1,307.02万元，</w:t>
      </w:r>
      <w:r>
        <w:rPr>
          <w:rFonts w:ascii="仿宋_GB2312" w:hAnsi="仿宋_GB2312" w:eastAsia="仿宋_GB2312"/>
          <w:b w:val="0"/>
          <w:sz w:val="32"/>
        </w:rPr>
        <w:t>其中：本年支出合计1,307.02万元，结余分配0.00万元，年末结转和结余0.00万元。</w:t>
      </w:r>
    </w:p>
    <w:p w14:paraId="19A85C65">
      <w:pPr>
        <w:spacing w:line="580" w:lineRule="exact"/>
        <w:ind w:firstLine="640"/>
        <w:jc w:val="both"/>
      </w:pPr>
      <w:r>
        <w:rPr>
          <w:rFonts w:ascii="仿宋_GB2312" w:hAnsi="仿宋_GB2312" w:eastAsia="仿宋_GB2312"/>
          <w:b w:val="0"/>
          <w:sz w:val="32"/>
        </w:rPr>
        <w:t>收入支出总体与上年相比，增加8.80万元，增长0.68%，主要原因是：本年在职人员工资调薪、工资、社保、公积金等相关人员经费增加。本年增加援疆项目,导致经费较上年增加。</w:t>
      </w:r>
    </w:p>
    <w:p w14:paraId="41721260">
      <w:pPr>
        <w:spacing w:line="640" w:lineRule="exact"/>
        <w:ind w:firstLine="640"/>
        <w:jc w:val="both"/>
        <w:outlineLvl w:val="2"/>
      </w:pPr>
      <w:r>
        <w:rPr>
          <w:rFonts w:ascii="黑体" w:hAnsi="黑体" w:eastAsia="黑体"/>
          <w:sz w:val="32"/>
        </w:rPr>
        <w:t>二、收入决算情况说明</w:t>
      </w:r>
    </w:p>
    <w:p w14:paraId="02F0245A">
      <w:pPr>
        <w:spacing w:line="580" w:lineRule="exact"/>
        <w:ind w:firstLine="640"/>
        <w:jc w:val="both"/>
      </w:pPr>
      <w:r>
        <w:rPr>
          <w:rFonts w:ascii="仿宋_GB2312" w:hAnsi="仿宋_GB2312" w:eastAsia="仿宋_GB2312"/>
          <w:b/>
          <w:sz w:val="32"/>
        </w:rPr>
        <w:t>本年收入1,307.02万元，</w:t>
      </w:r>
      <w:r>
        <w:rPr>
          <w:rFonts w:ascii="仿宋_GB2312" w:hAnsi="仿宋_GB2312" w:eastAsia="仿宋_GB2312"/>
          <w:b w:val="0"/>
          <w:sz w:val="32"/>
        </w:rPr>
        <w:t>其中：财政拨款收入1,272.02万元，占97.32%；上级补助收入0.00万元，占0.00%；事业收入0.00万元，占0.00%；经营收入0.00万元，占0.00%；附属单位上缴收入0.00万元，占0.00%；其他收入35.00万元，占2.68%。</w:t>
      </w:r>
    </w:p>
    <w:p w14:paraId="7C417FE7">
      <w:pPr>
        <w:spacing w:line="640" w:lineRule="exact"/>
        <w:ind w:firstLine="640"/>
        <w:jc w:val="both"/>
        <w:outlineLvl w:val="2"/>
      </w:pPr>
      <w:r>
        <w:rPr>
          <w:rFonts w:ascii="黑体" w:hAnsi="黑体" w:eastAsia="黑体"/>
          <w:sz w:val="32"/>
        </w:rPr>
        <w:t>三、支出决算情况说明</w:t>
      </w:r>
    </w:p>
    <w:p w14:paraId="01C4461C">
      <w:pPr>
        <w:spacing w:line="580" w:lineRule="exact"/>
        <w:ind w:firstLine="640"/>
        <w:jc w:val="both"/>
      </w:pPr>
      <w:r>
        <w:rPr>
          <w:rFonts w:ascii="仿宋_GB2312" w:hAnsi="仿宋_GB2312" w:eastAsia="仿宋_GB2312"/>
          <w:b/>
          <w:sz w:val="32"/>
        </w:rPr>
        <w:t>本年支出1,307.02万元，</w:t>
      </w:r>
      <w:r>
        <w:rPr>
          <w:rFonts w:ascii="仿宋_GB2312" w:hAnsi="仿宋_GB2312" w:eastAsia="仿宋_GB2312"/>
          <w:b w:val="0"/>
          <w:sz w:val="32"/>
        </w:rPr>
        <w:t>其中：基本支出1,071.19万元，占81.96%；项目支出235.82万元，占18.04%；上缴上级支出0.00万元，占0.00%；经营支出0.00万元，占0.00%；对附属单位补助支出0.00万元，占0.00%。</w:t>
      </w:r>
    </w:p>
    <w:p w14:paraId="1AA0B588">
      <w:pPr>
        <w:spacing w:line="640" w:lineRule="exact"/>
        <w:ind w:firstLine="640"/>
        <w:jc w:val="both"/>
        <w:outlineLvl w:val="2"/>
      </w:pPr>
      <w:r>
        <w:rPr>
          <w:rFonts w:ascii="黑体" w:hAnsi="黑体" w:eastAsia="黑体"/>
          <w:sz w:val="32"/>
        </w:rPr>
        <w:t>四、财政拨款收入支出决算总体情况说明</w:t>
      </w:r>
    </w:p>
    <w:p w14:paraId="1076C579">
      <w:pPr>
        <w:spacing w:line="580" w:lineRule="exact"/>
        <w:ind w:firstLine="640"/>
        <w:jc w:val="both"/>
      </w:pPr>
      <w:r>
        <w:rPr>
          <w:rFonts w:ascii="仿宋_GB2312" w:hAnsi="仿宋_GB2312" w:eastAsia="仿宋_GB2312"/>
          <w:b/>
          <w:sz w:val="32"/>
        </w:rPr>
        <w:t>2024年度财政拨款收入总计1,272.02万元，</w:t>
      </w:r>
      <w:r>
        <w:rPr>
          <w:rFonts w:ascii="仿宋_GB2312" w:hAnsi="仿宋_GB2312" w:eastAsia="仿宋_GB2312"/>
          <w:b w:val="0"/>
          <w:sz w:val="32"/>
        </w:rPr>
        <w:t>其中：年初财政拨款结转和结余0.00万元，本年财政拨款收入1,272.02万元。</w:t>
      </w:r>
      <w:r>
        <w:rPr>
          <w:rFonts w:ascii="仿宋_GB2312" w:hAnsi="仿宋_GB2312" w:eastAsia="仿宋_GB2312"/>
          <w:b/>
          <w:sz w:val="32"/>
        </w:rPr>
        <w:t>财政拨款支出总计1,272.02万元，</w:t>
      </w:r>
      <w:r>
        <w:rPr>
          <w:rFonts w:ascii="仿宋_GB2312" w:hAnsi="仿宋_GB2312" w:eastAsia="仿宋_GB2312"/>
          <w:b w:val="0"/>
          <w:sz w:val="32"/>
        </w:rPr>
        <w:t>其中：年末财政拨款结转和结余0.00万元，本年财政拨款支出1,272.02万元。</w:t>
      </w:r>
    </w:p>
    <w:p w14:paraId="39C3E1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减少19.20万元，下降1.49%，主要原因是：本年度中央政法纪检监察转移支付资金（提前下达2024年装备）项目资金减少。</w:t>
      </w:r>
      <w:r>
        <w:rPr>
          <w:rFonts w:ascii="仿宋_GB2312" w:hAnsi="仿宋_GB2312" w:eastAsia="仿宋_GB2312"/>
          <w:b/>
          <w:sz w:val="32"/>
        </w:rPr>
        <w:t>与年初预算相比，</w:t>
      </w:r>
      <w:r>
        <w:rPr>
          <w:rFonts w:ascii="仿宋_GB2312" w:hAnsi="仿宋_GB2312" w:eastAsia="仿宋_GB2312"/>
          <w:b w:val="0"/>
          <w:sz w:val="32"/>
        </w:rPr>
        <w:t>年初预算数1,251.50万元，决算数1,272.02万元，预决算差异率1.64%，主要原因是：本年在职人员工资调薪，工资、社保、公积金等相关人员经费增加，年中追加人员经费，导致预决算存在差异。</w:t>
      </w:r>
    </w:p>
    <w:p w14:paraId="7C991D6C">
      <w:pPr>
        <w:spacing w:line="640" w:lineRule="exact"/>
        <w:ind w:firstLine="640"/>
        <w:jc w:val="both"/>
        <w:outlineLvl w:val="2"/>
      </w:pPr>
      <w:r>
        <w:rPr>
          <w:rFonts w:ascii="黑体" w:hAnsi="黑体" w:eastAsia="黑体"/>
          <w:sz w:val="32"/>
        </w:rPr>
        <w:t>五、一般公共预算财政拨款支出决算情况说明</w:t>
      </w:r>
    </w:p>
    <w:p w14:paraId="68568245">
      <w:pPr>
        <w:spacing w:line="640" w:lineRule="exact"/>
        <w:ind w:firstLine="640"/>
        <w:jc w:val="both"/>
        <w:outlineLvl w:val="3"/>
      </w:pPr>
      <w:r>
        <w:rPr>
          <w:rFonts w:ascii="楷体_GB2312" w:hAnsi="楷体_GB2312" w:eastAsia="楷体_GB2312"/>
          <w:b/>
          <w:sz w:val="32"/>
        </w:rPr>
        <w:t>（一）一般公共预算财政拨款支出决算总体情况</w:t>
      </w:r>
    </w:p>
    <w:p w14:paraId="1D68155C">
      <w:pPr>
        <w:spacing w:line="580" w:lineRule="exact"/>
        <w:ind w:firstLine="640"/>
        <w:jc w:val="both"/>
      </w:pPr>
      <w:r>
        <w:rPr>
          <w:rFonts w:ascii="仿宋_GB2312" w:hAnsi="仿宋_GB2312" w:eastAsia="仿宋_GB2312"/>
          <w:b/>
          <w:sz w:val="32"/>
        </w:rPr>
        <w:t>2024年度一般公共预算财政拨款支出1,272.02万元，</w:t>
      </w:r>
      <w:r>
        <w:rPr>
          <w:rFonts w:ascii="仿宋_GB2312" w:hAnsi="仿宋_GB2312" w:eastAsia="仿宋_GB2312"/>
          <w:b w:val="0"/>
          <w:sz w:val="32"/>
        </w:rPr>
        <w:t>占本年支出合计的97.32%。</w:t>
      </w:r>
      <w:r>
        <w:rPr>
          <w:rFonts w:ascii="仿宋_GB2312" w:hAnsi="仿宋_GB2312" w:eastAsia="仿宋_GB2312"/>
          <w:b/>
          <w:sz w:val="32"/>
        </w:rPr>
        <w:t>与上年相比，</w:t>
      </w:r>
      <w:r>
        <w:rPr>
          <w:rFonts w:ascii="仿宋_GB2312" w:hAnsi="仿宋_GB2312" w:eastAsia="仿宋_GB2312"/>
          <w:b w:val="0"/>
          <w:sz w:val="32"/>
        </w:rPr>
        <w:t>减少19.20万元，下降1.49%，主要原因是：本年度中央政法纪检监察转移支付资金（提前下达2024年装备）项目资金减少。</w:t>
      </w:r>
      <w:r>
        <w:rPr>
          <w:rFonts w:ascii="仿宋_GB2312" w:hAnsi="仿宋_GB2312" w:eastAsia="仿宋_GB2312"/>
          <w:b/>
          <w:sz w:val="32"/>
        </w:rPr>
        <w:t>与年初预算相比,</w:t>
      </w:r>
      <w:r>
        <w:rPr>
          <w:rFonts w:ascii="仿宋_GB2312" w:hAnsi="仿宋_GB2312" w:eastAsia="仿宋_GB2312"/>
          <w:b w:val="0"/>
          <w:sz w:val="32"/>
        </w:rPr>
        <w:t>年初预算数1,251.50万元，决算数1,272.02万元，预决算差异率1.64%，主要原因是：本年在职人员工资调薪，工资、社保、公积金等相关人员经费增加，年中追加人员经费，导致预决算存在差异。</w:t>
      </w:r>
    </w:p>
    <w:p w14:paraId="467B5753">
      <w:pPr>
        <w:spacing w:line="640" w:lineRule="exact"/>
        <w:ind w:firstLine="640"/>
        <w:jc w:val="both"/>
        <w:outlineLvl w:val="3"/>
      </w:pPr>
      <w:r>
        <w:rPr>
          <w:rFonts w:ascii="楷体_GB2312" w:hAnsi="楷体_GB2312" w:eastAsia="楷体_GB2312"/>
          <w:b/>
          <w:sz w:val="32"/>
        </w:rPr>
        <w:t>（二）一般公共预算财政拨款支出决算结构情况</w:t>
      </w:r>
    </w:p>
    <w:p w14:paraId="52AD7486">
      <w:pPr>
        <w:spacing w:line="580" w:lineRule="exact"/>
        <w:ind w:firstLine="640"/>
        <w:jc w:val="both"/>
      </w:pPr>
      <w:r>
        <w:rPr>
          <w:rFonts w:ascii="仿宋_GB2312" w:hAnsi="仿宋_GB2312" w:eastAsia="仿宋_GB2312"/>
          <w:b w:val="0"/>
          <w:sz w:val="32"/>
        </w:rPr>
        <w:t>1.公共安全支出(类)1,002.95万元,占78.85%。</w:t>
      </w:r>
    </w:p>
    <w:p w14:paraId="012031C3">
      <w:pPr>
        <w:spacing w:line="580" w:lineRule="exact"/>
        <w:ind w:firstLine="640"/>
        <w:jc w:val="both"/>
      </w:pPr>
      <w:r>
        <w:rPr>
          <w:rFonts w:ascii="仿宋_GB2312" w:hAnsi="仿宋_GB2312" w:eastAsia="仿宋_GB2312"/>
          <w:b w:val="0"/>
          <w:sz w:val="32"/>
        </w:rPr>
        <w:t>2.社会保障和就业支出(类)164.83万元,占12.96%。</w:t>
      </w:r>
    </w:p>
    <w:p w14:paraId="58D1C95E">
      <w:pPr>
        <w:spacing w:line="580" w:lineRule="exact"/>
        <w:ind w:firstLine="640"/>
        <w:jc w:val="both"/>
      </w:pPr>
      <w:r>
        <w:rPr>
          <w:rFonts w:ascii="仿宋_GB2312" w:hAnsi="仿宋_GB2312" w:eastAsia="仿宋_GB2312"/>
          <w:b w:val="0"/>
          <w:sz w:val="32"/>
        </w:rPr>
        <w:t>3.卫生健康支出(类)41.75万元,占3.28%。</w:t>
      </w:r>
    </w:p>
    <w:p w14:paraId="22FDE44A">
      <w:pPr>
        <w:spacing w:line="580" w:lineRule="exact"/>
        <w:ind w:firstLine="640"/>
        <w:jc w:val="both"/>
      </w:pPr>
      <w:r>
        <w:rPr>
          <w:rFonts w:ascii="仿宋_GB2312" w:hAnsi="仿宋_GB2312" w:eastAsia="仿宋_GB2312"/>
          <w:b w:val="0"/>
          <w:sz w:val="32"/>
        </w:rPr>
        <w:t>4.住房保障支出(类)62.49万元,占4.91%。</w:t>
      </w:r>
    </w:p>
    <w:p w14:paraId="77D0215B">
      <w:pPr>
        <w:spacing w:line="640" w:lineRule="exact"/>
        <w:ind w:firstLine="640"/>
        <w:jc w:val="both"/>
        <w:outlineLvl w:val="3"/>
      </w:pPr>
      <w:r>
        <w:rPr>
          <w:rFonts w:ascii="楷体_GB2312" w:hAnsi="楷体_GB2312" w:eastAsia="楷体_GB2312"/>
          <w:b/>
          <w:sz w:val="32"/>
        </w:rPr>
        <w:t>（三）一般公共预算财政拨款支出决算具体情况</w:t>
      </w:r>
    </w:p>
    <w:p w14:paraId="5602B677">
      <w:pPr>
        <w:spacing w:line="580" w:lineRule="exact"/>
        <w:ind w:firstLine="640"/>
        <w:jc w:val="both"/>
      </w:pPr>
      <w:r>
        <w:rPr>
          <w:rFonts w:ascii="仿宋_GB2312" w:hAnsi="仿宋_GB2312" w:eastAsia="仿宋_GB2312"/>
          <w:b w:val="0"/>
          <w:sz w:val="32"/>
        </w:rPr>
        <w:t>1.公共安全支出(类)检察(款)行政运行(项):支出决算数为802.13万元，比上年决算增加0.21万元，增长0.03%,主要原因是：本年在职人员工资调薪，工资等相关人员经费增加。</w:t>
      </w:r>
    </w:p>
    <w:p w14:paraId="389F34FE">
      <w:pPr>
        <w:spacing w:line="580" w:lineRule="exact"/>
        <w:ind w:firstLine="640"/>
        <w:jc w:val="both"/>
      </w:pPr>
      <w:r>
        <w:rPr>
          <w:rFonts w:ascii="仿宋_GB2312" w:hAnsi="仿宋_GB2312" w:eastAsia="仿宋_GB2312"/>
          <w:b w:val="0"/>
          <w:sz w:val="32"/>
        </w:rPr>
        <w:t>2.公共安全支出(类)检察(款)一般行政管理事务(项):支出决算数为69.76万元，比上年决算增加1.08万元，增长1.57%,主要原因是：本年度综合业务保障项目增加。</w:t>
      </w:r>
    </w:p>
    <w:p w14:paraId="7555B20D">
      <w:pPr>
        <w:spacing w:line="580" w:lineRule="exact"/>
        <w:ind w:firstLine="640"/>
        <w:jc w:val="both"/>
      </w:pPr>
      <w:r>
        <w:rPr>
          <w:rFonts w:ascii="仿宋_GB2312" w:hAnsi="仿宋_GB2312" w:eastAsia="仿宋_GB2312"/>
          <w:b w:val="0"/>
          <w:sz w:val="32"/>
        </w:rPr>
        <w:t>3.公共安全支出(类)检察(款)检察监督(项):支出决算数为0.15万元，比上年决算增加0.15万元，增长100.00%,主要原因是：本年度追加2024年度绩效考核奖金。</w:t>
      </w:r>
    </w:p>
    <w:p w14:paraId="3E13DBEC">
      <w:pPr>
        <w:spacing w:line="580" w:lineRule="exact"/>
        <w:ind w:firstLine="640"/>
        <w:jc w:val="both"/>
      </w:pPr>
      <w:r>
        <w:rPr>
          <w:rFonts w:ascii="仿宋_GB2312" w:hAnsi="仿宋_GB2312" w:eastAsia="仿宋_GB2312"/>
          <w:b w:val="0"/>
          <w:sz w:val="32"/>
        </w:rPr>
        <w:t>4.公共安全支出(类)检察(款)其他检察支出(项):支出决算数为130.91万元，比上年决算减少71.77万元，下降35.41%,主要原因是：本年度中央政法纪检监察转移支付资金（提前下达2024年装备）项目资金减少。</w:t>
      </w:r>
    </w:p>
    <w:p w14:paraId="77B59DA0">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5.社会保障和就业支出(类)行政事业单位养老支出(款)行政单位离退休(项):支出决算数为34.26万元，比上年决算增加6.52万元，增长23.50%,主要原因是：本年补发退休人员绩效，导致退休费较上年增加。</w:t>
      </w:r>
    </w:p>
    <w:p w14:paraId="3F847849">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6.社会保障和就业支出(类)行政事业单位养老支出(款)机关事业单位基本养老保险缴费支出(项):支出决算数为77.25万元，比上年决算增加6.46万元，增长9.13%,主要原因是：本年在职人员调薪，养老保险缴费增加。</w:t>
      </w:r>
    </w:p>
    <w:p w14:paraId="35CF2BB7">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7.社会保障和就业支出(类)行政事业单位养老支出(款)机关事业单位职业年金缴费支出(项):支出决算数为7.98万元，比上年决算增加6.17万元，增长340.88%,主要原因是：</w:t>
      </w:r>
      <w:r>
        <w:rPr>
          <w:rFonts w:hint="eastAsia" w:ascii="仿宋_GB2312" w:hAnsi="仿宋_GB2312" w:eastAsia="仿宋_GB2312"/>
          <w:b w:val="0"/>
          <w:sz w:val="32"/>
          <w:lang w:val="en-US" w:eastAsia="zh-CN"/>
        </w:rPr>
        <w:t>本年新增退休人员，导致</w:t>
      </w:r>
      <w:r>
        <w:rPr>
          <w:rFonts w:ascii="仿宋_GB2312" w:hAnsi="仿宋_GB2312" w:eastAsia="仿宋_GB2312"/>
          <w:b w:val="0"/>
          <w:sz w:val="32"/>
        </w:rPr>
        <w:t>职业年金</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544BAC2A">
      <w:pPr>
        <w:spacing w:line="580" w:lineRule="exact"/>
        <w:ind w:firstLine="640"/>
        <w:jc w:val="both"/>
      </w:pPr>
      <w:r>
        <w:rPr>
          <w:rFonts w:ascii="仿宋_GB2312" w:hAnsi="仿宋_GB2312" w:eastAsia="仿宋_GB2312"/>
          <w:b w:val="0"/>
          <w:sz w:val="32"/>
        </w:rPr>
        <w:t>8.社会保障和就业支出(类)抚恤(款)死亡抚恤(项):支出决算数为45.33万元，比上年决算增加23.50万元，增长107.65%,主要原因是：本年退休人员2人去世，导致抚恤金较上年增加。</w:t>
      </w:r>
    </w:p>
    <w:p w14:paraId="37F4E848">
      <w:pPr>
        <w:spacing w:line="580" w:lineRule="exact"/>
        <w:ind w:firstLine="640"/>
        <w:jc w:val="both"/>
      </w:pPr>
      <w:r>
        <w:rPr>
          <w:rFonts w:ascii="仿宋_GB2312" w:hAnsi="仿宋_GB2312" w:eastAsia="仿宋_GB2312"/>
          <w:b w:val="0"/>
          <w:sz w:val="32"/>
        </w:rPr>
        <w:t>9.卫生健康支出(类)行政事业单位医疗(款)行政单位医疗(项):支出决算数为32.83万元，比上年决算增加2.75万元，增长9.14%,主要原因是：本年在职人员调薪，基本医疗费增加。</w:t>
      </w:r>
    </w:p>
    <w:p w14:paraId="49405308">
      <w:pPr>
        <w:spacing w:line="580" w:lineRule="exact"/>
        <w:ind w:firstLine="640"/>
        <w:jc w:val="both"/>
      </w:pPr>
      <w:r>
        <w:rPr>
          <w:rFonts w:ascii="仿宋_GB2312" w:hAnsi="仿宋_GB2312" w:eastAsia="仿宋_GB2312"/>
          <w:b w:val="0"/>
          <w:sz w:val="32"/>
        </w:rPr>
        <w:t>10.卫生健康支出(类)行政事业单位医疗(款)公务员医疗补助(项):支出决算数为8.92万元，比上年决算增加0.71万元，增长8.65%,主要原因是：本年在职人员调资，公务员医疗增加。</w:t>
      </w:r>
    </w:p>
    <w:p w14:paraId="50790A59">
      <w:pPr>
        <w:spacing w:line="580" w:lineRule="exact"/>
        <w:ind w:firstLine="640"/>
        <w:jc w:val="both"/>
      </w:pPr>
      <w:r>
        <w:rPr>
          <w:rFonts w:ascii="仿宋_GB2312" w:hAnsi="仿宋_GB2312" w:eastAsia="仿宋_GB2312"/>
          <w:b w:val="0"/>
          <w:sz w:val="32"/>
        </w:rPr>
        <w:t>11.住房保障支出(类)住房改革支出(款)住房公积金(项):支出决算数为62.49万元，比上年决算增加5.01万元，增长8.72%,主要原因是：本年在职人员调薪，住房公积金缴费增加。</w:t>
      </w:r>
    </w:p>
    <w:p w14:paraId="7EA69CAB">
      <w:pPr>
        <w:spacing w:line="640" w:lineRule="exact"/>
        <w:ind w:firstLine="640"/>
        <w:jc w:val="both"/>
        <w:outlineLvl w:val="2"/>
      </w:pPr>
      <w:r>
        <w:rPr>
          <w:rFonts w:ascii="黑体" w:hAnsi="黑体" w:eastAsia="黑体"/>
          <w:sz w:val="32"/>
        </w:rPr>
        <w:t>六、一般公共预算财政拨款基本支出决算情况说明</w:t>
      </w:r>
    </w:p>
    <w:p w14:paraId="45D46F35">
      <w:pPr>
        <w:spacing w:line="580" w:lineRule="exact"/>
        <w:ind w:firstLine="640"/>
        <w:jc w:val="both"/>
      </w:pPr>
      <w:r>
        <w:rPr>
          <w:rFonts w:ascii="仿宋_GB2312" w:hAnsi="仿宋_GB2312" w:eastAsia="仿宋_GB2312"/>
          <w:b w:val="0"/>
          <w:sz w:val="32"/>
        </w:rPr>
        <w:t>2024年度一般公共预算财政拨款基本支出1,071.19万元，其中：</w:t>
      </w:r>
      <w:r>
        <w:rPr>
          <w:rFonts w:ascii="仿宋_GB2312" w:hAnsi="仿宋_GB2312" w:eastAsia="仿宋_GB2312"/>
          <w:b/>
          <w:sz w:val="32"/>
        </w:rPr>
        <w:t>人员经费994.09万元，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w:t>
      </w:r>
    </w:p>
    <w:p w14:paraId="7FC5A527">
      <w:pPr>
        <w:spacing w:line="580" w:lineRule="exact"/>
        <w:ind w:firstLine="640"/>
        <w:jc w:val="both"/>
      </w:pPr>
      <w:r>
        <w:rPr>
          <w:rFonts w:ascii="仿宋_GB2312" w:hAnsi="仿宋_GB2312" w:eastAsia="仿宋_GB2312"/>
          <w:b/>
          <w:sz w:val="32"/>
        </w:rPr>
        <w:t>公用经费77.10万元，</w:t>
      </w:r>
      <w:r>
        <w:rPr>
          <w:rFonts w:ascii="仿宋_GB2312" w:hAnsi="仿宋_GB2312" w:eastAsia="仿宋_GB2312"/>
          <w:b w:val="0"/>
          <w:sz w:val="32"/>
        </w:rPr>
        <w:t>包括：办公费、水费、电费、邮电费、取暖费、差旅费、专用材料费、工会经费、公务用车运行维护费、其他商品和服务支出。</w:t>
      </w:r>
    </w:p>
    <w:p w14:paraId="27A3B8F3">
      <w:pPr>
        <w:spacing w:line="640" w:lineRule="exact"/>
        <w:ind w:firstLine="640"/>
        <w:jc w:val="both"/>
        <w:outlineLvl w:val="2"/>
      </w:pPr>
      <w:r>
        <w:rPr>
          <w:rFonts w:ascii="黑体" w:hAnsi="黑体" w:eastAsia="黑体"/>
          <w:sz w:val="32"/>
        </w:rPr>
        <w:t>七、政府性基金预算财政拨款收入支出决算情况说明</w:t>
      </w:r>
    </w:p>
    <w:p w14:paraId="3AA9166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238F2C5">
      <w:pPr>
        <w:spacing w:line="640" w:lineRule="exact"/>
        <w:ind w:firstLine="640"/>
        <w:jc w:val="both"/>
        <w:outlineLvl w:val="2"/>
      </w:pPr>
      <w:r>
        <w:rPr>
          <w:rFonts w:ascii="黑体" w:hAnsi="黑体" w:eastAsia="黑体"/>
          <w:sz w:val="32"/>
        </w:rPr>
        <w:t>八、国有资本经营预算财政拨款收入支出决算情况说明</w:t>
      </w:r>
    </w:p>
    <w:p w14:paraId="39C1E11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F3E09B5">
      <w:pPr>
        <w:spacing w:line="640" w:lineRule="exact"/>
        <w:ind w:firstLine="640"/>
        <w:jc w:val="both"/>
        <w:outlineLvl w:val="2"/>
      </w:pPr>
      <w:r>
        <w:rPr>
          <w:rFonts w:ascii="黑体" w:hAnsi="黑体" w:eastAsia="黑体"/>
          <w:sz w:val="32"/>
        </w:rPr>
        <w:t>九、财政拨款“三公”经费支出决算情况说明</w:t>
      </w:r>
    </w:p>
    <w:p w14:paraId="21749191">
      <w:pPr>
        <w:spacing w:line="580" w:lineRule="exact"/>
        <w:ind w:firstLine="640"/>
        <w:jc w:val="both"/>
      </w:pPr>
      <w:r>
        <w:rPr>
          <w:rFonts w:ascii="仿宋_GB2312" w:hAnsi="仿宋_GB2312" w:eastAsia="仿宋_GB2312"/>
          <w:b/>
          <w:sz w:val="32"/>
        </w:rPr>
        <w:t>2024年度财政拨款“三公”经费支出25.30万元，</w:t>
      </w:r>
      <w:r>
        <w:rPr>
          <w:rFonts w:ascii="仿宋_GB2312" w:hAnsi="仿宋_GB2312" w:eastAsia="仿宋_GB2312"/>
          <w:b w:val="0"/>
          <w:sz w:val="32"/>
        </w:rPr>
        <w:t>比上年减少2.30万元，下降8.33%，主要原因是：本年度报废车辆一辆，减少车辆保险、燃油费、过路费、维修费支出。其中：因公出国（境）费支出0.00万元，占0.00%，比上年增加0.00万元，增长0.00%，主要原因是：2023年与2024年均未安排因公出国（境）费支出。公务用车购置及运行维护费支出25.30万元，占100.00%，比上年减少2.30万元，下降8.33%，主要原因是：本年度报废车辆一辆，减少车辆保险、燃油费、过路费、维修费支出。公务接待费支出0.00万元，占0.00%，比上年增加0.00万元，增长0.00%，主要原因是：2023年与2024年均未安排公务接待费支出。</w:t>
      </w:r>
    </w:p>
    <w:p w14:paraId="38551DF7">
      <w:pPr>
        <w:spacing w:line="580" w:lineRule="exact"/>
        <w:ind w:firstLine="640"/>
        <w:jc w:val="both"/>
      </w:pPr>
      <w:r>
        <w:rPr>
          <w:rFonts w:ascii="仿宋_GB2312" w:hAnsi="仿宋_GB2312" w:eastAsia="仿宋_GB2312"/>
          <w:b/>
          <w:sz w:val="32"/>
        </w:rPr>
        <w:t>具体情况如下：</w:t>
      </w:r>
    </w:p>
    <w:p w14:paraId="6391BDF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57C914C">
      <w:pPr>
        <w:spacing w:line="580" w:lineRule="exact"/>
        <w:ind w:firstLine="640"/>
        <w:jc w:val="both"/>
      </w:pPr>
      <w:r>
        <w:rPr>
          <w:rFonts w:ascii="仿宋_GB2312" w:hAnsi="仿宋_GB2312" w:eastAsia="仿宋_GB2312"/>
          <w:b w:val="0"/>
          <w:sz w:val="32"/>
        </w:rPr>
        <w:t>公务用车购置及运行维护费25.30万元，其中：公务用车购置费0.00万元，公务用车运行维护费25.30万元。公务用车运行维护费开支内容包括车辆燃油费、保险费、维修维护费、过路费等。公务用车购置数0辆，公务用车保有量10辆。国有资产占用情况中固定资产车辆10辆，与公务用车保有量差异原因是：本部门固定资产车辆与公务用车保有量一致无差异。</w:t>
      </w:r>
    </w:p>
    <w:p w14:paraId="5648D1E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63878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25.30万元，决算数25.30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25.30万元，决算数25.30万元，预决算差异率0.00%，主要原因是：严格按照预算执行，预决算无差异。公务接待费全年预算数0.00万元，决算数0.00万元，预决算差异率0.00%，主要原因是：本部门无公务接待费。</w:t>
      </w:r>
    </w:p>
    <w:p w14:paraId="3DF4AC1B">
      <w:pPr>
        <w:spacing w:line="640" w:lineRule="exact"/>
        <w:ind w:firstLine="640"/>
        <w:jc w:val="both"/>
        <w:outlineLvl w:val="2"/>
      </w:pPr>
      <w:r>
        <w:rPr>
          <w:rFonts w:ascii="黑体" w:hAnsi="黑体" w:eastAsia="黑体"/>
          <w:sz w:val="32"/>
        </w:rPr>
        <w:t>十、其他重要事项的情况说明</w:t>
      </w:r>
    </w:p>
    <w:p w14:paraId="47BFA33D">
      <w:pPr>
        <w:spacing w:line="640" w:lineRule="exact"/>
        <w:ind w:firstLine="640"/>
        <w:jc w:val="both"/>
        <w:outlineLvl w:val="3"/>
      </w:pPr>
      <w:r>
        <w:rPr>
          <w:rFonts w:ascii="楷体_GB2312" w:hAnsi="楷体_GB2312" w:eastAsia="楷体_GB2312"/>
          <w:b/>
          <w:sz w:val="32"/>
        </w:rPr>
        <w:t>（一）机关运行经费及公用经费支出情况</w:t>
      </w:r>
    </w:p>
    <w:p w14:paraId="08A794F1">
      <w:pPr>
        <w:spacing w:line="580" w:lineRule="exact"/>
        <w:ind w:firstLine="640"/>
        <w:jc w:val="both"/>
      </w:pPr>
      <w:r>
        <w:rPr>
          <w:rFonts w:ascii="仿宋_GB2312" w:hAnsi="仿宋_GB2312" w:eastAsia="仿宋_GB2312"/>
          <w:b w:val="0"/>
          <w:sz w:val="32"/>
        </w:rPr>
        <w:t>2024年度疏勒县人民检察院（行政单位和参照公务员法管理事业单位）机关运行经费支出77.10万元，比上年增加4.61万元，增长6.36%，主要原因是：本年增加水电费、联谊</w:t>
      </w:r>
      <w:r>
        <w:rPr>
          <w:rFonts w:hint="eastAsia" w:ascii="仿宋_GB2312" w:hAnsi="仿宋_GB2312" w:eastAsia="仿宋_GB2312"/>
          <w:b w:val="0"/>
          <w:sz w:val="32"/>
          <w:lang w:val="en-US" w:eastAsia="zh-CN"/>
        </w:rPr>
        <w:t>结</w:t>
      </w:r>
      <w:r>
        <w:rPr>
          <w:rFonts w:ascii="仿宋_GB2312" w:hAnsi="仿宋_GB2312" w:eastAsia="仿宋_GB2312"/>
          <w:b w:val="0"/>
          <w:sz w:val="32"/>
        </w:rPr>
        <w:t>亲活动费、工会费等公用经费支出，导致经费较上年增加。</w:t>
      </w:r>
    </w:p>
    <w:p w14:paraId="4E1BF352">
      <w:pPr>
        <w:spacing w:line="640" w:lineRule="exact"/>
        <w:ind w:firstLine="640"/>
        <w:jc w:val="both"/>
        <w:outlineLvl w:val="3"/>
      </w:pPr>
      <w:r>
        <w:rPr>
          <w:rFonts w:ascii="楷体_GB2312" w:hAnsi="楷体_GB2312" w:eastAsia="楷体_GB2312"/>
          <w:b/>
          <w:sz w:val="32"/>
        </w:rPr>
        <w:t>（二）政府采购情况</w:t>
      </w:r>
    </w:p>
    <w:p w14:paraId="74F10337">
      <w:pPr>
        <w:spacing w:line="580" w:lineRule="exact"/>
        <w:ind w:firstLine="640"/>
        <w:jc w:val="both"/>
      </w:pPr>
      <w:r>
        <w:rPr>
          <w:rFonts w:ascii="仿宋_GB2312" w:hAnsi="仿宋_GB2312" w:eastAsia="仿宋_GB2312"/>
          <w:b w:val="0"/>
          <w:sz w:val="32"/>
        </w:rPr>
        <w:t>2024年度政府采购支出总额133.44万元，其中：政府采购货物支出65.99万元、政府采购工程支出22.84万元、政府采购服务支出44.61万元。</w:t>
      </w:r>
    </w:p>
    <w:p w14:paraId="6FC6FDAD">
      <w:pPr>
        <w:spacing w:line="580" w:lineRule="exact"/>
        <w:ind w:firstLine="640"/>
        <w:jc w:val="both"/>
      </w:pPr>
      <w:r>
        <w:rPr>
          <w:rFonts w:ascii="仿宋_GB2312" w:hAnsi="仿宋_GB2312" w:eastAsia="仿宋_GB2312"/>
          <w:b w:val="0"/>
          <w:sz w:val="32"/>
        </w:rPr>
        <w:t>授予中小企业合同金额126.54万元，占政府采购支出总额的94.83%，其中：授予小微企业合同金额126.54万元，占政府采购支出总额的94.83%。</w:t>
      </w:r>
    </w:p>
    <w:p w14:paraId="18029FE3">
      <w:pPr>
        <w:spacing w:line="640" w:lineRule="exact"/>
        <w:ind w:firstLine="640"/>
        <w:jc w:val="both"/>
        <w:outlineLvl w:val="3"/>
      </w:pPr>
      <w:r>
        <w:rPr>
          <w:rFonts w:ascii="楷体_GB2312" w:hAnsi="楷体_GB2312" w:eastAsia="楷体_GB2312"/>
          <w:b/>
          <w:sz w:val="32"/>
        </w:rPr>
        <w:t>（三）国有资产占用情况说明</w:t>
      </w:r>
    </w:p>
    <w:p w14:paraId="401DDE0D">
      <w:pPr>
        <w:spacing w:line="580" w:lineRule="exact"/>
        <w:ind w:firstLine="640"/>
        <w:jc w:val="both"/>
      </w:pPr>
      <w:r>
        <w:rPr>
          <w:rFonts w:ascii="仿宋_GB2312" w:hAnsi="仿宋_GB2312" w:eastAsia="仿宋_GB2312"/>
          <w:b w:val="0"/>
          <w:sz w:val="32"/>
        </w:rPr>
        <w:t>截至2024年12月31日，房屋4,049.58平方米，价值504.50万元。车辆10辆，价值170.22万元，其中：副部（省）级及以上领导用车0辆、主要负责人用车0辆、机要通信用车0辆、应急保障用车0辆、执法执勤用车8辆、特种专业技术用车2辆、离退休干部服务用车0辆、其他用车0辆，其他用车主要是：本部门无其他用车。单价100万元（含）以上设备（不含车辆）0台（套）。</w:t>
      </w:r>
    </w:p>
    <w:p w14:paraId="4C07BF62">
      <w:pPr>
        <w:spacing w:line="640" w:lineRule="exact"/>
        <w:ind w:firstLine="640"/>
        <w:jc w:val="both"/>
        <w:outlineLvl w:val="2"/>
      </w:pPr>
      <w:r>
        <w:rPr>
          <w:rFonts w:ascii="黑体" w:hAnsi="黑体" w:eastAsia="黑体"/>
          <w:sz w:val="32"/>
        </w:rPr>
        <w:t>十一、预算绩效的情况说明</w:t>
      </w:r>
    </w:p>
    <w:p w14:paraId="1A06AD88">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1,345.38万元，实际执行总额1,307.02万元；预算绩效评价项目10个，全年预算数274.19万元，全年执行数235.82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预算绩效项目不予公开。发现的问题及原因：预算绩效项目不予公开。下一步改进措施：预算绩效项目不予公开。具体附部门整体支出绩效自评表。</w:t>
      </w:r>
    </w:p>
    <w:p w14:paraId="147842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E80079">
        <w:tblPrEx>
          <w:tblCellMar>
            <w:top w:w="0" w:type="dxa"/>
            <w:left w:w="108" w:type="dxa"/>
            <w:bottom w:w="0" w:type="dxa"/>
            <w:right w:w="108" w:type="dxa"/>
          </w:tblCellMar>
        </w:tblPrEx>
        <w:tc>
          <w:tcPr>
            <w:tcW w:w="8847" w:type="dxa"/>
            <w:gridSpan w:val="9"/>
            <w:vAlign w:val="center"/>
          </w:tcPr>
          <w:p w14:paraId="5507F257">
            <w:pPr>
              <w:jc w:val="center"/>
            </w:pPr>
            <w:r>
              <w:rPr>
                <w:rFonts w:ascii="宋体" w:hAnsi="宋体" w:eastAsia="宋体"/>
                <w:sz w:val="24"/>
              </w:rPr>
              <w:t>部门整体支出绩效自评表</w:t>
            </w:r>
          </w:p>
        </w:tc>
      </w:tr>
      <w:tr w14:paraId="35D30BB5">
        <w:tblPrEx>
          <w:tblCellMar>
            <w:top w:w="0" w:type="dxa"/>
            <w:left w:w="108" w:type="dxa"/>
            <w:bottom w:w="0" w:type="dxa"/>
            <w:right w:w="108" w:type="dxa"/>
          </w:tblCellMar>
        </w:tblPrEx>
        <w:tc>
          <w:tcPr>
            <w:tcW w:w="8847" w:type="dxa"/>
            <w:gridSpan w:val="9"/>
            <w:vAlign w:val="center"/>
          </w:tcPr>
          <w:p w14:paraId="6AC19CC0">
            <w:pPr>
              <w:jc w:val="center"/>
            </w:pPr>
            <w:r>
              <w:rPr>
                <w:rFonts w:ascii="宋体" w:hAnsi="宋体" w:eastAsia="宋体"/>
                <w:sz w:val="24"/>
              </w:rPr>
              <w:t>（2024年度）</w:t>
            </w:r>
          </w:p>
        </w:tc>
      </w:tr>
      <w:tr w14:paraId="6AC825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F0C1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E76549">
            <w:pPr>
              <w:jc w:val="center"/>
            </w:pPr>
            <w:r>
              <w:rPr>
                <w:rFonts w:ascii="宋体" w:hAnsi="宋体" w:eastAsia="宋体"/>
                <w:sz w:val="16"/>
              </w:rPr>
              <w:t>疏勒县人民检察院</w:t>
            </w:r>
          </w:p>
        </w:tc>
      </w:tr>
      <w:tr w14:paraId="4AC43A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5C12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A254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318A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A65E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76BB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5B2A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3CDF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9F91">
            <w:pPr>
              <w:jc w:val="center"/>
            </w:pPr>
            <w:r>
              <w:rPr>
                <w:rFonts w:ascii="宋体" w:hAnsi="宋体" w:eastAsia="宋体"/>
                <w:sz w:val="16"/>
              </w:rPr>
              <w:t>得分</w:t>
            </w:r>
          </w:p>
        </w:tc>
      </w:tr>
      <w:tr w14:paraId="559F3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3B4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F7B2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B4E15">
            <w:pPr>
              <w:jc w:val="center"/>
            </w:pPr>
            <w:r>
              <w:rPr>
                <w:rFonts w:ascii="宋体" w:hAnsi="宋体" w:eastAsia="宋体"/>
                <w:sz w:val="16"/>
              </w:rPr>
              <w:t>1,261.50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7FB4C">
            <w:pPr>
              <w:jc w:val="center"/>
            </w:pPr>
            <w:r>
              <w:rPr>
                <w:rFonts w:ascii="宋体" w:hAnsi="宋体" w:eastAsia="宋体"/>
                <w:sz w:val="16"/>
              </w:rPr>
              <w:t>1,345.38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1012F">
            <w:pPr>
              <w:jc w:val="center"/>
            </w:pPr>
            <w:r>
              <w:rPr>
                <w:rFonts w:ascii="宋体" w:hAnsi="宋体" w:eastAsia="宋体"/>
                <w:sz w:val="16"/>
              </w:rPr>
              <w:t>1,307.02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014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6D23B">
            <w:pPr>
              <w:jc w:val="center"/>
            </w:pPr>
            <w:r>
              <w:rPr>
                <w:rFonts w:ascii="宋体" w:hAnsi="宋体" w:eastAsia="宋体"/>
                <w:sz w:val="16"/>
              </w:rPr>
              <w:t>97.15%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51AC">
            <w:pPr>
              <w:jc w:val="center"/>
            </w:pPr>
            <w:r>
              <w:rPr>
                <w:rFonts w:ascii="宋体" w:hAnsi="宋体" w:eastAsia="宋体"/>
                <w:sz w:val="16"/>
              </w:rPr>
              <w:t>9.72</w:t>
            </w:r>
          </w:p>
        </w:tc>
      </w:tr>
      <w:tr w14:paraId="399E03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F1C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A000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653C8">
            <w:pPr>
              <w:jc w:val="center"/>
            </w:pPr>
            <w:r>
              <w:rPr>
                <w:rFonts w:ascii="宋体" w:hAnsi="宋体" w:eastAsia="宋体"/>
                <w:sz w:val="16"/>
              </w:rPr>
              <w:t>212.55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A65E1">
            <w:pPr>
              <w:jc w:val="center"/>
            </w:pPr>
            <w:r>
              <w:rPr>
                <w:rFonts w:ascii="宋体" w:hAnsi="宋体" w:eastAsia="宋体"/>
                <w:sz w:val="16"/>
              </w:rPr>
              <w:t>232.20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B4476">
            <w:pPr>
              <w:jc w:val="center"/>
            </w:pPr>
            <w:r>
              <w:rPr>
                <w:rFonts w:ascii="宋体" w:hAnsi="宋体" w:eastAsia="宋体"/>
                <w:sz w:val="16"/>
              </w:rPr>
              <w:t>193.84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BD9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A1B4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C41DE">
            <w:pPr>
              <w:jc w:val="center"/>
            </w:pPr>
            <w:r>
              <w:rPr>
                <w:rFonts w:ascii="宋体" w:hAnsi="宋体" w:eastAsia="宋体"/>
                <w:sz w:val="16"/>
              </w:rPr>
              <w:t>—</w:t>
            </w:r>
          </w:p>
        </w:tc>
      </w:tr>
      <w:tr w14:paraId="17D41B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4DE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DC0E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B9964">
            <w:pPr>
              <w:jc w:val="center"/>
            </w:pPr>
            <w:r>
              <w:rPr>
                <w:rFonts w:ascii="宋体" w:hAnsi="宋体" w:eastAsia="宋体"/>
                <w:sz w:val="16"/>
              </w:rPr>
              <w:t>1,038.95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147BE">
            <w:pPr>
              <w:jc w:val="center"/>
            </w:pPr>
            <w:r>
              <w:rPr>
                <w:rFonts w:ascii="宋体" w:hAnsi="宋体" w:eastAsia="宋体"/>
                <w:sz w:val="16"/>
              </w:rPr>
              <w:t>1,078.18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AA3FA">
            <w:pPr>
              <w:jc w:val="center"/>
            </w:pPr>
            <w:r>
              <w:rPr>
                <w:rFonts w:ascii="宋体" w:hAnsi="宋体" w:eastAsia="宋体"/>
                <w:sz w:val="16"/>
              </w:rPr>
              <w:t>1,078.18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3F9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D30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023AE">
            <w:pPr>
              <w:jc w:val="center"/>
            </w:pPr>
            <w:r>
              <w:rPr>
                <w:rFonts w:ascii="宋体" w:hAnsi="宋体" w:eastAsia="宋体"/>
                <w:sz w:val="16"/>
              </w:rPr>
              <w:t>—</w:t>
            </w:r>
          </w:p>
        </w:tc>
      </w:tr>
      <w:tr w14:paraId="19339E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834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01C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92851">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CAA2F">
            <w:pPr>
              <w:jc w:val="center"/>
            </w:pPr>
            <w:r>
              <w:rPr>
                <w:rFonts w:ascii="宋体" w:hAnsi="宋体" w:eastAsia="宋体"/>
                <w:sz w:val="16"/>
              </w:rPr>
              <w:t>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C4348">
            <w:pPr>
              <w:jc w:val="center"/>
            </w:pPr>
            <w:r>
              <w:rPr>
                <w:rFonts w:ascii="宋体" w:hAnsi="宋体" w:eastAsia="宋体"/>
                <w:sz w:val="16"/>
              </w:rPr>
              <w:t>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828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D280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0DFE3">
            <w:pPr>
              <w:jc w:val="center"/>
            </w:pPr>
            <w:r>
              <w:rPr>
                <w:rFonts w:ascii="宋体" w:hAnsi="宋体" w:eastAsia="宋体"/>
                <w:sz w:val="16"/>
              </w:rPr>
              <w:t>—</w:t>
            </w:r>
          </w:p>
        </w:tc>
      </w:tr>
      <w:tr w14:paraId="2883F6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6EF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168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47B1E7">
            <w:pPr>
              <w:jc w:val="center"/>
            </w:pPr>
            <w:r>
              <w:rPr>
                <w:rFonts w:ascii="宋体" w:hAnsi="宋体" w:eastAsia="宋体"/>
                <w:sz w:val="16"/>
              </w:rPr>
              <w:t>实际完成情况</w:t>
            </w:r>
          </w:p>
        </w:tc>
      </w:tr>
      <w:tr w14:paraId="603D29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A863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B95D9">
            <w:pPr>
              <w:jc w:val="both"/>
            </w:pPr>
            <w:r>
              <w:rPr>
                <w:rFonts w:ascii="宋体" w:hAnsi="宋体" w:eastAsia="宋体"/>
                <w:sz w:val="16"/>
              </w:rPr>
              <w:t>保障我院2024年在职37名干警和14名书记员、22名退休人员、8名遗属的工资社保公积金和其他工资福利支出，预计办理刑事案件数300件以上，受理行政公益诉讼案件线索50件以上，检察建议采纳率达到100%，案件结案率达到90%以上，群众满意度达到95%以上，从而全面优化刑事检察监督，保障被监管人的合法权益；持续加强刑事、民事检察监督；大力推进公益诉讼检察，不断深化信访工作；提升依法履职能力，打造忠诚干净担当的过硬检察队伍，保障检察业务工作正常运行，维护社会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52EABA">
            <w:pPr>
              <w:jc w:val="both"/>
            </w:pPr>
            <w:r>
              <w:rPr>
                <w:rFonts w:ascii="宋体" w:hAnsi="宋体" w:eastAsia="宋体"/>
                <w:sz w:val="16"/>
              </w:rPr>
              <w:t>该项目资金保障了我院“四大检察”“十大业务”工作的顺利开展，充分发挥了检察机关职能作用，严厉打击各类刑事犯罪，确保群众利益,有效提升监督质效,促进社会的安定和谐。办理刑事案件数量677件，受理行政公益诉讼案件线索57件，检察建议采纳率100%，案件结案率93%，完成了年初设定目标。</w:t>
            </w:r>
          </w:p>
        </w:tc>
      </w:tr>
      <w:tr w14:paraId="38B9CC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88D7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22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258C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9920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608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D609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25BD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0C5E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DD217">
            <w:pPr>
              <w:jc w:val="center"/>
            </w:pPr>
            <w:r>
              <w:rPr>
                <w:rFonts w:ascii="宋体" w:hAnsi="宋体" w:eastAsia="宋体"/>
                <w:sz w:val="16"/>
              </w:rPr>
              <w:t>得分</w:t>
            </w:r>
          </w:p>
        </w:tc>
      </w:tr>
      <w:tr w14:paraId="6940CB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70A6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3469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A4D01">
            <w:pPr>
              <w:jc w:val="center"/>
            </w:pPr>
            <w:r>
              <w:rPr>
                <w:rFonts w:ascii="宋体" w:hAnsi="宋体" w:eastAsia="宋体"/>
                <w:sz w:val="16"/>
              </w:rPr>
              <w:t>办理刑事案件数量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23A8A">
            <w:pPr>
              <w:jc w:val="center"/>
            </w:pPr>
            <w:r>
              <w:rPr>
                <w:rFonts w:ascii="宋体" w:hAnsi="宋体" w:eastAsia="宋体"/>
                <w:sz w:val="16"/>
              </w:rPr>
              <w:t>&gt;=300件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F4FA5">
            <w:pPr>
              <w:jc w:val="center"/>
            </w:pPr>
            <w:r>
              <w:rPr>
                <w:rFonts w:ascii="宋体" w:hAnsi="宋体" w:eastAsia="宋体"/>
                <w:sz w:val="16"/>
              </w:rPr>
              <w:t>疏勒县人民检察院2023年工作报告和2024年工作计划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DC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0754">
            <w:pPr>
              <w:jc w:val="center"/>
            </w:pPr>
            <w:r>
              <w:rPr>
                <w:rFonts w:ascii="宋体" w:hAnsi="宋体" w:eastAsia="宋体"/>
                <w:sz w:val="16"/>
              </w:rPr>
              <w:t>677件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0E023">
            <w:pPr>
              <w:jc w:val="center"/>
            </w:pPr>
            <w:r>
              <w:rPr>
                <w:rFonts w:ascii="宋体" w:hAnsi="宋体" w:eastAsia="宋体"/>
                <w:sz w:val="16"/>
              </w:rPr>
              <w:t>225.67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FBBD8">
            <w:pPr>
              <w:jc w:val="center"/>
            </w:pPr>
            <w:r>
              <w:rPr>
                <w:rFonts w:ascii="宋体" w:hAnsi="宋体" w:eastAsia="宋体"/>
                <w:sz w:val="16"/>
              </w:rPr>
              <w:t>15</w:t>
            </w:r>
          </w:p>
        </w:tc>
      </w:tr>
      <w:tr w14:paraId="48F002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FC0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B1F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9C855">
            <w:pPr>
              <w:jc w:val="center"/>
            </w:pPr>
            <w:r>
              <w:rPr>
                <w:rFonts w:ascii="宋体" w:hAnsi="宋体" w:eastAsia="宋体"/>
                <w:sz w:val="16"/>
              </w:rPr>
              <w:t>受理行政公益诉讼案件线索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C9233">
            <w:pPr>
              <w:jc w:val="center"/>
            </w:pPr>
            <w:r>
              <w:rPr>
                <w:rFonts w:ascii="宋体" w:hAnsi="宋体" w:eastAsia="宋体"/>
                <w:sz w:val="16"/>
              </w:rPr>
              <w:t>&gt;=50件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9FC42">
            <w:pPr>
              <w:jc w:val="center"/>
            </w:pPr>
            <w:r>
              <w:rPr>
                <w:rFonts w:ascii="宋体" w:hAnsi="宋体" w:eastAsia="宋体"/>
                <w:sz w:val="16"/>
              </w:rPr>
              <w:t>疏勒县人民检察院2023年工作报告和2024年工作计划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043F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117A9">
            <w:pPr>
              <w:jc w:val="center"/>
            </w:pPr>
            <w:r>
              <w:rPr>
                <w:rFonts w:ascii="宋体" w:hAnsi="宋体" w:eastAsia="宋体"/>
                <w:sz w:val="16"/>
              </w:rPr>
              <w:t>57件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D6F59">
            <w:pPr>
              <w:jc w:val="center"/>
            </w:pPr>
            <w:r>
              <w:rPr>
                <w:rFonts w:ascii="宋体" w:hAnsi="宋体" w:eastAsia="宋体"/>
                <w:sz w:val="16"/>
              </w:rPr>
              <w:t>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4893B">
            <w:pPr>
              <w:jc w:val="center"/>
            </w:pPr>
            <w:r>
              <w:rPr>
                <w:rFonts w:ascii="宋体" w:hAnsi="宋体" w:eastAsia="宋体"/>
                <w:sz w:val="16"/>
              </w:rPr>
              <w:t>15</w:t>
            </w:r>
          </w:p>
        </w:tc>
      </w:tr>
      <w:tr w14:paraId="66BD84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6D1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1C4C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3809">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0D9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E0CE4">
            <w:pPr>
              <w:jc w:val="center"/>
            </w:pPr>
            <w:r>
              <w:rPr>
                <w:rFonts w:ascii="宋体" w:hAnsi="宋体" w:eastAsia="宋体"/>
                <w:sz w:val="16"/>
              </w:rPr>
              <w:t>疏勒县人民检察院2023年工作报告和2024年工作计划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A00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1D2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166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EF358">
            <w:pPr>
              <w:jc w:val="center"/>
            </w:pPr>
            <w:r>
              <w:rPr>
                <w:rFonts w:ascii="宋体" w:hAnsi="宋体" w:eastAsia="宋体"/>
                <w:sz w:val="16"/>
              </w:rPr>
              <w:t>20</w:t>
            </w:r>
          </w:p>
        </w:tc>
      </w:tr>
      <w:tr w14:paraId="67E146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302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9FE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C345">
            <w:pPr>
              <w:jc w:val="center"/>
            </w:pPr>
            <w:r>
              <w:rPr>
                <w:rFonts w:ascii="宋体" w:hAnsi="宋体" w:eastAsia="宋体"/>
                <w:sz w:val="16"/>
              </w:rPr>
              <w:t>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77E22">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B52EF">
            <w:pPr>
              <w:jc w:val="center"/>
            </w:pPr>
            <w:r>
              <w:rPr>
                <w:rFonts w:ascii="宋体" w:hAnsi="宋体" w:eastAsia="宋体"/>
                <w:sz w:val="16"/>
              </w:rPr>
              <w:t>疏勒县人民检察院2023年工作报告和2024年工作计划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BB7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82A6A">
            <w:pPr>
              <w:jc w:val="center"/>
            </w:pPr>
            <w:r>
              <w:rPr>
                <w:rFonts w:ascii="宋体" w:hAnsi="宋体" w:eastAsia="宋体"/>
                <w:sz w:val="16"/>
              </w:rPr>
              <w:t>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8EAB3">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571DD">
            <w:pPr>
              <w:jc w:val="center"/>
            </w:pPr>
            <w:r>
              <w:rPr>
                <w:rFonts w:ascii="宋体" w:hAnsi="宋体" w:eastAsia="宋体"/>
                <w:sz w:val="16"/>
              </w:rPr>
              <w:t>20</w:t>
            </w:r>
          </w:p>
        </w:tc>
      </w:tr>
      <w:tr w14:paraId="5CB610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1D37F">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DF3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5AA65">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70E3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0089D">
            <w:pPr>
              <w:jc w:val="center"/>
            </w:pPr>
            <w:r>
              <w:rPr>
                <w:rFonts w:ascii="宋体" w:hAnsi="宋体" w:eastAsia="宋体"/>
                <w:sz w:val="16"/>
              </w:rPr>
              <w:t>《关于开展2023年事前评估和绩效目标编制工作的通知》（喀地财绩</w:t>
            </w:r>
            <w:r>
              <w:rPr>
                <w:rFonts w:hint="eastAsia" w:ascii="宋体" w:hAnsi="宋体"/>
                <w:sz w:val="16"/>
                <w:lang w:eastAsia="zh-CN"/>
              </w:rPr>
              <w:t>〔2023〕3号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9AA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073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DDE52">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7D79F">
            <w:pPr>
              <w:jc w:val="center"/>
            </w:pPr>
            <w:r>
              <w:rPr>
                <w:rFonts w:ascii="宋体" w:hAnsi="宋体" w:eastAsia="宋体"/>
                <w:sz w:val="16"/>
              </w:rPr>
              <w:t>20</w:t>
            </w:r>
          </w:p>
        </w:tc>
      </w:tr>
    </w:tbl>
    <w:p w14:paraId="7BA1248E">
      <w:r>
        <w:br w:type="page"/>
      </w:r>
    </w:p>
    <w:p w14:paraId="4A00F07D">
      <w:pPr>
        <w:spacing w:line="640" w:lineRule="exact"/>
        <w:ind w:firstLine="640"/>
        <w:jc w:val="both"/>
        <w:outlineLvl w:val="2"/>
      </w:pPr>
      <w:r>
        <w:rPr>
          <w:rFonts w:ascii="黑体" w:hAnsi="黑体" w:eastAsia="黑体"/>
          <w:sz w:val="32"/>
        </w:rPr>
        <w:t>十二、其他需说明的事项</w:t>
      </w:r>
    </w:p>
    <w:p w14:paraId="697A2724">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本部门涉密</w:t>
      </w:r>
      <w:r>
        <w:rPr>
          <w:rFonts w:ascii="仿宋_GB2312" w:hAnsi="仿宋_GB2312" w:eastAsia="仿宋_GB2312"/>
          <w:b w:val="0"/>
          <w:sz w:val="32"/>
        </w:rPr>
        <w:t>项目10个，全年预算数274.19万元，全年执行数235.82万元。</w:t>
      </w:r>
      <w:bookmarkStart w:id="0" w:name="_GoBack"/>
      <w:bookmarkEnd w:id="0"/>
    </w:p>
    <w:p w14:paraId="5E6FE7A3">
      <w:r>
        <w:br w:type="page"/>
      </w:r>
    </w:p>
    <w:p w14:paraId="7DAEA5A6">
      <w:pPr>
        <w:spacing w:line="240" w:lineRule="auto"/>
        <w:jc w:val="center"/>
        <w:outlineLvl w:val="1"/>
      </w:pPr>
      <w:r>
        <w:rPr>
          <w:rFonts w:ascii="黑体" w:hAnsi="黑体" w:eastAsia="黑体"/>
          <w:sz w:val="32"/>
        </w:rPr>
        <w:t>第三部分 专业名词解释</w:t>
      </w:r>
    </w:p>
    <w:p w14:paraId="386F868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0212D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0A88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03F9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8499C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4D527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B24F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C978E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5EB7B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92B9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47BB6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154F2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B7B8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3A10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0404A7">
      <w:r>
        <w:br w:type="page"/>
      </w:r>
    </w:p>
    <w:p w14:paraId="797952D0">
      <w:pPr>
        <w:spacing w:line="240" w:lineRule="auto"/>
        <w:jc w:val="center"/>
        <w:outlineLvl w:val="1"/>
      </w:pPr>
      <w:r>
        <w:rPr>
          <w:rFonts w:ascii="黑体" w:hAnsi="黑体" w:eastAsia="黑体"/>
          <w:sz w:val="32"/>
        </w:rPr>
        <w:t>第四部分 部门决算报表（见附表）</w:t>
      </w:r>
    </w:p>
    <w:p w14:paraId="2E8F7EC0">
      <w:pPr>
        <w:spacing w:line="240" w:lineRule="auto"/>
        <w:ind w:firstLine="640"/>
        <w:jc w:val="both"/>
      </w:pPr>
      <w:r>
        <w:rPr>
          <w:rFonts w:ascii="仿宋_GB2312" w:hAnsi="仿宋_GB2312" w:eastAsia="仿宋_GB2312"/>
          <w:b w:val="0"/>
          <w:sz w:val="32"/>
        </w:rPr>
        <w:t>一、《收入支出决算总表》</w:t>
      </w:r>
    </w:p>
    <w:p w14:paraId="2ACBE4E1">
      <w:pPr>
        <w:spacing w:line="240" w:lineRule="auto"/>
        <w:ind w:firstLine="640"/>
        <w:jc w:val="both"/>
      </w:pPr>
      <w:r>
        <w:rPr>
          <w:rFonts w:ascii="仿宋_GB2312" w:hAnsi="仿宋_GB2312" w:eastAsia="仿宋_GB2312"/>
          <w:b w:val="0"/>
          <w:sz w:val="32"/>
        </w:rPr>
        <w:t>二、《收入决算表》</w:t>
      </w:r>
    </w:p>
    <w:p w14:paraId="024F0BE2">
      <w:pPr>
        <w:spacing w:line="240" w:lineRule="auto"/>
        <w:ind w:firstLine="640"/>
        <w:jc w:val="both"/>
      </w:pPr>
      <w:r>
        <w:rPr>
          <w:rFonts w:ascii="仿宋_GB2312" w:hAnsi="仿宋_GB2312" w:eastAsia="仿宋_GB2312"/>
          <w:b w:val="0"/>
          <w:sz w:val="32"/>
        </w:rPr>
        <w:t>三、《支出决算表》</w:t>
      </w:r>
    </w:p>
    <w:p w14:paraId="7ECFEC6A">
      <w:pPr>
        <w:spacing w:line="240" w:lineRule="auto"/>
        <w:ind w:firstLine="640"/>
        <w:jc w:val="both"/>
      </w:pPr>
      <w:r>
        <w:rPr>
          <w:rFonts w:ascii="仿宋_GB2312" w:hAnsi="仿宋_GB2312" w:eastAsia="仿宋_GB2312"/>
          <w:b w:val="0"/>
          <w:sz w:val="32"/>
        </w:rPr>
        <w:t>四、《财政拨款收入支出决算总表》</w:t>
      </w:r>
    </w:p>
    <w:p w14:paraId="1C6061A9">
      <w:pPr>
        <w:spacing w:line="240" w:lineRule="auto"/>
        <w:ind w:firstLine="640"/>
        <w:jc w:val="both"/>
      </w:pPr>
      <w:r>
        <w:rPr>
          <w:rFonts w:ascii="仿宋_GB2312" w:hAnsi="仿宋_GB2312" w:eastAsia="仿宋_GB2312"/>
          <w:b w:val="0"/>
          <w:sz w:val="32"/>
        </w:rPr>
        <w:t>五、《一般公共预算财政拨款支出决算表》</w:t>
      </w:r>
    </w:p>
    <w:p w14:paraId="3FFC4191">
      <w:pPr>
        <w:spacing w:line="240" w:lineRule="auto"/>
        <w:ind w:firstLine="640"/>
        <w:jc w:val="both"/>
      </w:pPr>
      <w:r>
        <w:rPr>
          <w:rFonts w:ascii="仿宋_GB2312" w:hAnsi="仿宋_GB2312" w:eastAsia="仿宋_GB2312"/>
          <w:b w:val="0"/>
          <w:sz w:val="32"/>
        </w:rPr>
        <w:t>六、《一般公共预算财政拨款基本支出决算表》</w:t>
      </w:r>
    </w:p>
    <w:p w14:paraId="2FBC954F">
      <w:pPr>
        <w:spacing w:line="240" w:lineRule="auto"/>
        <w:ind w:firstLine="640"/>
        <w:jc w:val="both"/>
      </w:pPr>
      <w:r>
        <w:rPr>
          <w:rFonts w:ascii="仿宋_GB2312" w:hAnsi="仿宋_GB2312" w:eastAsia="仿宋_GB2312"/>
          <w:b w:val="0"/>
          <w:sz w:val="32"/>
        </w:rPr>
        <w:t>七、《政府性基金预算财政拨款收入支出决算表》</w:t>
      </w:r>
    </w:p>
    <w:p w14:paraId="0D50176E">
      <w:pPr>
        <w:spacing w:line="240" w:lineRule="auto"/>
        <w:ind w:firstLine="640"/>
        <w:jc w:val="both"/>
      </w:pPr>
      <w:r>
        <w:rPr>
          <w:rFonts w:ascii="仿宋_GB2312" w:hAnsi="仿宋_GB2312" w:eastAsia="仿宋_GB2312"/>
          <w:b w:val="0"/>
          <w:sz w:val="32"/>
        </w:rPr>
        <w:t>八、《国有资本经营预算财政拨款收入支出决算表》</w:t>
      </w:r>
    </w:p>
    <w:p w14:paraId="078AF140">
      <w:pPr>
        <w:spacing w:line="240" w:lineRule="auto"/>
        <w:ind w:firstLine="640"/>
        <w:jc w:val="both"/>
      </w:pPr>
      <w:r>
        <w:rPr>
          <w:rFonts w:ascii="仿宋_GB2312" w:hAnsi="仿宋_GB2312" w:eastAsia="仿宋_GB2312"/>
          <w:b w:val="0"/>
          <w:sz w:val="32"/>
        </w:rPr>
        <w:t>九、《财政拨款“三公”经费支出决算表》</w:t>
      </w:r>
    </w:p>
    <w:p w14:paraId="1EA138BF">
      <w:pPr>
        <w:spacing w:line="240" w:lineRule="auto"/>
        <w:ind w:firstLine="640"/>
        <w:jc w:val="both"/>
      </w:pPr>
    </w:p>
    <w:p w14:paraId="5429DE04">
      <w:pPr>
        <w:spacing w:line="240" w:lineRule="auto"/>
        <w:ind w:firstLine="640"/>
        <w:jc w:val="both"/>
      </w:pPr>
    </w:p>
    <w:p w14:paraId="2396573A">
      <w:pPr>
        <w:spacing w:line="240" w:lineRule="auto"/>
        <w:ind w:firstLine="640"/>
        <w:jc w:val="both"/>
      </w:pPr>
    </w:p>
    <w:p w14:paraId="6EE6F0A0">
      <w:pPr>
        <w:spacing w:line="240" w:lineRule="auto"/>
        <w:ind w:firstLine="640"/>
        <w:jc w:val="both"/>
      </w:pPr>
    </w:p>
    <w:p w14:paraId="380EFCB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EF6B32-35A2-4952-B44E-BAAE5885B9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7FC23DD-E194-4038-A2E4-4B39FE8412B7}"/>
  </w:font>
  <w:font w:name="方正小标宋_GBK">
    <w:panose1 w:val="02000000000000000000"/>
    <w:charset w:val="86"/>
    <w:family w:val="script"/>
    <w:pitch w:val="default"/>
    <w:sig w:usb0="A00002BF" w:usb1="38CF7CFA" w:usb2="00082016" w:usb3="00000000" w:csb0="00040001" w:csb1="00000000"/>
    <w:embedRegular r:id="rId3" w:fontKey="{F86B6116-B90A-45A5-8CB5-02B43728A28F}"/>
  </w:font>
  <w:font w:name="楷体_GB2312">
    <w:altName w:val="楷体"/>
    <w:panose1 w:val="00000000000000000000"/>
    <w:charset w:val="00"/>
    <w:family w:val="auto"/>
    <w:pitch w:val="default"/>
    <w:sig w:usb0="00000000" w:usb1="00000000" w:usb2="00000000" w:usb3="00000000" w:csb0="00000000" w:csb1="00000000"/>
    <w:embedRegular r:id="rId4" w:fontKey="{CD97117E-DEBF-40E2-8DB7-34152E82BB64}"/>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366970"/>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93415"/>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596DD5"/>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6876</Words>
  <Characters>7846</Characters>
  <Lines>0</Lines>
  <Paragraphs>0</Paragraphs>
  <TotalTime>2</TotalTime>
  <ScaleCrop>false</ScaleCrop>
  <LinksUpToDate>false</LinksUpToDate>
  <CharactersWithSpaces>7856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