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6B3E39E">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lang w:val="en-US" w:eastAsia="zh-CN"/>
        </w:rPr>
      </w:pPr>
      <w:r>
        <w:rPr>
          <w:rFonts w:hint="eastAsia" w:ascii="方正小标宋_GBK" w:hAnsi="宋体" w:eastAsia="方正小标宋_GBK"/>
          <w:sz w:val="44"/>
          <w:szCs w:val="44"/>
          <w:highlight w:val="none"/>
          <w:lang w:val="en-US" w:eastAsia="zh-CN"/>
        </w:rPr>
        <w:t>疏勒县人民法院</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部门概况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288A6BC1">
      <w:r>
        <w:br w:type="page"/>
      </w:r>
    </w:p>
    <w:p w14:paraId="089542BB">
      <w:pPr>
        <w:spacing w:line="640" w:lineRule="exact"/>
        <w:jc w:val="center"/>
        <w:outlineLvl w:val="1"/>
      </w:pPr>
      <w:r>
        <w:rPr>
          <w:rFonts w:ascii="黑体" w:hAnsi="黑体" w:eastAsia="黑体"/>
          <w:sz w:val="32"/>
        </w:rPr>
        <w:t>第一部分 部门概况</w:t>
      </w:r>
    </w:p>
    <w:p w14:paraId="12F719E1">
      <w:pPr>
        <w:spacing w:line="640" w:lineRule="exact"/>
        <w:ind w:firstLine="640"/>
        <w:jc w:val="both"/>
        <w:outlineLvl w:val="2"/>
      </w:pPr>
      <w:r>
        <w:rPr>
          <w:rFonts w:ascii="黑体" w:hAnsi="黑体" w:eastAsia="黑体"/>
          <w:sz w:val="32"/>
        </w:rPr>
        <w:t>一、主要职能</w:t>
      </w:r>
    </w:p>
    <w:p w14:paraId="5980325B">
      <w:pPr>
        <w:spacing w:line="580" w:lineRule="exact"/>
        <w:ind w:firstLine="640"/>
        <w:jc w:val="both"/>
      </w:pPr>
      <w:r>
        <w:rPr>
          <w:rFonts w:ascii="仿宋_GB2312" w:hAnsi="仿宋_GB2312" w:eastAsia="仿宋_GB2312"/>
          <w:sz w:val="32"/>
        </w:rPr>
        <w:t>（1）依据宪法独立行使审判权，依法履行审判职能。</w:t>
      </w:r>
    </w:p>
    <w:p w14:paraId="238B2F86">
      <w:pPr>
        <w:spacing w:line="580" w:lineRule="exact"/>
        <w:ind w:firstLine="640"/>
        <w:jc w:val="both"/>
      </w:pPr>
      <w:r>
        <w:rPr>
          <w:rFonts w:ascii="仿宋_GB2312" w:hAnsi="仿宋_GB2312" w:eastAsia="仿宋_GB2312"/>
          <w:sz w:val="32"/>
        </w:rPr>
        <w:t>（2）依法审理各类一审刑事案件，惩办一切犯罪分子，维护社会安定。</w:t>
      </w:r>
    </w:p>
    <w:p w14:paraId="4FC38B11">
      <w:pPr>
        <w:spacing w:line="580" w:lineRule="exact"/>
        <w:ind w:firstLine="640"/>
        <w:jc w:val="both"/>
      </w:pPr>
      <w:r>
        <w:rPr>
          <w:rFonts w:ascii="仿宋_GB2312" w:hAnsi="仿宋_GB2312" w:eastAsia="仿宋_GB2312"/>
          <w:sz w:val="32"/>
        </w:rPr>
        <w:t>（3）依法审理各类一审民事案件，解决民事纠纷，保护公民法人的合法权益。</w:t>
      </w:r>
    </w:p>
    <w:p w14:paraId="1A254E10">
      <w:pPr>
        <w:spacing w:line="580" w:lineRule="exact"/>
        <w:ind w:firstLine="640"/>
        <w:jc w:val="both"/>
      </w:pPr>
      <w:r>
        <w:rPr>
          <w:rFonts w:ascii="仿宋_GB2312" w:hAnsi="仿宋_GB2312" w:eastAsia="仿宋_GB2312"/>
          <w:sz w:val="32"/>
        </w:rPr>
        <w:t>（4）依法审理各类一审经济纠纷案件，调节经济关系，维护社会经济秩序，保障我县经济健康发展。</w:t>
      </w:r>
    </w:p>
    <w:p w14:paraId="0AF4E82A">
      <w:pPr>
        <w:spacing w:line="580" w:lineRule="exact"/>
        <w:ind w:firstLine="640"/>
        <w:jc w:val="both"/>
      </w:pPr>
      <w:r>
        <w:rPr>
          <w:rFonts w:ascii="仿宋_GB2312" w:hAnsi="仿宋_GB2312" w:eastAsia="仿宋_GB2312"/>
          <w:sz w:val="32"/>
        </w:rPr>
        <w:t>（5）依法审理各类一审诉讼案件，保护公民、法人和其他组织的合法权益、监督和支持行政机关依法行使职权。</w:t>
      </w:r>
    </w:p>
    <w:p w14:paraId="21696C9F">
      <w:pPr>
        <w:spacing w:line="580" w:lineRule="exact"/>
        <w:ind w:firstLine="640"/>
        <w:jc w:val="both"/>
      </w:pPr>
      <w:r>
        <w:rPr>
          <w:rFonts w:ascii="仿宋_GB2312" w:hAnsi="仿宋_GB2312" w:eastAsia="仿宋_GB2312"/>
          <w:sz w:val="32"/>
        </w:rPr>
        <w:t>（6）审理各类依照法律应当由基层人民法院按照再审程序审理的案件。</w:t>
      </w:r>
    </w:p>
    <w:p w14:paraId="12D34CB7">
      <w:pPr>
        <w:spacing w:line="580" w:lineRule="exact"/>
        <w:ind w:firstLine="640"/>
        <w:jc w:val="both"/>
      </w:pPr>
      <w:r>
        <w:rPr>
          <w:rFonts w:ascii="仿宋_GB2312" w:hAnsi="仿宋_GB2312" w:eastAsia="仿宋_GB2312"/>
          <w:sz w:val="32"/>
        </w:rPr>
        <w:t>（7）依法审理中级人民法院批准或指定的由我院审判的刑事、民事、经济、行政等案件。</w:t>
      </w:r>
    </w:p>
    <w:p w14:paraId="39C4DEE0">
      <w:pPr>
        <w:spacing w:line="580" w:lineRule="exact"/>
        <w:ind w:firstLine="640"/>
        <w:jc w:val="both"/>
      </w:pPr>
      <w:r>
        <w:rPr>
          <w:rFonts w:ascii="仿宋_GB2312" w:hAnsi="仿宋_GB2312" w:eastAsia="仿宋_GB2312"/>
          <w:sz w:val="32"/>
        </w:rPr>
        <w:t>（8）负责指导农村人民调解委员会的工作。</w:t>
      </w:r>
    </w:p>
    <w:p w14:paraId="6625CBDE">
      <w:pPr>
        <w:spacing w:line="580" w:lineRule="exact"/>
        <w:ind w:firstLine="640"/>
        <w:jc w:val="both"/>
      </w:pPr>
      <w:r>
        <w:rPr>
          <w:rFonts w:ascii="仿宋_GB2312" w:hAnsi="仿宋_GB2312" w:eastAsia="仿宋_GB2312"/>
          <w:sz w:val="32"/>
        </w:rPr>
        <w:t>（9）主动接受上级人民法院的领导，在上级人民法院的统一领导下，开展审判业务工作。</w:t>
      </w:r>
    </w:p>
    <w:p w14:paraId="77B0DEC3">
      <w:pPr>
        <w:spacing w:line="580" w:lineRule="exact"/>
        <w:ind w:firstLine="640"/>
        <w:jc w:val="both"/>
      </w:pPr>
      <w:r>
        <w:rPr>
          <w:rFonts w:ascii="仿宋_GB2312" w:hAnsi="仿宋_GB2312" w:eastAsia="仿宋_GB2312"/>
          <w:sz w:val="32"/>
        </w:rPr>
        <w:t>（10）主动接受党委的领导，依法接受疏勒县人民代表大会及其常务委员会的监督，向疏勒县人民代表大会及其常务委员会负责并报告工作；依法向疏勒县人民代表大会及其常务委员会提出方案，接受同级人大常委会的质询。</w:t>
      </w:r>
    </w:p>
    <w:p w14:paraId="0F119C65">
      <w:pPr>
        <w:spacing w:line="580" w:lineRule="exact"/>
        <w:ind w:firstLine="640"/>
        <w:jc w:val="both"/>
      </w:pPr>
      <w:r>
        <w:rPr>
          <w:rFonts w:ascii="仿宋_GB2312" w:hAnsi="仿宋_GB2312" w:eastAsia="仿宋_GB2312"/>
          <w:sz w:val="32"/>
        </w:rPr>
        <w:t>（11）指导各基层人民法庭的审判业务、思想政治、教育培训工作，按照权限管理法官、书记员、司法警察及司法行政人员。</w:t>
      </w:r>
    </w:p>
    <w:p w14:paraId="31487182">
      <w:pPr>
        <w:spacing w:line="580" w:lineRule="exact"/>
        <w:ind w:firstLine="640"/>
        <w:jc w:val="both"/>
      </w:pPr>
      <w:r>
        <w:rPr>
          <w:rFonts w:ascii="仿宋_GB2312" w:hAnsi="仿宋_GB2312" w:eastAsia="仿宋_GB2312"/>
          <w:sz w:val="32"/>
        </w:rPr>
        <w:t>（12）利用审判活动，积极开展法治宣传教育，提高公民法律意识和守法观念。</w:t>
      </w:r>
    </w:p>
    <w:p w14:paraId="063F3495">
      <w:pPr>
        <w:spacing w:line="580" w:lineRule="exact"/>
        <w:ind w:firstLine="640"/>
        <w:jc w:val="both"/>
      </w:pPr>
      <w:r>
        <w:rPr>
          <w:rFonts w:ascii="仿宋_GB2312" w:hAnsi="仿宋_GB2312" w:eastAsia="仿宋_GB2312"/>
          <w:sz w:val="32"/>
        </w:rPr>
        <w:t>（13）开展审判工作研究，积极总结和探索基层人民法院审判工作以及改革、建设的经验。</w:t>
      </w:r>
    </w:p>
    <w:p w14:paraId="37679D9F">
      <w:pPr>
        <w:spacing w:line="580" w:lineRule="exact"/>
        <w:ind w:firstLine="640"/>
        <w:jc w:val="both"/>
      </w:pPr>
      <w:r>
        <w:rPr>
          <w:rFonts w:ascii="仿宋_GB2312" w:hAnsi="仿宋_GB2312" w:eastAsia="仿宋_GB2312"/>
          <w:sz w:val="32"/>
        </w:rPr>
        <w:t>（14）在县党委领导下开展党风廉政建设、社会治安综合治理、精神文明创建等各项工作。</w:t>
      </w:r>
    </w:p>
    <w:p w14:paraId="67338E56">
      <w:pPr>
        <w:spacing w:line="640" w:lineRule="exact"/>
        <w:ind w:firstLine="640"/>
        <w:jc w:val="both"/>
        <w:outlineLvl w:val="2"/>
      </w:pPr>
      <w:r>
        <w:rPr>
          <w:rFonts w:ascii="黑体" w:hAnsi="黑体" w:eastAsia="黑体"/>
          <w:sz w:val="32"/>
        </w:rPr>
        <w:t>二、机构设置及人员情况</w:t>
      </w:r>
    </w:p>
    <w:p w14:paraId="28664F45">
      <w:pPr>
        <w:spacing w:line="580" w:lineRule="exact"/>
        <w:ind w:firstLine="640"/>
        <w:jc w:val="both"/>
      </w:pPr>
      <w:r>
        <w:rPr>
          <w:rFonts w:ascii="仿宋_GB2312" w:hAnsi="仿宋_GB2312" w:eastAsia="仿宋_GB2312"/>
          <w:sz w:val="32"/>
        </w:rPr>
        <w:t>疏勒县人民法院2024年度，实有人数99人，其中：在职人员67人，增加2人；离休人员0人，增加0人；退休人员32人,增加3人。</w:t>
      </w:r>
    </w:p>
    <w:p w14:paraId="638CB002">
      <w:pPr>
        <w:spacing w:line="580" w:lineRule="exact"/>
        <w:ind w:firstLine="640"/>
        <w:jc w:val="both"/>
      </w:pPr>
      <w:r>
        <w:rPr>
          <w:rFonts w:ascii="仿宋_GB2312" w:hAnsi="仿宋_GB2312" w:eastAsia="仿宋_GB2312"/>
          <w:sz w:val="32"/>
        </w:rPr>
        <w:t>疏勒县人民法院无下属预算单位，下设8个科室，分别是：综合办公室（法警大队）、政治部、审判管理办公室、民事审判庭、刑事审判庭、行政审判庭、立案庭(诉讼服务中心）、执行局。</w:t>
      </w:r>
    </w:p>
    <w:p w14:paraId="720146BD">
      <w:r>
        <w:br w:type="page"/>
      </w:r>
    </w:p>
    <w:p w14:paraId="2A96CBA4">
      <w:pPr>
        <w:spacing w:line="240" w:lineRule="auto"/>
        <w:jc w:val="center"/>
        <w:outlineLvl w:val="1"/>
      </w:pPr>
      <w:r>
        <w:rPr>
          <w:rFonts w:ascii="黑体" w:hAnsi="黑体" w:eastAsia="黑体"/>
          <w:sz w:val="32"/>
        </w:rPr>
        <w:t>第二部分 部门决算情况说明</w:t>
      </w:r>
    </w:p>
    <w:p w14:paraId="734D3EAB">
      <w:pPr>
        <w:spacing w:line="640" w:lineRule="exact"/>
        <w:ind w:firstLine="640"/>
        <w:jc w:val="both"/>
        <w:outlineLvl w:val="2"/>
      </w:pPr>
      <w:r>
        <w:rPr>
          <w:rFonts w:ascii="黑体" w:hAnsi="黑体" w:eastAsia="黑体"/>
          <w:sz w:val="32"/>
        </w:rPr>
        <w:t>一、收入支出决算总体情况说明</w:t>
      </w:r>
    </w:p>
    <w:p w14:paraId="4A0D0D2D">
      <w:pPr>
        <w:spacing w:line="580" w:lineRule="exact"/>
        <w:ind w:firstLine="640"/>
        <w:jc w:val="both"/>
      </w:pPr>
      <w:r>
        <w:rPr>
          <w:rFonts w:ascii="仿宋_GB2312" w:hAnsi="仿宋_GB2312" w:eastAsia="仿宋_GB2312"/>
          <w:b/>
          <w:sz w:val="32"/>
        </w:rPr>
        <w:t>2024年度收入总计2,293.83万元，</w:t>
      </w:r>
      <w:r>
        <w:rPr>
          <w:rFonts w:ascii="仿宋_GB2312" w:hAnsi="仿宋_GB2312" w:eastAsia="仿宋_GB2312"/>
          <w:b w:val="0"/>
          <w:sz w:val="32"/>
        </w:rPr>
        <w:t>其中：本年收入合计2,293.83万元，使用非财政拨款结余（含专用结余）0.00万元，年初结转和结余0.00万元。</w:t>
      </w:r>
    </w:p>
    <w:p w14:paraId="51229FFA">
      <w:pPr>
        <w:spacing w:line="580" w:lineRule="exact"/>
        <w:ind w:firstLine="640"/>
        <w:jc w:val="both"/>
      </w:pPr>
      <w:r>
        <w:rPr>
          <w:rFonts w:ascii="仿宋_GB2312" w:hAnsi="仿宋_GB2312" w:eastAsia="仿宋_GB2312"/>
          <w:b/>
          <w:sz w:val="32"/>
        </w:rPr>
        <w:t>2024年度支出总计2,293.83万元，</w:t>
      </w:r>
      <w:r>
        <w:rPr>
          <w:rFonts w:ascii="仿宋_GB2312" w:hAnsi="仿宋_GB2312" w:eastAsia="仿宋_GB2312"/>
          <w:b w:val="0"/>
          <w:sz w:val="32"/>
        </w:rPr>
        <w:t>其中：本年支出合计2,293.83万元，结余分配0.00万元，年末结转和结余0.00万元。</w:t>
      </w:r>
    </w:p>
    <w:p w14:paraId="3E9EE12C">
      <w:pPr>
        <w:spacing w:line="580" w:lineRule="exact"/>
        <w:ind w:firstLine="640"/>
        <w:jc w:val="both"/>
      </w:pPr>
      <w:r>
        <w:rPr>
          <w:rFonts w:ascii="仿宋_GB2312" w:hAnsi="仿宋_GB2312" w:eastAsia="仿宋_GB2312"/>
          <w:b w:val="0"/>
          <w:sz w:val="32"/>
        </w:rPr>
        <w:t>收入支出总体与上年相比，减少56.45万元，下降2.40%，主要原因是：较上年减少2022年中央政法纪检监察转移支付资金业务经费结转资金。</w:t>
      </w:r>
    </w:p>
    <w:p w14:paraId="2F01156C">
      <w:pPr>
        <w:spacing w:line="640" w:lineRule="exact"/>
        <w:ind w:firstLine="640"/>
        <w:jc w:val="both"/>
        <w:outlineLvl w:val="2"/>
      </w:pPr>
      <w:r>
        <w:rPr>
          <w:rFonts w:ascii="黑体" w:hAnsi="黑体" w:eastAsia="黑体"/>
          <w:sz w:val="32"/>
        </w:rPr>
        <w:t>二、收入决算情况说明</w:t>
      </w:r>
    </w:p>
    <w:p w14:paraId="47E1489D">
      <w:pPr>
        <w:spacing w:line="580" w:lineRule="exact"/>
        <w:ind w:firstLine="640"/>
        <w:jc w:val="both"/>
      </w:pPr>
      <w:r>
        <w:rPr>
          <w:rFonts w:ascii="仿宋_GB2312" w:hAnsi="仿宋_GB2312" w:eastAsia="仿宋_GB2312"/>
          <w:b/>
          <w:sz w:val="32"/>
        </w:rPr>
        <w:t>本年收入2,293.83万元，</w:t>
      </w:r>
      <w:r>
        <w:rPr>
          <w:rFonts w:ascii="仿宋_GB2312" w:hAnsi="仿宋_GB2312" w:eastAsia="仿宋_GB2312"/>
          <w:b w:val="0"/>
          <w:sz w:val="32"/>
        </w:rPr>
        <w:t>其中：财政拨款收入2,293.83万元，占100.00%；上级补助收入0.00万元，占0.00%；事业收入0.00万元，占0.00%；经营收入0.00万元，占0.00%；附属单位上缴收入0.00万元，占0.00%；其他收入0.00万元，占0.00%。</w:t>
      </w:r>
    </w:p>
    <w:p w14:paraId="2C0EE805">
      <w:pPr>
        <w:spacing w:line="640" w:lineRule="exact"/>
        <w:ind w:firstLine="640"/>
        <w:jc w:val="both"/>
        <w:outlineLvl w:val="2"/>
      </w:pPr>
      <w:r>
        <w:rPr>
          <w:rFonts w:ascii="黑体" w:hAnsi="黑体" w:eastAsia="黑体"/>
          <w:sz w:val="32"/>
        </w:rPr>
        <w:t>三、支出决算情况说明</w:t>
      </w:r>
    </w:p>
    <w:p w14:paraId="046C3ACD">
      <w:pPr>
        <w:spacing w:line="580" w:lineRule="exact"/>
        <w:ind w:firstLine="640"/>
        <w:jc w:val="both"/>
      </w:pPr>
      <w:r>
        <w:rPr>
          <w:rFonts w:ascii="仿宋_GB2312" w:hAnsi="仿宋_GB2312" w:eastAsia="仿宋_GB2312"/>
          <w:b/>
          <w:sz w:val="32"/>
        </w:rPr>
        <w:t>本年支出2,293.83万元，</w:t>
      </w:r>
      <w:r>
        <w:rPr>
          <w:rFonts w:ascii="仿宋_GB2312" w:hAnsi="仿宋_GB2312" w:eastAsia="仿宋_GB2312"/>
          <w:b w:val="0"/>
          <w:sz w:val="32"/>
        </w:rPr>
        <w:t>其中：基本支出1,674.27万元，占72.99%；项目支出619.56万元，占27.01%；上缴上级支出0.00万元，占0.00%；经营支出0.00万元，占0.00%；对附属单位补助支出0.00万元，占0.00%。</w:t>
      </w:r>
    </w:p>
    <w:p w14:paraId="239CECC7">
      <w:pPr>
        <w:spacing w:line="640" w:lineRule="exact"/>
        <w:ind w:firstLine="640"/>
        <w:jc w:val="both"/>
        <w:outlineLvl w:val="2"/>
      </w:pPr>
      <w:r>
        <w:rPr>
          <w:rFonts w:ascii="黑体" w:hAnsi="黑体" w:eastAsia="黑体"/>
          <w:sz w:val="32"/>
        </w:rPr>
        <w:t>四、财政拨款收入支出决算总体情况说明</w:t>
      </w:r>
    </w:p>
    <w:p w14:paraId="599776E2">
      <w:pPr>
        <w:spacing w:line="580" w:lineRule="exact"/>
        <w:ind w:firstLine="640"/>
        <w:jc w:val="both"/>
      </w:pPr>
      <w:r>
        <w:rPr>
          <w:rFonts w:ascii="仿宋_GB2312" w:hAnsi="仿宋_GB2312" w:eastAsia="仿宋_GB2312"/>
          <w:b/>
          <w:sz w:val="32"/>
        </w:rPr>
        <w:t>2024年度财政拨款收入总计2,293.83万元，</w:t>
      </w:r>
      <w:r>
        <w:rPr>
          <w:rFonts w:ascii="仿宋_GB2312" w:hAnsi="仿宋_GB2312" w:eastAsia="仿宋_GB2312"/>
          <w:b w:val="0"/>
          <w:sz w:val="32"/>
        </w:rPr>
        <w:t>其中：年初财政拨款结转和结余0.00万元，本年财政拨款收入2,293.83万元。</w:t>
      </w:r>
      <w:r>
        <w:rPr>
          <w:rFonts w:ascii="仿宋_GB2312" w:hAnsi="仿宋_GB2312" w:eastAsia="仿宋_GB2312"/>
          <w:b/>
          <w:sz w:val="32"/>
        </w:rPr>
        <w:t>财政拨款支出总计2,293.83万元，</w:t>
      </w:r>
      <w:r>
        <w:rPr>
          <w:rFonts w:ascii="仿宋_GB2312" w:hAnsi="仿宋_GB2312" w:eastAsia="仿宋_GB2312"/>
          <w:b w:val="0"/>
          <w:sz w:val="32"/>
        </w:rPr>
        <w:t>其中：年末财政拨款结转和结余0.00万元，本年财政拨款支出2,293.83万元。</w:t>
      </w:r>
    </w:p>
    <w:p w14:paraId="40306679">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减少51.45万元，下降2.19%，主要原因是：较上年减少2022年中央政法纪检监察转移支付资金业务经费结转资金。</w:t>
      </w:r>
      <w:r>
        <w:rPr>
          <w:rFonts w:ascii="仿宋_GB2312" w:hAnsi="仿宋_GB2312" w:eastAsia="仿宋_GB2312"/>
          <w:b/>
          <w:sz w:val="32"/>
        </w:rPr>
        <w:t>与年初预算相比，</w:t>
      </w:r>
      <w:r>
        <w:rPr>
          <w:rFonts w:ascii="仿宋_GB2312" w:hAnsi="仿宋_GB2312" w:eastAsia="仿宋_GB2312"/>
          <w:b w:val="0"/>
          <w:sz w:val="32"/>
        </w:rPr>
        <w:t>年初预算数2,247.91万元，决算数2,293.83万元，预决算差异率2.04%，主要原因是：年中追加人员工资、社保、公积金基数调增部分资金，导致预决算存在差异。</w:t>
      </w:r>
    </w:p>
    <w:p w14:paraId="2F2FA8C1">
      <w:pPr>
        <w:spacing w:line="640" w:lineRule="exact"/>
        <w:ind w:firstLine="640"/>
        <w:jc w:val="both"/>
        <w:outlineLvl w:val="2"/>
      </w:pPr>
      <w:r>
        <w:rPr>
          <w:rFonts w:ascii="黑体" w:hAnsi="黑体" w:eastAsia="黑体"/>
          <w:sz w:val="32"/>
        </w:rPr>
        <w:t>五、一般公共预算财政拨款支出决算情况说明</w:t>
      </w:r>
    </w:p>
    <w:p w14:paraId="30F7BD00">
      <w:pPr>
        <w:spacing w:line="640" w:lineRule="exact"/>
        <w:ind w:firstLine="640"/>
        <w:jc w:val="both"/>
        <w:outlineLvl w:val="3"/>
      </w:pPr>
      <w:r>
        <w:rPr>
          <w:rFonts w:ascii="楷体_GB2312" w:hAnsi="楷体_GB2312" w:eastAsia="楷体_GB2312"/>
          <w:b/>
          <w:sz w:val="32"/>
        </w:rPr>
        <w:t>（一）一般公共预算财政拨款支出决算总体情况</w:t>
      </w:r>
    </w:p>
    <w:p w14:paraId="02455D05">
      <w:pPr>
        <w:spacing w:line="580" w:lineRule="exact"/>
        <w:ind w:firstLine="640"/>
        <w:jc w:val="both"/>
      </w:pPr>
      <w:r>
        <w:rPr>
          <w:rFonts w:ascii="仿宋_GB2312" w:hAnsi="仿宋_GB2312" w:eastAsia="仿宋_GB2312"/>
          <w:b/>
          <w:sz w:val="32"/>
        </w:rPr>
        <w:t>2024年度一般公共预算财政拨款支出2,293.83万元，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减少51.45万元，下降2.19%，主要原因是：较上年减少2022年中央政法纪检监察转移支付资金业务经费结转资金。</w:t>
      </w:r>
      <w:r>
        <w:rPr>
          <w:rFonts w:ascii="仿宋_GB2312" w:hAnsi="仿宋_GB2312" w:eastAsia="仿宋_GB2312"/>
          <w:b/>
          <w:sz w:val="32"/>
        </w:rPr>
        <w:t>与年初预算相比,</w:t>
      </w:r>
      <w:r>
        <w:rPr>
          <w:rFonts w:ascii="仿宋_GB2312" w:hAnsi="仿宋_GB2312" w:eastAsia="仿宋_GB2312"/>
          <w:b w:val="0"/>
          <w:sz w:val="32"/>
        </w:rPr>
        <w:t>年初预算数2,247.91万元，决算数2,293.83万元，预决算差异率2.04%，主要原因是：年中追加人员工资、社保、公积金基数调增部分资金，导致预决算存在差异。</w:t>
      </w:r>
    </w:p>
    <w:p w14:paraId="6AFC7997">
      <w:pPr>
        <w:spacing w:line="640" w:lineRule="exact"/>
        <w:ind w:firstLine="640"/>
        <w:jc w:val="both"/>
        <w:outlineLvl w:val="3"/>
      </w:pPr>
      <w:r>
        <w:rPr>
          <w:rFonts w:ascii="楷体_GB2312" w:hAnsi="楷体_GB2312" w:eastAsia="楷体_GB2312"/>
          <w:b/>
          <w:sz w:val="32"/>
        </w:rPr>
        <w:t>（二）一般公共预算财政拨款支出决算结构情况</w:t>
      </w:r>
    </w:p>
    <w:p w14:paraId="48F02537">
      <w:pPr>
        <w:spacing w:line="580" w:lineRule="exact"/>
        <w:ind w:firstLine="640"/>
        <w:jc w:val="both"/>
      </w:pPr>
      <w:r>
        <w:rPr>
          <w:rFonts w:ascii="仿宋_GB2312" w:hAnsi="仿宋_GB2312" w:eastAsia="仿宋_GB2312"/>
          <w:b w:val="0"/>
          <w:sz w:val="32"/>
        </w:rPr>
        <w:t>1.公共安全支出(类)1,902.18万元,占82.93%。</w:t>
      </w:r>
    </w:p>
    <w:p w14:paraId="4A02D96B">
      <w:pPr>
        <w:spacing w:line="580" w:lineRule="exact"/>
        <w:ind w:firstLine="640"/>
        <w:jc w:val="both"/>
      </w:pPr>
      <w:r>
        <w:rPr>
          <w:rFonts w:ascii="仿宋_GB2312" w:hAnsi="仿宋_GB2312" w:eastAsia="仿宋_GB2312"/>
          <w:b w:val="0"/>
          <w:sz w:val="32"/>
        </w:rPr>
        <w:t>2.社会保障和就业支出(类)215.62万元,占9.40%。</w:t>
      </w:r>
    </w:p>
    <w:p w14:paraId="28D4570B">
      <w:pPr>
        <w:spacing w:line="580" w:lineRule="exact"/>
        <w:ind w:firstLine="640"/>
        <w:jc w:val="both"/>
      </w:pPr>
      <w:r>
        <w:rPr>
          <w:rFonts w:ascii="仿宋_GB2312" w:hAnsi="仿宋_GB2312" w:eastAsia="仿宋_GB2312"/>
          <w:b w:val="0"/>
          <w:sz w:val="32"/>
        </w:rPr>
        <w:t>3.卫生健康支出(类)70.27万元,占3.06%。</w:t>
      </w:r>
    </w:p>
    <w:p w14:paraId="4EF03158">
      <w:pPr>
        <w:spacing w:line="580" w:lineRule="exact"/>
        <w:ind w:firstLine="640"/>
        <w:jc w:val="both"/>
      </w:pPr>
      <w:r>
        <w:rPr>
          <w:rFonts w:ascii="仿宋_GB2312" w:hAnsi="仿宋_GB2312" w:eastAsia="仿宋_GB2312"/>
          <w:b w:val="0"/>
          <w:sz w:val="32"/>
        </w:rPr>
        <w:t>4.住房保障支出(类)105.75万元,占4.61%。</w:t>
      </w:r>
    </w:p>
    <w:p w14:paraId="5559041B">
      <w:pPr>
        <w:spacing w:line="640" w:lineRule="exact"/>
        <w:ind w:firstLine="640"/>
        <w:jc w:val="both"/>
        <w:outlineLvl w:val="3"/>
      </w:pPr>
      <w:r>
        <w:rPr>
          <w:rFonts w:ascii="楷体_GB2312" w:hAnsi="楷体_GB2312" w:eastAsia="楷体_GB2312"/>
          <w:b/>
          <w:sz w:val="32"/>
        </w:rPr>
        <w:t>（三）一般公共预算财政拨款支出决算具体情况</w:t>
      </w:r>
    </w:p>
    <w:p w14:paraId="36CD930D">
      <w:pPr>
        <w:spacing w:line="580" w:lineRule="exact"/>
        <w:ind w:firstLine="640"/>
        <w:jc w:val="both"/>
      </w:pPr>
      <w:r>
        <w:rPr>
          <w:rFonts w:ascii="仿宋_GB2312" w:hAnsi="仿宋_GB2312" w:eastAsia="仿宋_GB2312"/>
          <w:b w:val="0"/>
          <w:sz w:val="32"/>
        </w:rPr>
        <w:t>1.公共安全支出(类)法院(款)行政运行(项):支出决算数为1,282.62万元，比上年决算减少9.00万元，下降0.70%,主要原因是：本年在职人员调入调出，人员职级不同，工资基数不同，导致人员经费较上年减少。</w:t>
      </w:r>
    </w:p>
    <w:p w14:paraId="3844861C">
      <w:pPr>
        <w:spacing w:line="580" w:lineRule="exact"/>
        <w:ind w:firstLine="640"/>
        <w:jc w:val="both"/>
      </w:pPr>
      <w:r>
        <w:rPr>
          <w:rFonts w:ascii="仿宋_GB2312" w:hAnsi="仿宋_GB2312" w:eastAsia="仿宋_GB2312"/>
          <w:b w:val="0"/>
          <w:sz w:val="32"/>
        </w:rPr>
        <w:t>2.公共安全支出(类)法院(款)一般行政管理事务(项):支出决算数为174.67万元，比上年决算减少95.71万元，下降35.40%,主要原因是：司改绩效项目资金减少。</w:t>
      </w:r>
    </w:p>
    <w:p w14:paraId="23C607D2">
      <w:pPr>
        <w:spacing w:line="580" w:lineRule="exact"/>
        <w:ind w:firstLine="640"/>
        <w:jc w:val="both"/>
      </w:pPr>
      <w:r>
        <w:rPr>
          <w:rFonts w:ascii="仿宋_GB2312" w:hAnsi="仿宋_GB2312" w:eastAsia="仿宋_GB2312"/>
          <w:b w:val="0"/>
          <w:sz w:val="32"/>
        </w:rPr>
        <w:t>3.公共安全支出(类)法院(款)其他法院支出(项):支出决算数为444.89万元，比上年决算增加39.16万元，增长9.65%,主要原因是：本年度支付上年度结转政法纪检监察转移支付资金，因此经费较上年增加。</w:t>
      </w:r>
    </w:p>
    <w:p w14:paraId="2473400C">
      <w:pPr>
        <w:spacing w:line="580" w:lineRule="exact"/>
        <w:ind w:firstLine="640"/>
        <w:jc w:val="both"/>
      </w:pPr>
      <w:r>
        <w:rPr>
          <w:rFonts w:ascii="仿宋_GB2312" w:hAnsi="仿宋_GB2312" w:eastAsia="仿宋_GB2312"/>
          <w:b w:val="0"/>
          <w:sz w:val="32"/>
        </w:rPr>
        <w:t>4.社会保障和就业支出(类)行政事业单位养老支出(款)行政单位离退休(项):支出决算数为44.37万元，比上年决算增加12.61万元，增长39.70%,主要原因是：本年退休人员增加，退休费支出增加。</w:t>
      </w:r>
    </w:p>
    <w:p w14:paraId="72D0F55C">
      <w:pPr>
        <w:spacing w:line="580" w:lineRule="exact"/>
        <w:ind w:firstLine="640"/>
        <w:jc w:val="both"/>
      </w:pPr>
      <w:r>
        <w:rPr>
          <w:rFonts w:ascii="仿宋_GB2312" w:hAnsi="仿宋_GB2312" w:eastAsia="仿宋_GB2312"/>
          <w:b w:val="0"/>
          <w:sz w:val="32"/>
        </w:rPr>
        <w:t>5.社会保障和就业支出(类)行政事业单位养老支出(款)机关事业单位基本养老保险缴费支出(项):支出决算数为135.21万元，比上年决算增加15.92万元，增长13.35%,主要原因是：本年在职人员工资基数调增，养老缴费基数上涨，相应支出增加。</w:t>
      </w:r>
    </w:p>
    <w:p w14:paraId="1A2765D2">
      <w:pPr>
        <w:spacing w:line="580" w:lineRule="exact"/>
        <w:ind w:firstLine="640"/>
        <w:jc w:val="both"/>
      </w:pPr>
      <w:r>
        <w:rPr>
          <w:rFonts w:ascii="仿宋_GB2312" w:hAnsi="仿宋_GB2312" w:eastAsia="仿宋_GB2312"/>
          <w:b w:val="0"/>
          <w:sz w:val="32"/>
        </w:rPr>
        <w:t>6.社会保障和就业支出(类)行政事业单位养老支出(款)机关事业单位职业年金缴费支出(项):支出决算数为12.47万元，比上年决算增加9.71万元，增长351.81%,主要原因是：本年新增退休人员</w:t>
      </w:r>
      <w:r>
        <w:rPr>
          <w:rFonts w:hint="eastAsia" w:ascii="仿宋_GB2312" w:hAnsi="仿宋_GB2312" w:eastAsia="仿宋_GB2312"/>
          <w:b w:val="0"/>
          <w:sz w:val="32"/>
          <w:lang w:val="en-US" w:eastAsia="zh-CN"/>
        </w:rPr>
        <w:t>较上年增加</w:t>
      </w:r>
      <w:r>
        <w:rPr>
          <w:rFonts w:ascii="仿宋_GB2312" w:hAnsi="仿宋_GB2312" w:eastAsia="仿宋_GB2312"/>
          <w:b w:val="0"/>
          <w:sz w:val="32"/>
        </w:rPr>
        <w:t>，职业年金缴费支出增加。</w:t>
      </w:r>
    </w:p>
    <w:p w14:paraId="5FE5893B">
      <w:pPr>
        <w:spacing w:line="580" w:lineRule="exact"/>
        <w:ind w:firstLine="640"/>
        <w:jc w:val="both"/>
      </w:pPr>
      <w:r>
        <w:rPr>
          <w:rFonts w:ascii="仿宋_GB2312" w:hAnsi="仿宋_GB2312" w:eastAsia="仿宋_GB2312"/>
          <w:b w:val="0"/>
          <w:sz w:val="32"/>
        </w:rPr>
        <w:t>7.社会保障和就业支出(类)抚恤(款)死亡抚恤(项):支出决算数为23.57万元，比上年决算减少38.96万元，下降62.31%,主要原因是：本年新增死亡人员较上年减少，死亡抚恤支出较上年减少。</w:t>
      </w:r>
    </w:p>
    <w:p w14:paraId="5DAE391B">
      <w:pPr>
        <w:spacing w:line="580" w:lineRule="exact"/>
        <w:ind w:firstLine="640"/>
        <w:jc w:val="both"/>
      </w:pPr>
      <w:r>
        <w:rPr>
          <w:rFonts w:ascii="仿宋_GB2312" w:hAnsi="仿宋_GB2312" w:eastAsia="仿宋_GB2312"/>
          <w:b w:val="0"/>
          <w:sz w:val="32"/>
        </w:rPr>
        <w:t>8.卫生健康支出(类)行政事业单位医疗(款)行政单位医疗(项):支出决算数为54.88万元，比上年决算增加4.46万元，增长8.85%,主要原因是：本年在职人员工资基数调增，医疗缴费基数上涨，相应支出增加。</w:t>
      </w:r>
    </w:p>
    <w:p w14:paraId="0864621C">
      <w:pPr>
        <w:spacing w:line="580" w:lineRule="exact"/>
        <w:ind w:firstLine="640"/>
        <w:jc w:val="both"/>
      </w:pPr>
      <w:r>
        <w:rPr>
          <w:rFonts w:ascii="仿宋_GB2312" w:hAnsi="仿宋_GB2312" w:eastAsia="仿宋_GB2312"/>
          <w:b w:val="0"/>
          <w:sz w:val="32"/>
        </w:rPr>
        <w:t>9.卫生健康支出(类)行政事业单位医疗(款)公务员医疗补助(项):支出决算数为15.40万元，比上年决算增加0.91万元，增长6.28%,主要原因是：本年在职人员工资基数调增，医疗缴费基数上涨，相应支出增加。</w:t>
      </w:r>
    </w:p>
    <w:p w14:paraId="630B0617">
      <w:pPr>
        <w:spacing w:line="580" w:lineRule="exact"/>
        <w:ind w:firstLine="640"/>
        <w:jc w:val="both"/>
      </w:pPr>
      <w:r>
        <w:rPr>
          <w:rFonts w:ascii="仿宋_GB2312" w:hAnsi="仿宋_GB2312" w:eastAsia="仿宋_GB2312"/>
          <w:b w:val="0"/>
          <w:sz w:val="32"/>
        </w:rPr>
        <w:t>10.住房保障支出(类)住房改革支出(款)住房公积金(项):支出决算数为105.75万元，比上年决算增加9.44万元，增长9.80%,主要原因是：本年在职人员工资基数调增，公积金缴费基数上涨，相应支出增加。</w:t>
      </w:r>
    </w:p>
    <w:p w14:paraId="620B051D">
      <w:pPr>
        <w:spacing w:line="640" w:lineRule="exact"/>
        <w:ind w:firstLine="640"/>
        <w:jc w:val="both"/>
        <w:outlineLvl w:val="2"/>
      </w:pPr>
      <w:r>
        <w:rPr>
          <w:rFonts w:ascii="黑体" w:hAnsi="黑体" w:eastAsia="黑体"/>
          <w:sz w:val="32"/>
        </w:rPr>
        <w:t>六、一般公共预算财政拨款基本支出决算情况说明</w:t>
      </w:r>
    </w:p>
    <w:p w14:paraId="6052FC28">
      <w:pPr>
        <w:spacing w:line="580" w:lineRule="exact"/>
        <w:ind w:firstLine="640"/>
        <w:jc w:val="both"/>
      </w:pPr>
      <w:r>
        <w:rPr>
          <w:rFonts w:ascii="仿宋_GB2312" w:hAnsi="仿宋_GB2312" w:eastAsia="仿宋_GB2312"/>
          <w:b w:val="0"/>
          <w:sz w:val="32"/>
        </w:rPr>
        <w:t>2024年度一般公共预算财政拨款基本支出1,674.27万元，其中：</w:t>
      </w:r>
      <w:r>
        <w:rPr>
          <w:rFonts w:ascii="仿宋_GB2312" w:hAnsi="仿宋_GB2312" w:eastAsia="仿宋_GB2312"/>
          <w:b/>
          <w:sz w:val="32"/>
        </w:rPr>
        <w:t>人员经费1,550.69万元，</w:t>
      </w:r>
      <w:r>
        <w:rPr>
          <w:rFonts w:ascii="仿宋_GB2312" w:hAnsi="仿宋_GB2312" w:eastAsia="仿宋_GB2312"/>
          <w:b w:val="0"/>
          <w:sz w:val="32"/>
        </w:rPr>
        <w:t>包括：基本工资、津贴补贴、奖金、机关事业单位基本养老保险缴费、职业年金缴费、职工基本医疗保险缴费、公务员医疗补助缴费、其他社会保障缴费、住房公积金、其他工资福利支出、退休费、抚恤金、生活补助、奖励金。</w:t>
      </w:r>
    </w:p>
    <w:p w14:paraId="54D2BCFF">
      <w:pPr>
        <w:spacing w:line="580" w:lineRule="exact"/>
        <w:ind w:firstLine="640"/>
        <w:jc w:val="both"/>
      </w:pPr>
      <w:r>
        <w:rPr>
          <w:rFonts w:ascii="仿宋_GB2312" w:hAnsi="仿宋_GB2312" w:eastAsia="仿宋_GB2312"/>
          <w:b/>
          <w:sz w:val="32"/>
        </w:rPr>
        <w:t>公用经费123.58万元，</w:t>
      </w:r>
      <w:r>
        <w:rPr>
          <w:rFonts w:ascii="仿宋_GB2312" w:hAnsi="仿宋_GB2312" w:eastAsia="仿宋_GB2312"/>
          <w:b w:val="0"/>
          <w:sz w:val="32"/>
        </w:rPr>
        <w:t>包括：办公费、水费、电费、取暖费、维修（护）费、专用材料费、工会经费、公务用车运行维护费、其他商品和服务支出。</w:t>
      </w:r>
    </w:p>
    <w:p w14:paraId="10CB725C">
      <w:pPr>
        <w:spacing w:line="640" w:lineRule="exact"/>
        <w:ind w:firstLine="640"/>
        <w:jc w:val="both"/>
        <w:outlineLvl w:val="2"/>
      </w:pPr>
      <w:r>
        <w:rPr>
          <w:rFonts w:ascii="黑体" w:hAnsi="黑体" w:eastAsia="黑体"/>
          <w:sz w:val="32"/>
        </w:rPr>
        <w:t>七、政府性基金预算财政拨款收入支出决算情况说明</w:t>
      </w:r>
    </w:p>
    <w:p w14:paraId="793C393E">
      <w:pPr>
        <w:spacing w:line="580" w:lineRule="exact"/>
        <w:ind w:firstLine="640"/>
        <w:jc w:val="both"/>
      </w:pPr>
      <w:r>
        <w:rPr>
          <w:rFonts w:ascii="仿宋_GB2312" w:hAnsi="仿宋_GB2312" w:eastAsia="仿宋_GB2312"/>
          <w:b w:val="0"/>
          <w:sz w:val="32"/>
        </w:rPr>
        <w:t>本部门本年度无政府性基金预算财政拨款收入、支出及结转和结余，政府性基金预算财政拨款收入支出决算表为空表。</w:t>
      </w:r>
    </w:p>
    <w:p w14:paraId="5E8C2E19">
      <w:pPr>
        <w:spacing w:line="640" w:lineRule="exact"/>
        <w:ind w:firstLine="640"/>
        <w:jc w:val="both"/>
        <w:outlineLvl w:val="2"/>
      </w:pPr>
      <w:r>
        <w:rPr>
          <w:rFonts w:ascii="黑体" w:hAnsi="黑体" w:eastAsia="黑体"/>
          <w:sz w:val="32"/>
        </w:rPr>
        <w:t>八、国有资本经营预算财政拨款收入支出决算情况说明</w:t>
      </w:r>
    </w:p>
    <w:p w14:paraId="60D3CCE2">
      <w:pPr>
        <w:spacing w:line="580" w:lineRule="exact"/>
        <w:ind w:firstLine="640"/>
        <w:jc w:val="both"/>
      </w:pPr>
      <w:r>
        <w:rPr>
          <w:rFonts w:ascii="仿宋_GB2312" w:hAnsi="仿宋_GB2312" w:eastAsia="仿宋_GB2312"/>
          <w:b w:val="0"/>
          <w:sz w:val="32"/>
        </w:rPr>
        <w:t>本部门本年度无国有资本经营预算财政拨款收入、支出及结转和结余，国有资本经营预算财政拨款收入支出决算表为空表。</w:t>
      </w:r>
    </w:p>
    <w:p w14:paraId="3D710E36">
      <w:pPr>
        <w:spacing w:line="640" w:lineRule="exact"/>
        <w:ind w:firstLine="640"/>
        <w:jc w:val="both"/>
        <w:outlineLvl w:val="2"/>
      </w:pPr>
      <w:r>
        <w:rPr>
          <w:rFonts w:ascii="黑体" w:hAnsi="黑体" w:eastAsia="黑体"/>
          <w:sz w:val="32"/>
        </w:rPr>
        <w:t>九、财政拨款“三公”经费支出决算情况说明</w:t>
      </w:r>
    </w:p>
    <w:p w14:paraId="31E0F3F4">
      <w:pPr>
        <w:spacing w:line="580" w:lineRule="exact"/>
        <w:ind w:firstLine="640"/>
        <w:jc w:val="both"/>
      </w:pPr>
      <w:r>
        <w:rPr>
          <w:rFonts w:ascii="仿宋_GB2312" w:hAnsi="仿宋_GB2312" w:eastAsia="仿宋_GB2312"/>
          <w:b/>
          <w:sz w:val="32"/>
        </w:rPr>
        <w:t>2024年度财政拨款“三公”经费支出65.86万元，</w:t>
      </w:r>
      <w:r>
        <w:rPr>
          <w:rFonts w:ascii="仿宋_GB2312" w:hAnsi="仿宋_GB2312" w:eastAsia="仿宋_GB2312"/>
          <w:b w:val="0"/>
          <w:sz w:val="32"/>
        </w:rPr>
        <w:t>比上年增加31.96万元，增长94.28%，主要原因是：本年新购入2辆警车，公务用车购置费较上年增加。其中：因公出国（境）费支出0.00万元，占0.00%，比上年增加0.00万元，增长0.00%，主要原因是：2023年与2024年均未安排因公出国（境）费支出。公务用车购置及运行维护费支出65.86万元，占100.00%，比上年增加31.96万元，增长94.28%，主要原因是：本年新购入2辆警车，公务用车购置费较上年增加。公务接待费支出0.00万元，占0.00%，比上年增加0.00万元，增长0.00%，主要原因是：2023年与2024年均未安排公务接待费支出。</w:t>
      </w:r>
    </w:p>
    <w:p w14:paraId="2F8283AD">
      <w:pPr>
        <w:spacing w:line="580" w:lineRule="exact"/>
        <w:ind w:firstLine="640"/>
        <w:jc w:val="both"/>
      </w:pPr>
      <w:r>
        <w:rPr>
          <w:rFonts w:ascii="仿宋_GB2312" w:hAnsi="仿宋_GB2312" w:eastAsia="仿宋_GB2312"/>
          <w:b/>
          <w:sz w:val="32"/>
        </w:rPr>
        <w:t>具体情况如下：</w:t>
      </w:r>
    </w:p>
    <w:p w14:paraId="3297BF87">
      <w:pPr>
        <w:spacing w:line="580" w:lineRule="exact"/>
        <w:ind w:firstLine="640"/>
        <w:jc w:val="both"/>
      </w:pPr>
      <w:r>
        <w:rPr>
          <w:rFonts w:ascii="仿宋_GB2312" w:hAnsi="仿宋_GB2312" w:eastAsia="仿宋_GB2312"/>
          <w:b w:val="0"/>
          <w:sz w:val="32"/>
        </w:rPr>
        <w:t>因公出国（境）费支出0.00万元，开支内容包括本部门无因公出国（境）费。部门全年安排的因公出国（境）团组0个，因公出国（境）0人次。</w:t>
      </w:r>
    </w:p>
    <w:p w14:paraId="083BD514">
      <w:pPr>
        <w:spacing w:line="580" w:lineRule="exact"/>
        <w:ind w:firstLine="640"/>
        <w:jc w:val="both"/>
      </w:pPr>
      <w:r>
        <w:rPr>
          <w:rFonts w:ascii="仿宋_GB2312" w:hAnsi="仿宋_GB2312" w:eastAsia="仿宋_GB2312"/>
          <w:b w:val="0"/>
          <w:sz w:val="32"/>
        </w:rPr>
        <w:t>公务用车购置及运行维护费65.86万元，其中：公务用车购置费31.36万元，公务用车运行维护费34.50万元。公务用车运行维护费开支内容包括主要用于车辆加油费、维修费、保险费、审车费、过路费等。公务用车购置数2辆，公务用车保有量17辆。国有资产占用情况中固定资产车辆17辆，与公务用车保有量差异原因是：本部门固定资产车辆与公务用车保有量一致无差异。</w:t>
      </w:r>
    </w:p>
    <w:p w14:paraId="2E59B494">
      <w:pPr>
        <w:spacing w:line="580" w:lineRule="exact"/>
        <w:ind w:firstLine="640"/>
        <w:jc w:val="both"/>
      </w:pPr>
      <w:r>
        <w:rPr>
          <w:rFonts w:ascii="仿宋_GB2312" w:hAnsi="仿宋_GB2312" w:eastAsia="仿宋_GB2312"/>
          <w:b w:val="0"/>
          <w:sz w:val="32"/>
        </w:rPr>
        <w:t>公务接待费0.00万元，开支内容包括本部门无公务接待费。部门全年安排的国内公务接待0批次，0人次。</w:t>
      </w:r>
    </w:p>
    <w:p w14:paraId="12BC37FE">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65.86万元，决算数65.86万元，预决算差异率0.00%，主要原因是：严格按照预算执行，预决算无差异。其中：因公出国（境）费全年预算数0.00万元，决算数0.00万元，预决算差异率0.00%，主要原因是：本部门无因公出国（境）费。公务用车购置费全年预算数31.36万元，决算数31.36万元，预决算差异率0.00%，主要原因是：严格按照预算执行，预决算无差异。公务用车运行维护费全年预算数34.50万元，决算数34.50万元，预决算差异率0.00%，主要原因是：严格按照预算执行，预决算无差异。公务接待费全年预算数0.00万元，决算数0.00万元，预决算差异率0.00%，主要原因是：本部门无公务接待费。</w:t>
      </w:r>
    </w:p>
    <w:p w14:paraId="78AA2FC2">
      <w:pPr>
        <w:spacing w:line="640" w:lineRule="exact"/>
        <w:ind w:firstLine="640"/>
        <w:jc w:val="both"/>
        <w:outlineLvl w:val="2"/>
      </w:pPr>
      <w:r>
        <w:rPr>
          <w:rFonts w:ascii="黑体" w:hAnsi="黑体" w:eastAsia="黑体"/>
          <w:sz w:val="32"/>
        </w:rPr>
        <w:t>十、其他重要事项的情况说明</w:t>
      </w:r>
    </w:p>
    <w:p w14:paraId="46D37661">
      <w:pPr>
        <w:spacing w:line="640" w:lineRule="exact"/>
        <w:ind w:firstLine="640"/>
        <w:jc w:val="both"/>
        <w:outlineLvl w:val="3"/>
      </w:pPr>
      <w:r>
        <w:rPr>
          <w:rFonts w:ascii="楷体_GB2312" w:hAnsi="楷体_GB2312" w:eastAsia="楷体_GB2312"/>
          <w:b/>
          <w:sz w:val="32"/>
        </w:rPr>
        <w:t>（一）机关运行经费及公用经费支出情况</w:t>
      </w:r>
    </w:p>
    <w:p w14:paraId="448798ED">
      <w:pPr>
        <w:spacing w:line="580" w:lineRule="exact"/>
        <w:ind w:firstLine="640"/>
        <w:jc w:val="both"/>
      </w:pPr>
      <w:r>
        <w:rPr>
          <w:rFonts w:ascii="仿宋_GB2312" w:hAnsi="仿宋_GB2312" w:eastAsia="仿宋_GB2312"/>
          <w:b w:val="0"/>
          <w:sz w:val="32"/>
        </w:rPr>
        <w:t>2024年度疏勒县人民法院（行政单位和参照公务员法管理事业单位）机关运行经费支出123.58万元，比上年增加16.12万元，增长15.00%，主要原因是：本年增加水电费、办公用房取暖费、结亲联谊活动费、工会费等公用经费支出，导致经费较上年增加。</w:t>
      </w:r>
    </w:p>
    <w:p w14:paraId="142F0847">
      <w:pPr>
        <w:spacing w:line="640" w:lineRule="exact"/>
        <w:ind w:firstLine="640"/>
        <w:jc w:val="both"/>
        <w:outlineLvl w:val="3"/>
      </w:pPr>
      <w:r>
        <w:rPr>
          <w:rFonts w:ascii="楷体_GB2312" w:hAnsi="楷体_GB2312" w:eastAsia="楷体_GB2312"/>
          <w:b/>
          <w:sz w:val="32"/>
        </w:rPr>
        <w:t>（二）政府采购情况</w:t>
      </w:r>
    </w:p>
    <w:p w14:paraId="09AC17EB">
      <w:pPr>
        <w:spacing w:line="580" w:lineRule="exact"/>
        <w:ind w:firstLine="640"/>
        <w:jc w:val="both"/>
      </w:pPr>
      <w:r>
        <w:rPr>
          <w:rFonts w:ascii="仿宋_GB2312" w:hAnsi="仿宋_GB2312" w:eastAsia="仿宋_GB2312"/>
          <w:b w:val="0"/>
          <w:sz w:val="32"/>
        </w:rPr>
        <w:t>2024年度政府采购支出总额52.29万元，其中：政府采购货物支出31.36万元、政府采购工程支出0.00万元、政府采购服务支出20.93万元。</w:t>
      </w:r>
    </w:p>
    <w:p w14:paraId="0209422F">
      <w:pPr>
        <w:spacing w:line="580" w:lineRule="exact"/>
        <w:ind w:firstLine="640"/>
        <w:jc w:val="both"/>
      </w:pPr>
      <w:r>
        <w:rPr>
          <w:rFonts w:ascii="仿宋_GB2312" w:hAnsi="仿宋_GB2312" w:eastAsia="仿宋_GB2312"/>
          <w:b w:val="0"/>
          <w:sz w:val="32"/>
        </w:rPr>
        <w:t>授予中小企业合同金额52.29万元，占政府采购支出总额的100.00%，其中：授予小微企业合同金额52.29万元，占政府采购支出总额的100.00%。</w:t>
      </w:r>
    </w:p>
    <w:p w14:paraId="31F26B6D">
      <w:pPr>
        <w:spacing w:line="640" w:lineRule="exact"/>
        <w:ind w:firstLine="640"/>
        <w:jc w:val="both"/>
        <w:outlineLvl w:val="3"/>
      </w:pPr>
      <w:r>
        <w:rPr>
          <w:rFonts w:ascii="楷体_GB2312" w:hAnsi="楷体_GB2312" w:eastAsia="楷体_GB2312"/>
          <w:b/>
          <w:sz w:val="32"/>
        </w:rPr>
        <w:t>（三）国有资产占用情况说明</w:t>
      </w:r>
    </w:p>
    <w:p w14:paraId="4B8E8FBD">
      <w:pPr>
        <w:spacing w:line="580" w:lineRule="exact"/>
        <w:ind w:firstLine="640"/>
        <w:jc w:val="both"/>
      </w:pPr>
      <w:r>
        <w:rPr>
          <w:rFonts w:ascii="仿宋_GB2312" w:hAnsi="仿宋_GB2312" w:eastAsia="仿宋_GB2312"/>
          <w:b w:val="0"/>
          <w:sz w:val="32"/>
        </w:rPr>
        <w:t>截至2024年12月31日，房屋5,445.40平方米，价值554.96万元。车辆17辆，价值242.43万元，其中：副部（省）级及以上领导用车0辆、主要负责人用车0辆、机要通信用车0辆、应急保障用车0辆、执法执勤用车14辆、特种专业技术用车3辆、离退休干部服务用车0辆、其他用车0辆，其他用车主要是：本部门无其他用车。单价100万元（含）以上设备（不含车辆）0台（套）。</w:t>
      </w:r>
    </w:p>
    <w:p w14:paraId="547297ED">
      <w:pPr>
        <w:spacing w:line="640" w:lineRule="exact"/>
        <w:ind w:firstLine="640"/>
        <w:jc w:val="both"/>
        <w:outlineLvl w:val="2"/>
      </w:pPr>
      <w:r>
        <w:rPr>
          <w:rFonts w:ascii="黑体" w:hAnsi="黑体" w:eastAsia="黑体"/>
          <w:sz w:val="32"/>
        </w:rPr>
        <w:t>十一、预算绩效的情况说明</w:t>
      </w:r>
    </w:p>
    <w:p w14:paraId="2F937A8C">
      <w:pPr>
        <w:spacing w:line="580" w:lineRule="exact"/>
        <w:ind w:firstLine="640"/>
        <w:jc w:val="both"/>
      </w:pPr>
      <w:r>
        <w:rPr>
          <w:rFonts w:ascii="仿宋_GB2312" w:hAnsi="仿宋_GB2312" w:eastAsia="仿宋_GB2312"/>
          <w:b w:val="0"/>
          <w:sz w:val="32"/>
        </w:rPr>
        <w:t>根据预算绩效管理要求，本部门2024年度预算绩效管理形成整体支出绩效自评表1个，全年预算总额2,293.83万元，实际执行总额2,293.83万元；预算绩效评价项目7个，全年预算数619.56万元，全年执行数619.56万元。预算绩效管理取得的成效：</w:t>
      </w:r>
      <w:r>
        <w:rPr>
          <w:rFonts w:hint="eastAsia" w:ascii="仿宋_GB2312" w:hAnsi="仿宋_GB2312" w:eastAsia="仿宋_GB2312"/>
          <w:b w:val="0"/>
          <w:sz w:val="32"/>
          <w:lang w:eastAsia="zh-CN"/>
        </w:rPr>
        <w:t>本部门</w:t>
      </w:r>
      <w:r>
        <w:rPr>
          <w:rFonts w:ascii="仿宋_GB2312" w:hAnsi="仿宋_GB2312" w:eastAsia="仿宋_GB2312"/>
          <w:b w:val="0"/>
          <w:sz w:val="32"/>
        </w:rPr>
        <w:t>预算绩效项目不予公开。发现的问题及原因：预算绩效项目不予公开。下一步改进措施：预算绩效项目不予公开。具体附部门整体支出绩效自评表。</w:t>
      </w:r>
    </w:p>
    <w:p w14:paraId="5B40E712">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324AAAA4">
        <w:tblPrEx>
          <w:tblCellMar>
            <w:top w:w="0" w:type="dxa"/>
            <w:left w:w="108" w:type="dxa"/>
            <w:bottom w:w="0" w:type="dxa"/>
            <w:right w:w="108" w:type="dxa"/>
          </w:tblCellMar>
        </w:tblPrEx>
        <w:tc>
          <w:tcPr>
            <w:tcW w:w="8847" w:type="dxa"/>
            <w:gridSpan w:val="9"/>
            <w:vAlign w:val="center"/>
          </w:tcPr>
          <w:p w14:paraId="7BF4295F">
            <w:pPr>
              <w:jc w:val="center"/>
            </w:pPr>
            <w:r>
              <w:rPr>
                <w:rFonts w:ascii="宋体" w:hAnsi="宋体" w:eastAsia="宋体"/>
                <w:sz w:val="24"/>
              </w:rPr>
              <w:t>部门整体支出绩效自评表</w:t>
            </w:r>
          </w:p>
        </w:tc>
      </w:tr>
      <w:tr w14:paraId="1BEA19F3">
        <w:tblPrEx>
          <w:tblCellMar>
            <w:top w:w="0" w:type="dxa"/>
            <w:left w:w="108" w:type="dxa"/>
            <w:bottom w:w="0" w:type="dxa"/>
            <w:right w:w="108" w:type="dxa"/>
          </w:tblCellMar>
        </w:tblPrEx>
        <w:tc>
          <w:tcPr>
            <w:tcW w:w="8847" w:type="dxa"/>
            <w:gridSpan w:val="9"/>
            <w:vAlign w:val="center"/>
          </w:tcPr>
          <w:p w14:paraId="48A308F0">
            <w:pPr>
              <w:jc w:val="center"/>
            </w:pPr>
            <w:r>
              <w:rPr>
                <w:rFonts w:ascii="宋体" w:hAnsi="宋体" w:eastAsia="宋体"/>
                <w:sz w:val="24"/>
              </w:rPr>
              <w:t>（2024年度）</w:t>
            </w:r>
          </w:p>
        </w:tc>
      </w:tr>
      <w:tr w14:paraId="58F9A163">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03F8DE">
            <w:pPr>
              <w:jc w:val="center"/>
            </w:pPr>
            <w:r>
              <w:rPr>
                <w:rFonts w:ascii="宋体" w:hAnsi="宋体" w:eastAsia="宋体"/>
                <w:sz w:val="16"/>
              </w:rPr>
              <w:t>部门名称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58DB40F3">
            <w:pPr>
              <w:jc w:val="center"/>
            </w:pPr>
            <w:r>
              <w:rPr>
                <w:rFonts w:ascii="宋体" w:hAnsi="宋体" w:eastAsia="宋体"/>
                <w:sz w:val="16"/>
              </w:rPr>
              <w:t>疏勒县人民法院</w:t>
            </w:r>
          </w:p>
        </w:tc>
      </w:tr>
      <w:tr w14:paraId="407B7350">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39A35D">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399801">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432A70">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2782F9">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E14445">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6F3BFA">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54F945">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B6D2D5">
            <w:pPr>
              <w:jc w:val="center"/>
            </w:pPr>
            <w:r>
              <w:rPr>
                <w:rFonts w:ascii="宋体" w:hAnsi="宋体" w:eastAsia="宋体"/>
                <w:sz w:val="16"/>
              </w:rPr>
              <w:t>得分</w:t>
            </w:r>
          </w:p>
        </w:tc>
      </w:tr>
      <w:tr w14:paraId="2BFDC55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2E2E1E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BF6627">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3A1600">
            <w:pPr>
              <w:jc w:val="center"/>
            </w:pPr>
            <w:r>
              <w:rPr>
                <w:rFonts w:ascii="宋体" w:hAnsi="宋体" w:eastAsia="宋体"/>
                <w:sz w:val="16"/>
              </w:rPr>
              <w:t>2,247.91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F6D40A">
            <w:pPr>
              <w:jc w:val="center"/>
            </w:pPr>
            <w:r>
              <w:rPr>
                <w:rFonts w:ascii="宋体" w:hAnsi="宋体" w:eastAsia="宋体"/>
                <w:sz w:val="16"/>
              </w:rPr>
              <w:t>2,293.83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BDF735">
            <w:pPr>
              <w:jc w:val="center"/>
            </w:pPr>
            <w:r>
              <w:rPr>
                <w:rFonts w:ascii="宋体" w:hAnsi="宋体" w:eastAsia="宋体"/>
                <w:sz w:val="16"/>
              </w:rPr>
              <w:t>2,293.83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C4FB6C">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B3F500">
            <w:pPr>
              <w:jc w:val="center"/>
            </w:pPr>
            <w:r>
              <w:rPr>
                <w:rFonts w:ascii="宋体" w:hAnsi="宋体" w:eastAsia="宋体"/>
                <w:sz w:val="16"/>
              </w:rPr>
              <w:t>100.00%</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55B333">
            <w:pPr>
              <w:jc w:val="center"/>
            </w:pPr>
            <w:r>
              <w:rPr>
                <w:rFonts w:ascii="宋体" w:hAnsi="宋体" w:eastAsia="宋体"/>
                <w:sz w:val="16"/>
              </w:rPr>
              <w:t>10</w:t>
            </w:r>
          </w:p>
        </w:tc>
      </w:tr>
      <w:tr w14:paraId="0D5FD86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A5895B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8B6026">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D70886">
            <w:pPr>
              <w:jc w:val="center"/>
            </w:pPr>
            <w:r>
              <w:rPr>
                <w:rFonts w:ascii="宋体" w:hAnsi="宋体" w:eastAsia="宋体"/>
                <w:sz w:val="16"/>
              </w:rPr>
              <w:t>554.55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7C6652">
            <w:pPr>
              <w:jc w:val="center"/>
            </w:pPr>
            <w:r>
              <w:rPr>
                <w:rFonts w:ascii="宋体" w:hAnsi="宋体" w:eastAsia="宋体"/>
                <w:sz w:val="16"/>
              </w:rPr>
              <w:t>578.21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198A0D">
            <w:pPr>
              <w:jc w:val="center"/>
            </w:pPr>
            <w:r>
              <w:rPr>
                <w:rFonts w:ascii="宋体" w:hAnsi="宋体" w:eastAsia="宋体"/>
                <w:sz w:val="16"/>
              </w:rPr>
              <w:t>578.21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CF5EEE">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F277CF">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2990D4">
            <w:pPr>
              <w:jc w:val="center"/>
            </w:pPr>
            <w:r>
              <w:rPr>
                <w:rFonts w:ascii="宋体" w:hAnsi="宋体" w:eastAsia="宋体"/>
                <w:sz w:val="16"/>
              </w:rPr>
              <w:t>—</w:t>
            </w:r>
          </w:p>
        </w:tc>
      </w:tr>
      <w:tr w14:paraId="003BC90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1B4C28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837376">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7AB716">
            <w:pPr>
              <w:jc w:val="center"/>
            </w:pPr>
            <w:r>
              <w:rPr>
                <w:rFonts w:ascii="宋体" w:hAnsi="宋体" w:eastAsia="宋体"/>
                <w:sz w:val="16"/>
              </w:rPr>
              <w:t>1,693.36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4DE42F">
            <w:pPr>
              <w:jc w:val="center"/>
            </w:pPr>
            <w:r>
              <w:rPr>
                <w:rFonts w:ascii="宋体" w:hAnsi="宋体" w:eastAsia="宋体"/>
                <w:sz w:val="16"/>
              </w:rPr>
              <w:t>1,715.62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C5992D">
            <w:pPr>
              <w:jc w:val="center"/>
            </w:pPr>
            <w:r>
              <w:rPr>
                <w:rFonts w:ascii="宋体" w:hAnsi="宋体" w:eastAsia="宋体"/>
                <w:sz w:val="16"/>
              </w:rPr>
              <w:t>1,715.62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D79882">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02B64E">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3FA110">
            <w:pPr>
              <w:jc w:val="center"/>
            </w:pPr>
            <w:r>
              <w:rPr>
                <w:rFonts w:ascii="宋体" w:hAnsi="宋体" w:eastAsia="宋体"/>
                <w:sz w:val="16"/>
              </w:rPr>
              <w:t>—</w:t>
            </w:r>
          </w:p>
        </w:tc>
      </w:tr>
      <w:tr w14:paraId="0B14582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A1FC49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BB8334">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D0A0B6">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D050F8">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4E71B0">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70726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38D70B">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B1E5CB">
            <w:pPr>
              <w:jc w:val="center"/>
            </w:pPr>
            <w:r>
              <w:rPr>
                <w:rFonts w:ascii="宋体" w:hAnsi="宋体" w:eastAsia="宋体"/>
                <w:sz w:val="16"/>
              </w:rPr>
              <w:t>—</w:t>
            </w:r>
          </w:p>
        </w:tc>
      </w:tr>
      <w:tr w14:paraId="4F17698F">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1D675B">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AAA99EB">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3A21DFF">
            <w:pPr>
              <w:jc w:val="center"/>
            </w:pPr>
            <w:r>
              <w:rPr>
                <w:rFonts w:ascii="宋体" w:hAnsi="宋体" w:eastAsia="宋体"/>
                <w:sz w:val="16"/>
              </w:rPr>
              <w:t>实际完成情况</w:t>
            </w:r>
          </w:p>
        </w:tc>
      </w:tr>
      <w:tr w14:paraId="7687001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429734C"/>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C30B6F2">
            <w:pPr>
              <w:jc w:val="both"/>
            </w:pPr>
            <w:r>
              <w:rPr>
                <w:rFonts w:ascii="宋体" w:hAnsi="宋体" w:eastAsia="宋体"/>
                <w:sz w:val="16"/>
              </w:rPr>
              <w:t>旨在保障基层法院业务正常运转，提升办案业务质量，全面推进各项审批执行工作业务，充分发挥基层法院职能作用，有效促进司法为民。保障院内人员工资社保公积金及其他工资福利支出，提升司法保障运行，受理民商事案件数量预期2000件以上，审结民商事案件2000件以上，受理执行案件数量预期达到600件以上，案件庭审直播预期达到100件以上，被委托人员满意度达到95%以上，进一步为我县司法体制改革贡献一份力量，让案件当事人在案件办理中感受到公平正义。</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17CCA41">
            <w:pPr>
              <w:jc w:val="both"/>
            </w:pPr>
            <w:r>
              <w:rPr>
                <w:rFonts w:ascii="宋体" w:hAnsi="宋体" w:eastAsia="宋体"/>
                <w:sz w:val="16"/>
              </w:rPr>
              <w:t>完成受理民商事案件数量2000件，完成审结民商事案件2000件，受理执行案件数量600件，案件庭审直播达到100件，被委托人员满意度达到95%，进一步为我县司法体制改革贡献一份力量，让案件当事人在案件办理中感受到公平正义。</w:t>
            </w:r>
          </w:p>
        </w:tc>
      </w:tr>
      <w:tr w14:paraId="3F8757E8">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405D34">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F88B16">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7499BA">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BF1591">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8BEC72">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0989C7">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B84DFA">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CCBC7A">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D88EC8">
            <w:pPr>
              <w:jc w:val="center"/>
            </w:pPr>
            <w:r>
              <w:rPr>
                <w:rFonts w:ascii="宋体" w:hAnsi="宋体" w:eastAsia="宋体"/>
                <w:sz w:val="16"/>
              </w:rPr>
              <w:t>得分</w:t>
            </w:r>
          </w:p>
        </w:tc>
      </w:tr>
      <w:tr w14:paraId="17E1D423">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4237AB">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E00842">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21E882">
            <w:pPr>
              <w:jc w:val="center"/>
            </w:pPr>
            <w:r>
              <w:rPr>
                <w:rFonts w:ascii="宋体" w:hAnsi="宋体" w:eastAsia="宋体"/>
                <w:sz w:val="16"/>
              </w:rPr>
              <w:t>受理民商事案件数量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30ECC1">
            <w:pPr>
              <w:jc w:val="center"/>
            </w:pPr>
            <w:r>
              <w:rPr>
                <w:rFonts w:ascii="宋体" w:hAnsi="宋体" w:eastAsia="宋体"/>
                <w:sz w:val="16"/>
              </w:rPr>
              <w:t>&gt;=2000件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1DA1AD">
            <w:pPr>
              <w:jc w:val="center"/>
            </w:pPr>
            <w:r>
              <w:rPr>
                <w:rFonts w:ascii="宋体" w:hAnsi="宋体" w:eastAsia="宋体"/>
                <w:sz w:val="16"/>
              </w:rPr>
              <w:t>疏勒县人民法院2023年工作报告和2024年工作计划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519EE5">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2D0995">
            <w:pPr>
              <w:jc w:val="center"/>
            </w:pPr>
            <w:r>
              <w:rPr>
                <w:rFonts w:ascii="宋体" w:hAnsi="宋体" w:eastAsia="宋体"/>
                <w:sz w:val="16"/>
              </w:rPr>
              <w:t>2000件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0ACA4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F62812">
            <w:pPr>
              <w:jc w:val="center"/>
            </w:pPr>
            <w:r>
              <w:rPr>
                <w:rFonts w:ascii="宋体" w:hAnsi="宋体" w:eastAsia="宋体"/>
                <w:sz w:val="16"/>
              </w:rPr>
              <w:t>15</w:t>
            </w:r>
          </w:p>
        </w:tc>
      </w:tr>
      <w:tr w14:paraId="5E8A30C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C56060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CCA902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2DB687">
            <w:pPr>
              <w:jc w:val="center"/>
            </w:pPr>
            <w:r>
              <w:rPr>
                <w:rFonts w:ascii="宋体" w:hAnsi="宋体" w:eastAsia="宋体"/>
                <w:sz w:val="16"/>
              </w:rPr>
              <w:t>受理执行案件数量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3AB72F">
            <w:pPr>
              <w:jc w:val="center"/>
            </w:pPr>
            <w:r>
              <w:rPr>
                <w:rFonts w:ascii="宋体" w:hAnsi="宋体" w:eastAsia="宋体"/>
                <w:sz w:val="16"/>
              </w:rPr>
              <w:t>&gt;=600件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C35080">
            <w:pPr>
              <w:jc w:val="center"/>
            </w:pPr>
            <w:r>
              <w:rPr>
                <w:rFonts w:ascii="宋体" w:hAnsi="宋体" w:eastAsia="宋体"/>
                <w:sz w:val="16"/>
              </w:rPr>
              <w:t>疏勒县人民法院2023年工作报告和2024年工作计划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75308E">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239346">
            <w:pPr>
              <w:jc w:val="center"/>
            </w:pPr>
            <w:r>
              <w:rPr>
                <w:rFonts w:ascii="宋体" w:hAnsi="宋体" w:eastAsia="宋体"/>
                <w:sz w:val="16"/>
              </w:rPr>
              <w:t>6000件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549D0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CDDCCF">
            <w:pPr>
              <w:jc w:val="center"/>
            </w:pPr>
            <w:r>
              <w:rPr>
                <w:rFonts w:ascii="宋体" w:hAnsi="宋体" w:eastAsia="宋体"/>
                <w:sz w:val="16"/>
              </w:rPr>
              <w:t>15</w:t>
            </w:r>
          </w:p>
        </w:tc>
      </w:tr>
      <w:tr w14:paraId="74BA005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6061D89"/>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12180B">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E24519">
            <w:pPr>
              <w:jc w:val="center"/>
            </w:pPr>
            <w:r>
              <w:rPr>
                <w:rFonts w:ascii="宋体" w:hAnsi="宋体" w:eastAsia="宋体"/>
                <w:sz w:val="16"/>
              </w:rPr>
              <w:t>审结民商事案件数量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E5BEA4">
            <w:pPr>
              <w:jc w:val="center"/>
            </w:pPr>
            <w:r>
              <w:rPr>
                <w:rFonts w:ascii="宋体" w:hAnsi="宋体" w:eastAsia="宋体"/>
                <w:sz w:val="16"/>
              </w:rPr>
              <w:t>&gt;=2000件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0703E5">
            <w:pPr>
              <w:jc w:val="center"/>
            </w:pPr>
            <w:r>
              <w:rPr>
                <w:rFonts w:ascii="宋体" w:hAnsi="宋体" w:eastAsia="宋体"/>
                <w:sz w:val="16"/>
              </w:rPr>
              <w:t>疏勒县人民法院2023年工作报告和2024年工作计划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1D8686">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1B25A5">
            <w:pPr>
              <w:jc w:val="center"/>
            </w:pPr>
            <w:r>
              <w:rPr>
                <w:rFonts w:ascii="宋体" w:hAnsi="宋体" w:eastAsia="宋体"/>
                <w:sz w:val="16"/>
              </w:rPr>
              <w:t>2000件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9C185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9C849D">
            <w:pPr>
              <w:jc w:val="center"/>
            </w:pPr>
            <w:r>
              <w:rPr>
                <w:rFonts w:ascii="宋体" w:hAnsi="宋体" w:eastAsia="宋体"/>
                <w:sz w:val="16"/>
              </w:rPr>
              <w:t>20</w:t>
            </w:r>
          </w:p>
        </w:tc>
      </w:tr>
      <w:tr w14:paraId="109A75E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189508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0F7DC2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D289D5">
            <w:pPr>
              <w:jc w:val="center"/>
            </w:pPr>
            <w:r>
              <w:rPr>
                <w:rFonts w:ascii="宋体" w:hAnsi="宋体" w:eastAsia="宋体"/>
                <w:sz w:val="16"/>
              </w:rPr>
              <w:t>案件直播庭审数量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3E9E36">
            <w:pPr>
              <w:jc w:val="center"/>
            </w:pPr>
            <w:r>
              <w:rPr>
                <w:rFonts w:ascii="宋体" w:hAnsi="宋体" w:eastAsia="宋体"/>
                <w:sz w:val="16"/>
              </w:rPr>
              <w:t>&gt;=100件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4F8F65">
            <w:pPr>
              <w:jc w:val="center"/>
            </w:pPr>
            <w:r>
              <w:rPr>
                <w:rFonts w:ascii="宋体" w:hAnsi="宋体" w:eastAsia="宋体"/>
                <w:sz w:val="16"/>
              </w:rPr>
              <w:t>疏勒县人民法院2023年工作报告和2024年工作计划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3A5C3B">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56417A">
            <w:pPr>
              <w:jc w:val="center"/>
            </w:pPr>
            <w:r>
              <w:rPr>
                <w:rFonts w:ascii="宋体" w:hAnsi="宋体" w:eastAsia="宋体"/>
                <w:sz w:val="16"/>
              </w:rPr>
              <w:t>100件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E7CBB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1957D9">
            <w:pPr>
              <w:jc w:val="center"/>
            </w:pPr>
            <w:r>
              <w:rPr>
                <w:rFonts w:ascii="宋体" w:hAnsi="宋体" w:eastAsia="宋体"/>
                <w:sz w:val="16"/>
              </w:rPr>
              <w:t>20</w:t>
            </w:r>
          </w:p>
        </w:tc>
      </w:tr>
      <w:tr w14:paraId="05196104">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E7113F">
            <w:pPr>
              <w:jc w:val="center"/>
            </w:pPr>
            <w:r>
              <w:rPr>
                <w:rFonts w:ascii="宋体" w:hAnsi="宋体" w:eastAsia="宋体"/>
                <w:sz w:val="16"/>
              </w:rPr>
              <w:t>服务对象满意度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EDBE05">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D641CB">
            <w:pPr>
              <w:jc w:val="center"/>
            </w:pPr>
            <w:r>
              <w:rPr>
                <w:rFonts w:ascii="宋体" w:hAnsi="宋体" w:eastAsia="宋体"/>
                <w:sz w:val="16"/>
              </w:rPr>
              <w:t>被委托人员满意度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2A2792">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5E2306">
            <w:pPr>
              <w:jc w:val="center"/>
            </w:pPr>
            <w:r>
              <w:rPr>
                <w:rFonts w:ascii="宋体" w:hAnsi="宋体" w:eastAsia="宋体"/>
                <w:sz w:val="16"/>
              </w:rPr>
              <w:t>《关于开展2023年事前绩效评估和绩效目标编制工作的通知（喀地财绩〔2023〕3号）》</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8F025E">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BB6775">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B537E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8DBEAB">
            <w:pPr>
              <w:jc w:val="center"/>
            </w:pPr>
            <w:r>
              <w:rPr>
                <w:rFonts w:ascii="宋体" w:hAnsi="宋体" w:eastAsia="宋体"/>
                <w:sz w:val="16"/>
              </w:rPr>
              <w:t>20</w:t>
            </w:r>
          </w:p>
        </w:tc>
      </w:tr>
    </w:tbl>
    <w:p w14:paraId="4568245F">
      <w:r>
        <w:br w:type="page"/>
      </w:r>
    </w:p>
    <w:p w14:paraId="3852B2F8">
      <w:pPr>
        <w:spacing w:line="640" w:lineRule="exact"/>
        <w:ind w:firstLine="640"/>
        <w:jc w:val="both"/>
        <w:outlineLvl w:val="2"/>
      </w:pPr>
      <w:r>
        <w:rPr>
          <w:rFonts w:ascii="黑体" w:hAnsi="黑体" w:eastAsia="黑体"/>
          <w:sz w:val="32"/>
        </w:rPr>
        <w:t>十二、其他需说明的事项</w:t>
      </w:r>
    </w:p>
    <w:p w14:paraId="117E8A02">
      <w:pPr>
        <w:spacing w:line="580" w:lineRule="exact"/>
        <w:ind w:firstLine="640"/>
        <w:jc w:val="both"/>
      </w:pPr>
      <w:r>
        <w:rPr>
          <w:rFonts w:ascii="仿宋_GB2312" w:hAnsi="仿宋_GB2312" w:eastAsia="仿宋_GB2312"/>
          <w:b w:val="0"/>
          <w:sz w:val="32"/>
        </w:rPr>
        <w:t>本年本部门</w:t>
      </w:r>
      <w:r>
        <w:rPr>
          <w:rFonts w:hint="eastAsia" w:ascii="仿宋_GB2312" w:hAnsi="仿宋_GB2312" w:eastAsia="仿宋_GB2312"/>
          <w:b w:val="0"/>
          <w:sz w:val="32"/>
          <w:lang w:val="en-US" w:eastAsia="zh-CN"/>
        </w:rPr>
        <w:t>涉密</w:t>
      </w:r>
      <w:r>
        <w:rPr>
          <w:rFonts w:ascii="仿宋_GB2312" w:hAnsi="仿宋_GB2312" w:eastAsia="仿宋_GB2312"/>
          <w:b w:val="0"/>
          <w:sz w:val="32"/>
        </w:rPr>
        <w:t>项目7个，全年预算数619.56万元，全年执行数619.56万元。</w:t>
      </w:r>
      <w:bookmarkStart w:id="0" w:name="_GoBack"/>
      <w:bookmarkEnd w:id="0"/>
    </w:p>
    <w:p w14:paraId="2BF0279A">
      <w:r>
        <w:br w:type="page"/>
      </w:r>
    </w:p>
    <w:p w14:paraId="053C3882">
      <w:pPr>
        <w:spacing w:line="240" w:lineRule="auto"/>
        <w:jc w:val="center"/>
        <w:outlineLvl w:val="1"/>
      </w:pPr>
      <w:r>
        <w:rPr>
          <w:rFonts w:ascii="黑体" w:hAnsi="黑体" w:eastAsia="黑体"/>
          <w:sz w:val="32"/>
        </w:rPr>
        <w:t>第三部分 专业名词解释</w:t>
      </w:r>
    </w:p>
    <w:p w14:paraId="14A2838A">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569849C4">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363BA124">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4E33F3B9">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684019EF">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3052E2EF">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7E28730B">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6188812A">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2BC3BB26">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6FBEEDAC">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55FBF457">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735E8B02">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60924A1C">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427FCF58">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3366DEBE">
      <w:r>
        <w:br w:type="page"/>
      </w:r>
    </w:p>
    <w:p w14:paraId="27465C1A">
      <w:pPr>
        <w:spacing w:line="240" w:lineRule="auto"/>
        <w:jc w:val="center"/>
        <w:outlineLvl w:val="1"/>
      </w:pPr>
      <w:r>
        <w:rPr>
          <w:rFonts w:ascii="黑体" w:hAnsi="黑体" w:eastAsia="黑体"/>
          <w:sz w:val="32"/>
        </w:rPr>
        <w:t>第四部分 部门决算报表（见附表）</w:t>
      </w:r>
    </w:p>
    <w:p w14:paraId="29BC113E">
      <w:pPr>
        <w:spacing w:line="240" w:lineRule="auto"/>
        <w:ind w:firstLine="640"/>
        <w:jc w:val="both"/>
      </w:pPr>
      <w:r>
        <w:rPr>
          <w:rFonts w:ascii="仿宋_GB2312" w:hAnsi="仿宋_GB2312" w:eastAsia="仿宋_GB2312"/>
          <w:b w:val="0"/>
          <w:sz w:val="32"/>
        </w:rPr>
        <w:t>一、《收入支出决算总表》</w:t>
      </w:r>
    </w:p>
    <w:p w14:paraId="22042499">
      <w:pPr>
        <w:spacing w:line="240" w:lineRule="auto"/>
        <w:ind w:firstLine="640"/>
        <w:jc w:val="both"/>
      </w:pPr>
      <w:r>
        <w:rPr>
          <w:rFonts w:ascii="仿宋_GB2312" w:hAnsi="仿宋_GB2312" w:eastAsia="仿宋_GB2312"/>
          <w:b w:val="0"/>
          <w:sz w:val="32"/>
        </w:rPr>
        <w:t>二、《收入决算表》</w:t>
      </w:r>
    </w:p>
    <w:p w14:paraId="64453A15">
      <w:pPr>
        <w:spacing w:line="240" w:lineRule="auto"/>
        <w:ind w:firstLine="640"/>
        <w:jc w:val="both"/>
      </w:pPr>
      <w:r>
        <w:rPr>
          <w:rFonts w:ascii="仿宋_GB2312" w:hAnsi="仿宋_GB2312" w:eastAsia="仿宋_GB2312"/>
          <w:b w:val="0"/>
          <w:sz w:val="32"/>
        </w:rPr>
        <w:t>三、《支出决算表》</w:t>
      </w:r>
    </w:p>
    <w:p w14:paraId="4D497F19">
      <w:pPr>
        <w:spacing w:line="240" w:lineRule="auto"/>
        <w:ind w:firstLine="640"/>
        <w:jc w:val="both"/>
      </w:pPr>
      <w:r>
        <w:rPr>
          <w:rFonts w:ascii="仿宋_GB2312" w:hAnsi="仿宋_GB2312" w:eastAsia="仿宋_GB2312"/>
          <w:b w:val="0"/>
          <w:sz w:val="32"/>
        </w:rPr>
        <w:t>四、《财政拨款收入支出决算总表》</w:t>
      </w:r>
    </w:p>
    <w:p w14:paraId="302A757B">
      <w:pPr>
        <w:spacing w:line="240" w:lineRule="auto"/>
        <w:ind w:firstLine="640"/>
        <w:jc w:val="both"/>
      </w:pPr>
      <w:r>
        <w:rPr>
          <w:rFonts w:ascii="仿宋_GB2312" w:hAnsi="仿宋_GB2312" w:eastAsia="仿宋_GB2312"/>
          <w:b w:val="0"/>
          <w:sz w:val="32"/>
        </w:rPr>
        <w:t>五、《一般公共预算财政拨款支出决算表》</w:t>
      </w:r>
    </w:p>
    <w:p w14:paraId="0B1BB2FE">
      <w:pPr>
        <w:spacing w:line="240" w:lineRule="auto"/>
        <w:ind w:firstLine="640"/>
        <w:jc w:val="both"/>
      </w:pPr>
      <w:r>
        <w:rPr>
          <w:rFonts w:ascii="仿宋_GB2312" w:hAnsi="仿宋_GB2312" w:eastAsia="仿宋_GB2312"/>
          <w:b w:val="0"/>
          <w:sz w:val="32"/>
        </w:rPr>
        <w:t>六、《一般公共预算财政拨款基本支出决算表》</w:t>
      </w:r>
    </w:p>
    <w:p w14:paraId="008A2B55">
      <w:pPr>
        <w:spacing w:line="240" w:lineRule="auto"/>
        <w:ind w:firstLine="640"/>
        <w:jc w:val="both"/>
      </w:pPr>
      <w:r>
        <w:rPr>
          <w:rFonts w:ascii="仿宋_GB2312" w:hAnsi="仿宋_GB2312" w:eastAsia="仿宋_GB2312"/>
          <w:b w:val="0"/>
          <w:sz w:val="32"/>
        </w:rPr>
        <w:t>七、《政府性基金预算财政拨款收入支出决算表》</w:t>
      </w:r>
    </w:p>
    <w:p w14:paraId="2EC65D17">
      <w:pPr>
        <w:spacing w:line="240" w:lineRule="auto"/>
        <w:ind w:firstLine="640"/>
        <w:jc w:val="both"/>
      </w:pPr>
      <w:r>
        <w:rPr>
          <w:rFonts w:ascii="仿宋_GB2312" w:hAnsi="仿宋_GB2312" w:eastAsia="仿宋_GB2312"/>
          <w:b w:val="0"/>
          <w:sz w:val="32"/>
        </w:rPr>
        <w:t>八、《国有资本经营预算财政拨款收入支出决算表》</w:t>
      </w:r>
    </w:p>
    <w:p w14:paraId="3A8EE253">
      <w:pPr>
        <w:spacing w:line="240" w:lineRule="auto"/>
        <w:ind w:firstLine="640"/>
        <w:jc w:val="both"/>
      </w:pPr>
      <w:r>
        <w:rPr>
          <w:rFonts w:ascii="仿宋_GB2312" w:hAnsi="仿宋_GB2312" w:eastAsia="仿宋_GB2312"/>
          <w:b w:val="0"/>
          <w:sz w:val="32"/>
        </w:rPr>
        <w:t>九、《财政拨款“三公”经费支出决算表》</w:t>
      </w:r>
    </w:p>
    <w:p w14:paraId="66C12152">
      <w:pPr>
        <w:spacing w:line="240" w:lineRule="auto"/>
        <w:ind w:firstLine="640"/>
        <w:jc w:val="both"/>
      </w:pPr>
    </w:p>
    <w:p w14:paraId="72F4DBFC">
      <w:pPr>
        <w:spacing w:line="240" w:lineRule="auto"/>
        <w:ind w:firstLine="640"/>
        <w:jc w:val="both"/>
      </w:pPr>
    </w:p>
    <w:p w14:paraId="6599C845">
      <w:pPr>
        <w:spacing w:line="240" w:lineRule="auto"/>
        <w:ind w:firstLine="640"/>
        <w:jc w:val="both"/>
      </w:pPr>
    </w:p>
    <w:p w14:paraId="56350DEE">
      <w:pPr>
        <w:spacing w:line="240" w:lineRule="auto"/>
        <w:ind w:firstLine="640"/>
        <w:jc w:val="both"/>
      </w:pPr>
    </w:p>
    <w:p w14:paraId="5765AAC6">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B2EA78C4-16AE-4235-8A40-B4BF3A1E59E9}"/>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2" w:fontKey="{B3A6AF87-ECA2-4989-8817-B26C9F96BCA8}"/>
  </w:font>
  <w:font w:name="方正小标宋_GBK">
    <w:panose1 w:val="02000000000000000000"/>
    <w:charset w:val="86"/>
    <w:family w:val="script"/>
    <w:pitch w:val="default"/>
    <w:sig w:usb0="A00002BF" w:usb1="38CF7CFA" w:usb2="00082016" w:usb3="00000000" w:csb0="00040001" w:csb1="00000000"/>
    <w:embedRegular r:id="rId3" w:fontKey="{BA4CF783-EAB8-4DAC-BC2D-972AAA56D75E}"/>
  </w:font>
  <w:font w:name="楷体_GB2312">
    <w:altName w:val="楷体"/>
    <w:panose1 w:val="00000000000000000000"/>
    <w:charset w:val="00"/>
    <w:family w:val="auto"/>
    <w:pitch w:val="default"/>
    <w:sig w:usb0="00000000" w:usb1="00000000" w:usb2="00000000" w:usb3="00000000" w:csb0="00000000" w:csb1="00000000"/>
    <w:embedRegular r:id="rId4" w:fontKey="{C4183A39-8A71-4B27-B5F8-F4B154D05492}"/>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TrueTypeFonts/>
  <w:saveSubsetFonts/>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367360B"/>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C476F9A"/>
    <w:rsid w:val="3D5275AC"/>
    <w:rsid w:val="3EA7725F"/>
    <w:rsid w:val="3EC014A1"/>
    <w:rsid w:val="3F7161B6"/>
    <w:rsid w:val="40834692"/>
    <w:rsid w:val="423A32B2"/>
    <w:rsid w:val="423C0CB4"/>
    <w:rsid w:val="427B5743"/>
    <w:rsid w:val="42E64542"/>
    <w:rsid w:val="464B7E04"/>
    <w:rsid w:val="464F7E64"/>
    <w:rsid w:val="46901EEE"/>
    <w:rsid w:val="469C74D2"/>
    <w:rsid w:val="46DF5159"/>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19</Pages>
  <Words>6568</Words>
  <Characters>7538</Characters>
  <Lines>0</Lines>
  <Paragraphs>0</Paragraphs>
  <TotalTime>4</TotalTime>
  <ScaleCrop>false</ScaleCrop>
  <LinksUpToDate>false</LinksUpToDate>
  <CharactersWithSpaces>7548</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周丽君</cp:lastModifiedBy>
  <cp:lastPrinted>2024-07-22T11:58:00Z</cp:lastPrinted>
  <dcterms:modified xsi:type="dcterms:W3CDTF">2025-09-29T03:03:27Z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eyJoZGlkIjoiMjEwMjVmNmU3OTQwZDBjNjI0ZTM3MTBmNDI0OGIzYzIiLCJ1c2VySWQiOiIyMDM3MTI1NTkifQ==</vt:lpwstr>
  </property>
</Properties>
</file>