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疏附县人民检察院2024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494709">
      <w:r>
        <w:br w:type="page"/>
      </w:r>
    </w:p>
    <w:p w14:paraId="791B6E84">
      <w:pPr>
        <w:spacing w:line="640" w:lineRule="exact"/>
        <w:jc w:val="center"/>
        <w:outlineLvl w:val="1"/>
      </w:pPr>
      <w:r>
        <w:rPr>
          <w:rFonts w:ascii="黑体" w:hAnsi="黑体" w:eastAsia="黑体"/>
          <w:sz w:val="32"/>
        </w:rPr>
        <w:t>第一部分 部门概况</w:t>
      </w:r>
    </w:p>
    <w:p w14:paraId="74662F85">
      <w:pPr>
        <w:spacing w:line="640" w:lineRule="exact"/>
        <w:ind w:firstLine="640"/>
        <w:jc w:val="both"/>
        <w:outlineLvl w:val="2"/>
      </w:pPr>
      <w:r>
        <w:rPr>
          <w:rFonts w:ascii="黑体" w:hAnsi="黑体" w:eastAsia="黑体"/>
          <w:sz w:val="32"/>
        </w:rPr>
        <w:t>一、主要职能</w:t>
      </w:r>
    </w:p>
    <w:p w14:paraId="3D9DE04A">
      <w:pPr>
        <w:spacing w:line="580" w:lineRule="exact"/>
        <w:ind w:firstLine="640"/>
        <w:jc w:val="both"/>
      </w:pPr>
      <w:r>
        <w:rPr>
          <w:rFonts w:ascii="仿宋_GB2312" w:hAnsi="仿宋_GB2312" w:eastAsia="仿宋_GB2312"/>
          <w:sz w:val="32"/>
        </w:rPr>
        <w:t>⑴深入学习贯彻习近平新时代中国特色社会主义思想，深入贯彻党的路线方针政策和决策部署，聚焦社会</w:t>
      </w:r>
      <w:r>
        <w:rPr>
          <w:rFonts w:hint="eastAsia" w:ascii="仿宋_GB2312" w:hAnsi="仿宋_GB2312" w:eastAsia="仿宋_GB2312"/>
          <w:sz w:val="32"/>
          <w:lang w:val="en-US" w:eastAsia="zh-CN"/>
        </w:rPr>
        <w:t>稳定</w:t>
      </w:r>
      <w:r>
        <w:rPr>
          <w:rFonts w:ascii="仿宋_GB2312" w:hAnsi="仿宋_GB2312" w:eastAsia="仿宋_GB2312"/>
          <w:sz w:val="32"/>
        </w:rPr>
        <w:t>和长治久安总目标，统一全院检察人员思想和行动，坚持党对检察工作的绝对领导，坚决维护习近平总书记党中央的核心、全党的核心地位，坚决维护党中央权威和集中统一领导。</w:t>
      </w:r>
    </w:p>
    <w:p w14:paraId="2148E59F">
      <w:pPr>
        <w:spacing w:line="580" w:lineRule="exact"/>
        <w:ind w:firstLine="640"/>
        <w:jc w:val="both"/>
      </w:pPr>
      <w:r>
        <w:rPr>
          <w:rFonts w:ascii="仿宋_GB2312" w:hAnsi="仿宋_GB2312" w:eastAsia="仿宋_GB2312"/>
          <w:sz w:val="32"/>
        </w:rPr>
        <w:t>⑵依法向疏附县人民代表大会及其常务委员会提出议案。</w:t>
      </w:r>
    </w:p>
    <w:p w14:paraId="50758150">
      <w:pPr>
        <w:spacing w:line="580" w:lineRule="exact"/>
        <w:ind w:firstLine="640"/>
        <w:jc w:val="both"/>
      </w:pPr>
      <w:r>
        <w:rPr>
          <w:rFonts w:ascii="仿宋_GB2312" w:hAnsi="仿宋_GB2312" w:eastAsia="仿宋_GB2312"/>
          <w:sz w:val="32"/>
        </w:rPr>
        <w:t>⑶贯彻落实检察工作方针、总体规划，完成检察工作任务。</w:t>
      </w:r>
    </w:p>
    <w:p w14:paraId="1E957F0F">
      <w:pPr>
        <w:spacing w:line="580" w:lineRule="exact"/>
        <w:ind w:firstLine="640"/>
        <w:jc w:val="both"/>
      </w:pPr>
      <w:r>
        <w:rPr>
          <w:rFonts w:ascii="仿宋_GB2312" w:hAnsi="仿宋_GB2312" w:eastAsia="仿宋_GB2312"/>
          <w:sz w:val="32"/>
        </w:rPr>
        <w:t>⑷依法开展对刑事犯罪案件的审查批准逮捕、决定逮捕、审查起诉工作。</w:t>
      </w:r>
    </w:p>
    <w:p w14:paraId="4E30DAF3">
      <w:pPr>
        <w:spacing w:line="580" w:lineRule="exact"/>
        <w:ind w:firstLine="640"/>
        <w:jc w:val="both"/>
      </w:pPr>
      <w:r>
        <w:rPr>
          <w:rFonts w:ascii="仿宋_GB2312" w:hAnsi="仿宋_GB2312" w:eastAsia="仿宋_GB2312"/>
          <w:sz w:val="32"/>
        </w:rPr>
        <w:t>⑸</w:t>
      </w:r>
      <w:r>
        <w:rPr>
          <w:rFonts w:hint="eastAsia" w:ascii="仿宋_GB2312" w:hAnsi="仿宋_GB2312" w:eastAsia="仿宋_GB2312"/>
          <w:sz w:val="32"/>
          <w:lang w:eastAsia="zh-CN"/>
        </w:rPr>
        <w:t>负责</w:t>
      </w:r>
      <w:r>
        <w:rPr>
          <w:rFonts w:ascii="仿宋_GB2312" w:hAnsi="仿宋_GB2312" w:eastAsia="仿宋_GB2312"/>
          <w:sz w:val="32"/>
        </w:rPr>
        <w:t>由疏附县人民检察院承办的刑事、民事、行政诉讼活动及刑事、民事、行政判决和裁定等生效法律文书执行的法律监督工作。</w:t>
      </w:r>
    </w:p>
    <w:p w14:paraId="570BEFB9">
      <w:pPr>
        <w:spacing w:line="580" w:lineRule="exact"/>
        <w:ind w:firstLine="640"/>
        <w:jc w:val="both"/>
      </w:pPr>
      <w:r>
        <w:rPr>
          <w:rFonts w:ascii="仿宋_GB2312" w:hAnsi="仿宋_GB2312" w:eastAsia="仿宋_GB2312"/>
          <w:sz w:val="32"/>
        </w:rPr>
        <w:t>⑹负责对疏附县基层人民法院已发生法律效力、确有错误的判决和裁定，依法提请喀什地区检察分院向喀什地区中级人民法院提出抗诉。</w:t>
      </w:r>
    </w:p>
    <w:p w14:paraId="0C3900B6">
      <w:pPr>
        <w:spacing w:line="580" w:lineRule="exact"/>
        <w:ind w:firstLine="640"/>
        <w:jc w:val="both"/>
      </w:pPr>
      <w:r>
        <w:rPr>
          <w:rFonts w:ascii="仿宋_GB2312" w:hAnsi="仿宋_GB2312" w:eastAsia="仿宋_GB2312"/>
          <w:sz w:val="32"/>
        </w:rPr>
        <w:t>⑺负责应由疏附县人民检察院承办的提起公益诉讼工作。</w:t>
      </w:r>
    </w:p>
    <w:p w14:paraId="79BD4D7A">
      <w:pPr>
        <w:spacing w:line="580" w:lineRule="exact"/>
        <w:ind w:firstLine="640"/>
        <w:jc w:val="both"/>
      </w:pPr>
      <w:r>
        <w:rPr>
          <w:rFonts w:ascii="仿宋_GB2312" w:hAnsi="仿宋_GB2312" w:eastAsia="仿宋_GB2312"/>
          <w:sz w:val="32"/>
        </w:rPr>
        <w:t>⑻</w:t>
      </w:r>
      <w:r>
        <w:rPr>
          <w:rFonts w:hint="eastAsia" w:ascii="仿宋_GB2312" w:hAnsi="仿宋_GB2312" w:eastAsia="仿宋_GB2312"/>
          <w:sz w:val="32"/>
          <w:lang w:eastAsia="zh-CN"/>
        </w:rPr>
        <w:t>负责</w:t>
      </w:r>
      <w:r>
        <w:rPr>
          <w:rFonts w:ascii="仿宋_GB2312" w:hAnsi="仿宋_GB2312" w:eastAsia="仿宋_GB2312"/>
          <w:sz w:val="32"/>
        </w:rPr>
        <w:t>由疏附县人民检察院承办的对安置教育机构、看守所、社区矫正机构等执法活动的法律监督工作。</w:t>
      </w:r>
    </w:p>
    <w:p w14:paraId="3B5B40F1">
      <w:pPr>
        <w:spacing w:line="580" w:lineRule="exact"/>
        <w:ind w:firstLine="640"/>
        <w:jc w:val="both"/>
      </w:pPr>
      <w:r>
        <w:rPr>
          <w:rFonts w:ascii="仿宋_GB2312" w:hAnsi="仿宋_GB2312" w:eastAsia="仿宋_GB2312"/>
          <w:sz w:val="32"/>
        </w:rPr>
        <w:t>⑼受理向疏附县人民检察院的控告申诉、开展控告申诉检察工作。</w:t>
      </w:r>
    </w:p>
    <w:p w14:paraId="4496E3D7">
      <w:pPr>
        <w:spacing w:line="580" w:lineRule="exact"/>
        <w:ind w:firstLine="640"/>
        <w:jc w:val="both"/>
      </w:pPr>
      <w:r>
        <w:rPr>
          <w:rFonts w:ascii="仿宋_GB2312" w:hAnsi="仿宋_GB2312" w:eastAsia="仿宋_GB2312"/>
          <w:sz w:val="32"/>
        </w:rPr>
        <w:t>⑽开展检察应用和理论研究工作。</w:t>
      </w:r>
    </w:p>
    <w:p w14:paraId="2F409CEF">
      <w:pPr>
        <w:spacing w:line="580" w:lineRule="exact"/>
        <w:ind w:firstLine="640"/>
        <w:jc w:val="both"/>
      </w:pPr>
      <w:r>
        <w:rPr>
          <w:rFonts w:ascii="仿宋_GB2312" w:hAnsi="仿宋_GB2312" w:eastAsia="仿宋_GB2312"/>
          <w:sz w:val="32"/>
        </w:rPr>
        <w:t>⑾负责本院队伍建设和思想政治工作。依法管理检察官及其他检察人员工作，开展检察机关教育培训工作。</w:t>
      </w:r>
    </w:p>
    <w:p w14:paraId="1F42C437">
      <w:pPr>
        <w:spacing w:line="580" w:lineRule="exact"/>
        <w:ind w:firstLine="640"/>
        <w:jc w:val="both"/>
      </w:pPr>
      <w:r>
        <w:rPr>
          <w:rFonts w:ascii="仿宋_GB2312" w:hAnsi="仿宋_GB2312" w:eastAsia="仿宋_GB2312"/>
          <w:sz w:val="32"/>
        </w:rPr>
        <w:t>⑿开展本院检务督察工作。</w:t>
      </w:r>
    </w:p>
    <w:p w14:paraId="353D5584">
      <w:pPr>
        <w:spacing w:line="580" w:lineRule="exact"/>
        <w:ind w:firstLine="640"/>
        <w:jc w:val="both"/>
      </w:pPr>
      <w:r>
        <w:rPr>
          <w:rFonts w:ascii="仿宋_GB2312" w:hAnsi="仿宋_GB2312" w:eastAsia="仿宋_GB2312"/>
          <w:sz w:val="32"/>
        </w:rPr>
        <w:t>⒀开展检察机关的财务装备工作，检察技术信息工作。</w:t>
      </w:r>
    </w:p>
    <w:p w14:paraId="0E48CC4C">
      <w:pPr>
        <w:spacing w:line="580" w:lineRule="exact"/>
        <w:ind w:firstLine="640"/>
        <w:jc w:val="both"/>
      </w:pPr>
      <w:r>
        <w:rPr>
          <w:rFonts w:ascii="仿宋_GB2312" w:hAnsi="仿宋_GB2312" w:eastAsia="仿宋_GB2312"/>
          <w:sz w:val="32"/>
        </w:rPr>
        <w:t>⒁负责其他应当由疏附县人民检察院承办的事项。</w:t>
      </w:r>
    </w:p>
    <w:p w14:paraId="23A1E2F2">
      <w:pPr>
        <w:spacing w:line="640" w:lineRule="exact"/>
        <w:ind w:firstLine="640"/>
        <w:jc w:val="both"/>
        <w:outlineLvl w:val="2"/>
      </w:pPr>
      <w:r>
        <w:rPr>
          <w:rFonts w:ascii="黑体" w:hAnsi="黑体" w:eastAsia="黑体"/>
          <w:sz w:val="32"/>
        </w:rPr>
        <w:t>二、机构设置及人员情况</w:t>
      </w:r>
    </w:p>
    <w:p w14:paraId="7E456196">
      <w:pPr>
        <w:spacing w:line="580" w:lineRule="exact"/>
        <w:ind w:firstLine="640"/>
        <w:jc w:val="both"/>
      </w:pPr>
      <w:r>
        <w:rPr>
          <w:rFonts w:ascii="仿宋_GB2312" w:hAnsi="仿宋_GB2312" w:eastAsia="仿宋_GB2312"/>
          <w:sz w:val="32"/>
        </w:rPr>
        <w:t>疏附县人民检察院2024年度，实有人数63人，其中：在职人员38人，减少2人；离休人员0人，增加0人；退休人员25人,增加1人。</w:t>
      </w:r>
    </w:p>
    <w:p w14:paraId="5206A026">
      <w:pPr>
        <w:spacing w:line="580" w:lineRule="exact"/>
        <w:ind w:firstLine="640"/>
        <w:jc w:val="both"/>
      </w:pPr>
      <w:r>
        <w:rPr>
          <w:rFonts w:ascii="仿宋_GB2312" w:hAnsi="仿宋_GB2312" w:eastAsia="仿宋_GB2312"/>
          <w:sz w:val="32"/>
        </w:rPr>
        <w:t>疏附县人民检察院无下属预算单位，下设5个科室，分别是：办公室（司法警察大队）、第一检察部、第二检察部、第三检察部、政治部。</w:t>
      </w:r>
    </w:p>
    <w:p w14:paraId="7B870198">
      <w:r>
        <w:br w:type="page"/>
      </w:r>
    </w:p>
    <w:p w14:paraId="7FD77BC3">
      <w:pPr>
        <w:spacing w:line="240" w:lineRule="auto"/>
        <w:jc w:val="center"/>
        <w:outlineLvl w:val="1"/>
      </w:pPr>
      <w:r>
        <w:rPr>
          <w:rFonts w:ascii="黑体" w:hAnsi="黑体" w:eastAsia="黑体"/>
          <w:sz w:val="32"/>
        </w:rPr>
        <w:t>第二部分 部门决算情况说明</w:t>
      </w:r>
    </w:p>
    <w:p w14:paraId="2E0ED490">
      <w:pPr>
        <w:spacing w:line="640" w:lineRule="exact"/>
        <w:ind w:firstLine="640"/>
        <w:jc w:val="both"/>
        <w:outlineLvl w:val="2"/>
      </w:pPr>
      <w:r>
        <w:rPr>
          <w:rFonts w:ascii="黑体" w:hAnsi="黑体" w:eastAsia="黑体"/>
          <w:sz w:val="32"/>
        </w:rPr>
        <w:t>一、收入支出决算总体情况说明</w:t>
      </w:r>
    </w:p>
    <w:p w14:paraId="7853BF80">
      <w:pPr>
        <w:spacing w:line="580" w:lineRule="exact"/>
        <w:ind w:firstLine="640"/>
        <w:jc w:val="both"/>
      </w:pPr>
      <w:r>
        <w:rPr>
          <w:rFonts w:ascii="仿宋_GB2312" w:hAnsi="仿宋_GB2312" w:eastAsia="仿宋_GB2312"/>
          <w:b/>
          <w:sz w:val="32"/>
        </w:rPr>
        <w:t>2024年度收入总计1,368.68万元，</w:t>
      </w:r>
      <w:r>
        <w:rPr>
          <w:rFonts w:ascii="仿宋_GB2312" w:hAnsi="仿宋_GB2312" w:eastAsia="仿宋_GB2312"/>
          <w:b w:val="0"/>
          <w:sz w:val="32"/>
        </w:rPr>
        <w:t>其中：本年收入合计1,365.68万元，使用非财政拨款结余（含专用结余）0.00万元，年初结转和结余3.00万元。</w:t>
      </w:r>
    </w:p>
    <w:p w14:paraId="2E17F01B">
      <w:pPr>
        <w:spacing w:line="580" w:lineRule="exact"/>
        <w:ind w:firstLine="640"/>
        <w:jc w:val="both"/>
      </w:pPr>
      <w:r>
        <w:rPr>
          <w:rFonts w:ascii="仿宋_GB2312" w:hAnsi="仿宋_GB2312" w:eastAsia="仿宋_GB2312"/>
          <w:b/>
          <w:sz w:val="32"/>
        </w:rPr>
        <w:t>2024年度支出总计1,368.68万元，</w:t>
      </w:r>
      <w:r>
        <w:rPr>
          <w:rFonts w:ascii="仿宋_GB2312" w:hAnsi="仿宋_GB2312" w:eastAsia="仿宋_GB2312"/>
          <w:b w:val="0"/>
          <w:sz w:val="32"/>
        </w:rPr>
        <w:t>其中：本年支出合计1,366.68万元，结余分配0.00万元，年末结转和结余2.00万元。</w:t>
      </w:r>
    </w:p>
    <w:p w14:paraId="4674A355">
      <w:pPr>
        <w:spacing w:line="580" w:lineRule="exact"/>
        <w:ind w:firstLine="640"/>
        <w:jc w:val="both"/>
      </w:pPr>
      <w:r>
        <w:rPr>
          <w:rFonts w:ascii="仿宋_GB2312" w:hAnsi="仿宋_GB2312" w:eastAsia="仿宋_GB2312"/>
          <w:b w:val="0"/>
          <w:sz w:val="32"/>
        </w:rPr>
        <w:t>收入支出总体与上年相比，减少175.18万元，下降11.35%，主要原因是：一是本年在职人员减少，相关人员经费减少；二是本年中央政法转移支付项目资金减少。</w:t>
      </w:r>
    </w:p>
    <w:p w14:paraId="2D988177">
      <w:pPr>
        <w:spacing w:line="640" w:lineRule="exact"/>
        <w:ind w:firstLine="640"/>
        <w:jc w:val="both"/>
        <w:outlineLvl w:val="2"/>
      </w:pPr>
      <w:r>
        <w:rPr>
          <w:rFonts w:ascii="黑体" w:hAnsi="黑体" w:eastAsia="黑体"/>
          <w:sz w:val="32"/>
        </w:rPr>
        <w:t>二、收入决算情况说明</w:t>
      </w:r>
    </w:p>
    <w:p w14:paraId="5F293BC1">
      <w:pPr>
        <w:spacing w:line="580" w:lineRule="exact"/>
        <w:ind w:firstLine="640"/>
        <w:jc w:val="both"/>
      </w:pPr>
      <w:r>
        <w:rPr>
          <w:rFonts w:ascii="仿宋_GB2312" w:hAnsi="仿宋_GB2312" w:eastAsia="仿宋_GB2312"/>
          <w:b/>
          <w:sz w:val="32"/>
        </w:rPr>
        <w:t>本年收入1,365.68万元，</w:t>
      </w:r>
      <w:r>
        <w:rPr>
          <w:rFonts w:ascii="仿宋_GB2312" w:hAnsi="仿宋_GB2312" w:eastAsia="仿宋_GB2312"/>
          <w:b w:val="0"/>
          <w:sz w:val="32"/>
        </w:rPr>
        <w:t>其中：财政拨款收入1,363.68万元，占99.85%；上级补助收入0.00万元，占0.00%；事业收入0.00万元，占0.00%；经营收入0.00万元，占0.00%；附属单位上缴收入0.00万元，占0.00%；其他收入2.00万元，占0.15%。</w:t>
      </w:r>
    </w:p>
    <w:p w14:paraId="7F017CD4">
      <w:pPr>
        <w:spacing w:line="640" w:lineRule="exact"/>
        <w:ind w:firstLine="640"/>
        <w:jc w:val="both"/>
        <w:outlineLvl w:val="2"/>
      </w:pPr>
      <w:r>
        <w:rPr>
          <w:rFonts w:ascii="黑体" w:hAnsi="黑体" w:eastAsia="黑体"/>
          <w:sz w:val="32"/>
        </w:rPr>
        <w:t>三、支出决算情况说明</w:t>
      </w:r>
    </w:p>
    <w:p w14:paraId="6D4AC02B">
      <w:pPr>
        <w:spacing w:line="580" w:lineRule="exact"/>
        <w:ind w:firstLine="640"/>
        <w:jc w:val="both"/>
      </w:pPr>
      <w:r>
        <w:rPr>
          <w:rFonts w:ascii="仿宋_GB2312" w:hAnsi="仿宋_GB2312" w:eastAsia="仿宋_GB2312"/>
          <w:b/>
          <w:sz w:val="32"/>
        </w:rPr>
        <w:t>本年支出1,366.68万元，</w:t>
      </w:r>
      <w:r>
        <w:rPr>
          <w:rFonts w:ascii="仿宋_GB2312" w:hAnsi="仿宋_GB2312" w:eastAsia="仿宋_GB2312"/>
          <w:b w:val="0"/>
          <w:sz w:val="32"/>
        </w:rPr>
        <w:t>其中：基本支出1,110.76万元，占81.27%；项目支出255.92万元，占18.73%；上缴上级支出0.00万元，占0.00%；经营支出0.00万元，占0.00%；对附属单位补助支出0.00万元，占0.00%。</w:t>
      </w:r>
    </w:p>
    <w:p w14:paraId="580F72AB">
      <w:pPr>
        <w:spacing w:line="640" w:lineRule="exact"/>
        <w:ind w:firstLine="640"/>
        <w:jc w:val="both"/>
        <w:outlineLvl w:val="2"/>
      </w:pPr>
      <w:r>
        <w:rPr>
          <w:rFonts w:ascii="黑体" w:hAnsi="黑体" w:eastAsia="黑体"/>
          <w:sz w:val="32"/>
        </w:rPr>
        <w:t>四、财政拨款收入支出决算总体情况说明</w:t>
      </w:r>
    </w:p>
    <w:p w14:paraId="3FE4AB9A">
      <w:pPr>
        <w:spacing w:line="580" w:lineRule="exact"/>
        <w:ind w:firstLine="640"/>
        <w:jc w:val="both"/>
      </w:pPr>
      <w:r>
        <w:rPr>
          <w:rFonts w:ascii="仿宋_GB2312" w:hAnsi="仿宋_GB2312" w:eastAsia="仿宋_GB2312"/>
          <w:b/>
          <w:sz w:val="32"/>
        </w:rPr>
        <w:t>2024年度财政拨款收入总计1,363.68万元，</w:t>
      </w:r>
      <w:r>
        <w:rPr>
          <w:rFonts w:ascii="仿宋_GB2312" w:hAnsi="仿宋_GB2312" w:eastAsia="仿宋_GB2312"/>
          <w:b w:val="0"/>
          <w:sz w:val="32"/>
        </w:rPr>
        <w:t>其中：年初财政拨款结转和结余0.00万元，本年财政拨款收入1,363.68万元。</w:t>
      </w:r>
      <w:r>
        <w:rPr>
          <w:rFonts w:ascii="仿宋_GB2312" w:hAnsi="仿宋_GB2312" w:eastAsia="仿宋_GB2312"/>
          <w:b/>
          <w:sz w:val="32"/>
        </w:rPr>
        <w:t>财政拨款支出总计1,363.68万元，</w:t>
      </w:r>
      <w:r>
        <w:rPr>
          <w:rFonts w:ascii="仿宋_GB2312" w:hAnsi="仿宋_GB2312" w:eastAsia="仿宋_GB2312"/>
          <w:b w:val="0"/>
          <w:sz w:val="32"/>
        </w:rPr>
        <w:t>其中：年末财政拨款结转和结余0.00万元，本年财政拨款支出1,363.68万元。</w:t>
      </w:r>
    </w:p>
    <w:p w14:paraId="575A8B4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减少31.02万元，下降2.22%，主要原因是：一是本年在职人员减少，相关人员经费减少；二是本年中央政法转移支付项目资金减少。</w:t>
      </w:r>
      <w:r>
        <w:rPr>
          <w:rFonts w:ascii="仿宋_GB2312" w:hAnsi="仿宋_GB2312" w:eastAsia="仿宋_GB2312"/>
          <w:b/>
          <w:sz w:val="32"/>
        </w:rPr>
        <w:t>与年初预算相比，</w:t>
      </w:r>
      <w:r>
        <w:rPr>
          <w:rFonts w:ascii="仿宋_GB2312" w:hAnsi="仿宋_GB2312" w:eastAsia="仿宋_GB2312"/>
          <w:b w:val="0"/>
          <w:sz w:val="32"/>
        </w:rPr>
        <w:t>年初预算数1,313.48万元，决算数1,363.68万元，预决算差异率3.82%，主要原因是：年中追加人员工资、社保、公积金基数调增部分资金，导致预决算存在差异。</w:t>
      </w:r>
    </w:p>
    <w:p w14:paraId="3A52F52C">
      <w:pPr>
        <w:spacing w:line="640" w:lineRule="exact"/>
        <w:ind w:firstLine="640"/>
        <w:jc w:val="both"/>
        <w:outlineLvl w:val="2"/>
      </w:pPr>
      <w:r>
        <w:rPr>
          <w:rFonts w:ascii="黑体" w:hAnsi="黑体" w:eastAsia="黑体"/>
          <w:sz w:val="32"/>
        </w:rPr>
        <w:t>五、一般公共预算财政拨款支出决算情况说明</w:t>
      </w:r>
    </w:p>
    <w:p w14:paraId="6F97289B">
      <w:pPr>
        <w:spacing w:line="640" w:lineRule="exact"/>
        <w:ind w:firstLine="640"/>
        <w:jc w:val="both"/>
        <w:outlineLvl w:val="3"/>
      </w:pPr>
      <w:r>
        <w:rPr>
          <w:rFonts w:ascii="楷体_GB2312" w:hAnsi="楷体_GB2312" w:eastAsia="楷体_GB2312"/>
          <w:b/>
          <w:sz w:val="32"/>
        </w:rPr>
        <w:t>（一）一般公共预算财政拨款支出决算总体情况</w:t>
      </w:r>
    </w:p>
    <w:p w14:paraId="6D38A769">
      <w:pPr>
        <w:spacing w:line="580" w:lineRule="exact"/>
        <w:ind w:firstLine="640"/>
        <w:jc w:val="both"/>
      </w:pPr>
      <w:r>
        <w:rPr>
          <w:rFonts w:ascii="仿宋_GB2312" w:hAnsi="仿宋_GB2312" w:eastAsia="仿宋_GB2312"/>
          <w:b/>
          <w:sz w:val="32"/>
        </w:rPr>
        <w:t>2024年度一般公共预算财政拨款支出1,363.68万元，</w:t>
      </w:r>
      <w:r>
        <w:rPr>
          <w:rFonts w:ascii="仿宋_GB2312" w:hAnsi="仿宋_GB2312" w:eastAsia="仿宋_GB2312"/>
          <w:b w:val="0"/>
          <w:sz w:val="32"/>
        </w:rPr>
        <w:t>占本年支出合计的99.78%。</w:t>
      </w:r>
      <w:r>
        <w:rPr>
          <w:rFonts w:ascii="仿宋_GB2312" w:hAnsi="仿宋_GB2312" w:eastAsia="仿宋_GB2312"/>
          <w:b/>
          <w:sz w:val="32"/>
        </w:rPr>
        <w:t>与上年相比，</w:t>
      </w:r>
      <w:r>
        <w:rPr>
          <w:rFonts w:ascii="仿宋_GB2312" w:hAnsi="仿宋_GB2312" w:eastAsia="仿宋_GB2312"/>
          <w:b w:val="0"/>
          <w:sz w:val="32"/>
        </w:rPr>
        <w:t>减少31.02万元，下降2.22%，主要原因是：一是本年在职人员减少，相关人员经费减少；二是本年中央政法转移支付项目资金减少。</w:t>
      </w:r>
      <w:r>
        <w:rPr>
          <w:rFonts w:ascii="仿宋_GB2312" w:hAnsi="仿宋_GB2312" w:eastAsia="仿宋_GB2312"/>
          <w:b/>
          <w:sz w:val="32"/>
        </w:rPr>
        <w:t>与年初预算相比,</w:t>
      </w:r>
      <w:r>
        <w:rPr>
          <w:rFonts w:ascii="仿宋_GB2312" w:hAnsi="仿宋_GB2312" w:eastAsia="仿宋_GB2312"/>
          <w:b w:val="0"/>
          <w:sz w:val="32"/>
        </w:rPr>
        <w:t>年初预算数1,313.48万元，决算数1,363.68万元，预决算差异率3.82%，主要原因是：年中追加人员工资、社保、公积金基数调增部分资金，导致预决算存在差异。</w:t>
      </w:r>
    </w:p>
    <w:p w14:paraId="7C837F80">
      <w:pPr>
        <w:spacing w:line="640" w:lineRule="exact"/>
        <w:ind w:firstLine="640"/>
        <w:jc w:val="both"/>
        <w:outlineLvl w:val="3"/>
      </w:pPr>
      <w:r>
        <w:rPr>
          <w:rFonts w:ascii="楷体_GB2312" w:hAnsi="楷体_GB2312" w:eastAsia="楷体_GB2312"/>
          <w:b/>
          <w:sz w:val="32"/>
        </w:rPr>
        <w:t>（二）一般公共预算财政拨款支出决算结构情况</w:t>
      </w:r>
    </w:p>
    <w:p w14:paraId="587D5C69">
      <w:pPr>
        <w:spacing w:line="580" w:lineRule="exact"/>
        <w:ind w:firstLine="640"/>
        <w:jc w:val="both"/>
      </w:pPr>
      <w:r>
        <w:rPr>
          <w:rFonts w:ascii="仿宋_GB2312" w:hAnsi="仿宋_GB2312" w:eastAsia="仿宋_GB2312"/>
          <w:b w:val="0"/>
          <w:sz w:val="32"/>
        </w:rPr>
        <w:t>1.公共安全支出(类)1,097.54万元,占80.48%。</w:t>
      </w:r>
    </w:p>
    <w:p w14:paraId="3845349D">
      <w:pPr>
        <w:spacing w:line="580" w:lineRule="exact"/>
        <w:ind w:firstLine="640"/>
        <w:jc w:val="both"/>
      </w:pPr>
      <w:r>
        <w:rPr>
          <w:rFonts w:ascii="仿宋_GB2312" w:hAnsi="仿宋_GB2312" w:eastAsia="仿宋_GB2312"/>
          <w:b w:val="0"/>
          <w:sz w:val="32"/>
        </w:rPr>
        <w:t>2.社会保障和就业支出(类)155.38万元,占11.39%。</w:t>
      </w:r>
    </w:p>
    <w:p w14:paraId="46A2EEC0">
      <w:pPr>
        <w:spacing w:line="580" w:lineRule="exact"/>
        <w:ind w:firstLine="640"/>
        <w:jc w:val="both"/>
      </w:pPr>
      <w:r>
        <w:rPr>
          <w:rFonts w:ascii="仿宋_GB2312" w:hAnsi="仿宋_GB2312" w:eastAsia="仿宋_GB2312"/>
          <w:b w:val="0"/>
          <w:sz w:val="32"/>
        </w:rPr>
        <w:t>3.卫生健康支出(类)43.44万元,占3.19%。</w:t>
      </w:r>
    </w:p>
    <w:p w14:paraId="27119C69">
      <w:pPr>
        <w:spacing w:line="580" w:lineRule="exact"/>
        <w:ind w:firstLine="640"/>
        <w:jc w:val="both"/>
      </w:pPr>
      <w:r>
        <w:rPr>
          <w:rFonts w:ascii="仿宋_GB2312" w:hAnsi="仿宋_GB2312" w:eastAsia="仿宋_GB2312"/>
          <w:b w:val="0"/>
          <w:sz w:val="32"/>
        </w:rPr>
        <w:t>4.住房保障支出(类)67.31万元,占4.94%。</w:t>
      </w:r>
    </w:p>
    <w:p w14:paraId="3784C830">
      <w:pPr>
        <w:spacing w:line="640" w:lineRule="exact"/>
        <w:ind w:firstLine="640"/>
        <w:jc w:val="both"/>
        <w:outlineLvl w:val="3"/>
      </w:pPr>
      <w:r>
        <w:rPr>
          <w:rFonts w:ascii="楷体_GB2312" w:hAnsi="楷体_GB2312" w:eastAsia="楷体_GB2312"/>
          <w:b/>
          <w:sz w:val="32"/>
        </w:rPr>
        <w:t>（三）一般公共预算财政拨款支出决算具体情况</w:t>
      </w:r>
    </w:p>
    <w:p w14:paraId="741F6723">
      <w:pPr>
        <w:spacing w:line="580" w:lineRule="exact"/>
        <w:ind w:firstLine="640"/>
        <w:jc w:val="both"/>
      </w:pPr>
      <w:r>
        <w:rPr>
          <w:rFonts w:ascii="仿宋_GB2312" w:hAnsi="仿宋_GB2312" w:eastAsia="仿宋_GB2312"/>
          <w:b w:val="0"/>
          <w:sz w:val="32"/>
        </w:rPr>
        <w:t>1.公共安全支出(类)检察(款)行政运行(项):支出决算数为844.62万元，比上年决算增加31.24万元，增长3.84%,主要原因是：本年在职人员工资调增，导致相关人员经费较上年有所增加。</w:t>
      </w:r>
    </w:p>
    <w:p w14:paraId="39A49831">
      <w:pPr>
        <w:spacing w:line="580" w:lineRule="exact"/>
        <w:ind w:firstLine="640"/>
        <w:jc w:val="both"/>
      </w:pPr>
      <w:r>
        <w:rPr>
          <w:rFonts w:ascii="仿宋_GB2312" w:hAnsi="仿宋_GB2312" w:eastAsia="仿宋_GB2312"/>
          <w:b w:val="0"/>
          <w:sz w:val="32"/>
        </w:rPr>
        <w:t>2.公共安全支出(类)检察(款)一般行政管理事务(项):支出决算数为64.92万元，比上年决算减少30.09万元，下降31.67%,主要原因是：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减少机关业务保障经费项目。</w:t>
      </w:r>
    </w:p>
    <w:p w14:paraId="621D8002">
      <w:pPr>
        <w:spacing w:line="580" w:lineRule="exact"/>
        <w:ind w:firstLine="640"/>
        <w:jc w:val="both"/>
      </w:pPr>
      <w:r>
        <w:rPr>
          <w:rFonts w:ascii="仿宋_GB2312" w:hAnsi="仿宋_GB2312" w:eastAsia="仿宋_GB2312"/>
          <w:b w:val="0"/>
          <w:sz w:val="32"/>
        </w:rPr>
        <w:t>3.公共安全支出(类)检察(款)其他检察支出(项):支出决算数为188.00万元，比上年决算减少41.75万元，下降18.17%,主要原因是：本年中央政法转移支付项目资金减少。</w:t>
      </w:r>
    </w:p>
    <w:p w14:paraId="4093061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4.社会保障和就业支出(类)行政事业单位养老支出(款)行政单位离退休(项):支出决算数为36.88万元，比上年决算增加6.46万元，增长21.24%,主要原因是：本年新增退休人员，退休费支出较上年增加。</w:t>
      </w:r>
    </w:p>
    <w:p w14:paraId="29DE613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79.86万元，比上年决算减少1.39万元，下降1.71%,主要原因是：本年在职人员减少，单位基本养老保险缴费较上年减少。</w:t>
      </w:r>
    </w:p>
    <w:p w14:paraId="7EA9E1E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5.71万元，比上年决算增加3.52万元，增长160.73%,主要原因是：本年新增退休人员，职业年金缴费支出较上年增加。</w:t>
      </w:r>
    </w:p>
    <w:p w14:paraId="76F1D802">
      <w:pPr>
        <w:spacing w:line="580" w:lineRule="exact"/>
        <w:ind w:firstLine="640"/>
        <w:jc w:val="both"/>
      </w:pPr>
      <w:r>
        <w:rPr>
          <w:rFonts w:ascii="仿宋_GB2312" w:hAnsi="仿宋_GB2312" w:eastAsia="仿宋_GB2312"/>
          <w:b w:val="0"/>
          <w:sz w:val="32"/>
        </w:rPr>
        <w:t>7.社会保障和就业支出(类)抚恤(款)死亡抚恤(项):支出决算数为32.93万元，比上年决算增加2.36万元，增长7.72%,主要原因是：本年新增死亡人员，死亡抚恤支出增加。</w:t>
      </w:r>
    </w:p>
    <w:p w14:paraId="149B1E46">
      <w:pPr>
        <w:spacing w:line="580" w:lineRule="exact"/>
        <w:ind w:firstLine="640"/>
        <w:jc w:val="both"/>
      </w:pPr>
      <w:r>
        <w:rPr>
          <w:rFonts w:ascii="仿宋_GB2312" w:hAnsi="仿宋_GB2312" w:eastAsia="仿宋_GB2312"/>
          <w:b w:val="0"/>
          <w:sz w:val="32"/>
        </w:rPr>
        <w:t>8.卫生健康支出(类)行政事业单位医疗(款)行政单位医疗(项):支出决算数为33.94万元，比上年决算减少0.59万元，下降1.71%,主要原因是：本年在职人员减少，行政单位医疗较上年减少。</w:t>
      </w:r>
    </w:p>
    <w:p w14:paraId="7365B3F4">
      <w:pPr>
        <w:spacing w:line="580" w:lineRule="exact"/>
        <w:ind w:firstLine="640"/>
        <w:jc w:val="both"/>
      </w:pPr>
      <w:r>
        <w:rPr>
          <w:rFonts w:ascii="仿宋_GB2312" w:hAnsi="仿宋_GB2312" w:eastAsia="仿宋_GB2312"/>
          <w:b w:val="0"/>
          <w:sz w:val="32"/>
        </w:rPr>
        <w:t>9.卫生健康支出(类)行政事业单位医疗(款)公务员医疗补助(项):支出决算数为9.51万元，比上年决算减少0.21万元，下降2.16%,主要原因是：本年在职人员减少，公务员医疗补助较上年减少。</w:t>
      </w:r>
    </w:p>
    <w:p w14:paraId="28FECE09">
      <w:pPr>
        <w:spacing w:line="580" w:lineRule="exact"/>
        <w:ind w:firstLine="640"/>
        <w:jc w:val="both"/>
      </w:pPr>
      <w:r>
        <w:rPr>
          <w:rFonts w:ascii="仿宋_GB2312" w:hAnsi="仿宋_GB2312" w:eastAsia="仿宋_GB2312"/>
          <w:b w:val="0"/>
          <w:sz w:val="32"/>
        </w:rPr>
        <w:t>10.住房保障支出(类)住房改革支出(款)住房公积金(项):支出决算数为67.31万元，比上年决算减少0.58万元，下降0.85%,主要原因是：本年在职人员减少，住房公积金缴费较上年减少。</w:t>
      </w:r>
    </w:p>
    <w:p w14:paraId="4B48BCB3">
      <w:pPr>
        <w:spacing w:line="640" w:lineRule="exact"/>
        <w:ind w:firstLine="640"/>
        <w:jc w:val="both"/>
        <w:outlineLvl w:val="2"/>
      </w:pPr>
      <w:r>
        <w:rPr>
          <w:rFonts w:ascii="黑体" w:hAnsi="黑体" w:eastAsia="黑体"/>
          <w:sz w:val="32"/>
        </w:rPr>
        <w:t>六、一般公共预算财政拨款基本支出决算情况说明</w:t>
      </w:r>
    </w:p>
    <w:p w14:paraId="494037BB">
      <w:pPr>
        <w:spacing w:line="580" w:lineRule="exact"/>
        <w:ind w:firstLine="640"/>
        <w:jc w:val="both"/>
      </w:pPr>
      <w:r>
        <w:rPr>
          <w:rFonts w:ascii="仿宋_GB2312" w:hAnsi="仿宋_GB2312" w:eastAsia="仿宋_GB2312"/>
          <w:b w:val="0"/>
          <w:sz w:val="32"/>
        </w:rPr>
        <w:t>2024年度一般公共预算财政拨款基本支出1,110.76万元，其中：</w:t>
      </w:r>
      <w:r>
        <w:rPr>
          <w:rFonts w:ascii="仿宋_GB2312" w:hAnsi="仿宋_GB2312" w:eastAsia="仿宋_GB2312"/>
          <w:b/>
          <w:sz w:val="32"/>
        </w:rPr>
        <w:t>人员经费998.04万元，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其他对个人和家庭的补助。</w:t>
      </w:r>
    </w:p>
    <w:p w14:paraId="6C69D398">
      <w:pPr>
        <w:spacing w:line="580" w:lineRule="exact"/>
        <w:ind w:firstLine="640"/>
        <w:jc w:val="both"/>
      </w:pPr>
      <w:r>
        <w:rPr>
          <w:rFonts w:ascii="仿宋_GB2312" w:hAnsi="仿宋_GB2312" w:eastAsia="仿宋_GB2312"/>
          <w:b/>
          <w:sz w:val="32"/>
        </w:rPr>
        <w:t>公用经费112.72万元，</w:t>
      </w:r>
      <w:r>
        <w:rPr>
          <w:rFonts w:ascii="仿宋_GB2312" w:hAnsi="仿宋_GB2312" w:eastAsia="仿宋_GB2312"/>
          <w:b w:val="0"/>
          <w:sz w:val="32"/>
        </w:rPr>
        <w:t>包括：办公费、水费、电费、取暖费、物业管理费、差旅费、维修（护）费、租赁费、专用材料费、委托业务费、工会经费、公务用车运行维护费、其他商品和服务支出。</w:t>
      </w:r>
    </w:p>
    <w:p w14:paraId="149B1F57">
      <w:pPr>
        <w:spacing w:line="640" w:lineRule="exact"/>
        <w:ind w:firstLine="640"/>
        <w:jc w:val="both"/>
        <w:outlineLvl w:val="2"/>
      </w:pPr>
      <w:r>
        <w:rPr>
          <w:rFonts w:ascii="黑体" w:hAnsi="黑体" w:eastAsia="黑体"/>
          <w:sz w:val="32"/>
        </w:rPr>
        <w:t>七、政府性基金预算财政拨款收入支出决算情况说明</w:t>
      </w:r>
    </w:p>
    <w:p w14:paraId="1E6A003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1EB745A">
      <w:pPr>
        <w:spacing w:line="640" w:lineRule="exact"/>
        <w:ind w:firstLine="640"/>
        <w:jc w:val="both"/>
        <w:outlineLvl w:val="2"/>
      </w:pPr>
      <w:r>
        <w:rPr>
          <w:rFonts w:ascii="黑体" w:hAnsi="黑体" w:eastAsia="黑体"/>
          <w:sz w:val="32"/>
        </w:rPr>
        <w:t>八、国有资本经营预算财政拨款收入支出决算情况说明</w:t>
      </w:r>
    </w:p>
    <w:p w14:paraId="799CE7C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0CBBE4E">
      <w:pPr>
        <w:spacing w:line="640" w:lineRule="exact"/>
        <w:ind w:firstLine="640"/>
        <w:jc w:val="both"/>
        <w:outlineLvl w:val="2"/>
      </w:pPr>
      <w:r>
        <w:rPr>
          <w:rFonts w:ascii="黑体" w:hAnsi="黑体" w:eastAsia="黑体"/>
          <w:sz w:val="32"/>
        </w:rPr>
        <w:t>九、财政拨款“三公”经费支出决算情况说明</w:t>
      </w:r>
    </w:p>
    <w:p w14:paraId="513E1A80">
      <w:pPr>
        <w:spacing w:line="580" w:lineRule="exact"/>
        <w:ind w:firstLine="640"/>
        <w:jc w:val="both"/>
      </w:pPr>
      <w:r>
        <w:rPr>
          <w:rFonts w:ascii="仿宋_GB2312" w:hAnsi="仿宋_GB2312" w:eastAsia="仿宋_GB2312"/>
          <w:b/>
          <w:sz w:val="32"/>
        </w:rPr>
        <w:t>2024年度财政拨款“三公”经费支出27.60万元，</w:t>
      </w:r>
      <w:r>
        <w:rPr>
          <w:rFonts w:ascii="仿宋_GB2312" w:hAnsi="仿宋_GB2312" w:eastAsia="仿宋_GB2312"/>
          <w:b w:val="0"/>
          <w:sz w:val="32"/>
        </w:rPr>
        <w:t>比上年增加4.60万元，增长20.00%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27.60万元，占100.00%，比上年增加4.60万元，增长20.00%，主要原因是：本年因业务需求，用车次数增加，燃油费增加，导致公务用车运行维护费较上年增加。公务接待费支出0.00万元，占0.00%，比上年增加0.00万元，增长0.00%，主要原因是：2023年与2024年均未安排公务接待费支出。</w:t>
      </w:r>
    </w:p>
    <w:p w14:paraId="13DDD045">
      <w:pPr>
        <w:spacing w:line="580" w:lineRule="exact"/>
        <w:ind w:firstLine="640"/>
        <w:jc w:val="both"/>
      </w:pPr>
      <w:r>
        <w:rPr>
          <w:rFonts w:ascii="仿宋_GB2312" w:hAnsi="仿宋_GB2312" w:eastAsia="仿宋_GB2312"/>
          <w:b/>
          <w:sz w:val="32"/>
        </w:rPr>
        <w:t>具体情况如下：</w:t>
      </w:r>
    </w:p>
    <w:p w14:paraId="1DAB440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07EF294">
      <w:pPr>
        <w:spacing w:line="580" w:lineRule="exact"/>
        <w:ind w:firstLine="640"/>
        <w:jc w:val="both"/>
      </w:pPr>
      <w:r>
        <w:rPr>
          <w:rFonts w:ascii="仿宋_GB2312" w:hAnsi="仿宋_GB2312" w:eastAsia="仿宋_GB2312"/>
          <w:b w:val="0"/>
          <w:sz w:val="32"/>
        </w:rPr>
        <w:t>公务用车购置及运行维护费27.60万元，其中：公务用车购置费0.00万元，公务用车运行维护费27.60万元。公务用车运行维护费开支内容包括车辆加油费、维修费、保险费、审车费、过路费等。公务用车购置数0辆，公务用车保有量12辆。国有资产占用情况中固定资产车辆12辆，与公务用车保有量差异原因是：本部门固定资产车辆与公务用车保有量一致无差异。</w:t>
      </w:r>
    </w:p>
    <w:p w14:paraId="5365183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2FA224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27.60万元，决算数27.60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27.60万元，决算数27.60万元，预决算差异率0.00%，主要原因是：严格按照预算执行，预决算无差异。公务接待费全年预算数0.00万元，决算数0.00万元，预决算差异率0.00%，主要原因是：本部门无公务接待费。</w:t>
      </w:r>
    </w:p>
    <w:p w14:paraId="2BD8825E">
      <w:pPr>
        <w:spacing w:line="640" w:lineRule="exact"/>
        <w:ind w:firstLine="640"/>
        <w:jc w:val="both"/>
        <w:outlineLvl w:val="2"/>
      </w:pPr>
      <w:r>
        <w:rPr>
          <w:rFonts w:ascii="黑体" w:hAnsi="黑体" w:eastAsia="黑体"/>
          <w:sz w:val="32"/>
        </w:rPr>
        <w:t>十、其他重要事项的情况说明</w:t>
      </w:r>
    </w:p>
    <w:p w14:paraId="0ACF2B41">
      <w:pPr>
        <w:spacing w:line="640" w:lineRule="exact"/>
        <w:ind w:firstLine="640"/>
        <w:jc w:val="both"/>
        <w:outlineLvl w:val="3"/>
      </w:pPr>
      <w:r>
        <w:rPr>
          <w:rFonts w:ascii="楷体_GB2312" w:hAnsi="楷体_GB2312" w:eastAsia="楷体_GB2312"/>
          <w:b/>
          <w:sz w:val="32"/>
        </w:rPr>
        <w:t>（一）机关运行经费及公用经费支出情况</w:t>
      </w:r>
    </w:p>
    <w:p w14:paraId="00F4F000">
      <w:pPr>
        <w:spacing w:line="580" w:lineRule="exact"/>
        <w:ind w:firstLine="640"/>
        <w:jc w:val="both"/>
      </w:pPr>
      <w:r>
        <w:rPr>
          <w:rFonts w:ascii="仿宋_GB2312" w:hAnsi="仿宋_GB2312" w:eastAsia="仿宋_GB2312"/>
          <w:b w:val="0"/>
          <w:sz w:val="32"/>
        </w:rPr>
        <w:t>2024年度疏附县人民检察院（行政单位和参照公务员法管理事业单位）机关运行经费支出112.72万元，比上年增加32.88万元，增长41.18%，主要原因是：本年更新、维护补充办公用品，导致机关运行经费较上年增加。</w:t>
      </w:r>
    </w:p>
    <w:p w14:paraId="72AC4C81">
      <w:pPr>
        <w:spacing w:line="640" w:lineRule="exact"/>
        <w:ind w:firstLine="640"/>
        <w:jc w:val="both"/>
        <w:outlineLvl w:val="3"/>
      </w:pPr>
      <w:r>
        <w:rPr>
          <w:rFonts w:ascii="楷体_GB2312" w:hAnsi="楷体_GB2312" w:eastAsia="楷体_GB2312"/>
          <w:b/>
          <w:sz w:val="32"/>
        </w:rPr>
        <w:t>（二）政府采购情况</w:t>
      </w:r>
    </w:p>
    <w:p w14:paraId="011C5A6A">
      <w:pPr>
        <w:spacing w:line="580" w:lineRule="exact"/>
        <w:ind w:firstLine="640"/>
        <w:jc w:val="both"/>
      </w:pPr>
      <w:r>
        <w:rPr>
          <w:rFonts w:ascii="仿宋_GB2312" w:hAnsi="仿宋_GB2312" w:eastAsia="仿宋_GB2312"/>
          <w:b w:val="0"/>
          <w:sz w:val="32"/>
        </w:rPr>
        <w:t>2024年度政府采购支出总额137.66万元，其中：政府采购货物支出67.74万元、政府采购工程支出0.00万元、政府采购服务支出69.92万元。</w:t>
      </w:r>
    </w:p>
    <w:p w14:paraId="73E8C814">
      <w:pPr>
        <w:spacing w:line="580" w:lineRule="exact"/>
        <w:ind w:firstLine="640"/>
        <w:jc w:val="both"/>
      </w:pPr>
      <w:r>
        <w:rPr>
          <w:rFonts w:ascii="仿宋_GB2312" w:hAnsi="仿宋_GB2312" w:eastAsia="仿宋_GB2312"/>
          <w:b w:val="0"/>
          <w:sz w:val="32"/>
        </w:rPr>
        <w:t>授予中小企业合同金额137.66万元，占政府采购支出总额的100.00%，其中：授予小微企业合同金额137.66万元，占政府采购支出总额的100.00%。</w:t>
      </w:r>
    </w:p>
    <w:p w14:paraId="5F093D0B">
      <w:pPr>
        <w:spacing w:line="640" w:lineRule="exact"/>
        <w:ind w:firstLine="640"/>
        <w:jc w:val="both"/>
        <w:outlineLvl w:val="3"/>
      </w:pPr>
      <w:r>
        <w:rPr>
          <w:rFonts w:ascii="楷体_GB2312" w:hAnsi="楷体_GB2312" w:eastAsia="楷体_GB2312"/>
          <w:b/>
          <w:sz w:val="32"/>
        </w:rPr>
        <w:t>（三）国有资产占用情况说明</w:t>
      </w:r>
    </w:p>
    <w:p w14:paraId="3138C4E8">
      <w:pPr>
        <w:spacing w:line="580" w:lineRule="exact"/>
        <w:ind w:firstLine="640"/>
        <w:jc w:val="both"/>
      </w:pPr>
      <w:r>
        <w:rPr>
          <w:rFonts w:ascii="仿宋_GB2312" w:hAnsi="仿宋_GB2312" w:eastAsia="仿宋_GB2312"/>
          <w:b w:val="0"/>
          <w:sz w:val="32"/>
        </w:rPr>
        <w:t>截至2024年12月31日，房屋5,950.66平方米，价值1,288.52万元。车辆12辆，价值203.42万元，其中：副部（省）级及以上领导用车0辆、主要负责人用车0辆、机要通信用车0辆、应急保障用车0辆、执法执勤用车10辆、特种专业技术用车0辆、离退休干部服务用车0辆、其他用车2辆，其他用车主要是：一般公务用车。单价100万元（含）以上设备（不含车辆）0台（套）。</w:t>
      </w:r>
    </w:p>
    <w:p w14:paraId="25C838B0">
      <w:pPr>
        <w:spacing w:line="640" w:lineRule="exact"/>
        <w:ind w:firstLine="640"/>
        <w:jc w:val="both"/>
        <w:outlineLvl w:val="2"/>
      </w:pPr>
      <w:r>
        <w:rPr>
          <w:rFonts w:ascii="黑体" w:hAnsi="黑体" w:eastAsia="黑体"/>
          <w:sz w:val="32"/>
        </w:rPr>
        <w:t>十一、预算绩效的情况说明</w:t>
      </w:r>
    </w:p>
    <w:p w14:paraId="647A554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根据预算绩效管理要求，本部门2024年度预算绩效管理形成整体支出绩效自评表1个，全年预算总额1,366.67万元，实际执行总额1,366.67万元；预算绩效评价项目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275.14</w:t>
      </w:r>
      <w:r>
        <w:rPr>
          <w:rFonts w:ascii="仿宋_GB2312" w:hAnsi="仿宋_GB2312" w:eastAsia="仿宋_GB2312"/>
          <w:b w:val="0"/>
          <w:sz w:val="32"/>
        </w:rPr>
        <w:t>万元，全年执行数</w:t>
      </w:r>
      <w:r>
        <w:rPr>
          <w:rFonts w:hint="eastAsia" w:ascii="仿宋_GB2312" w:hAnsi="仿宋_GB2312" w:eastAsia="仿宋_GB2312"/>
          <w:b w:val="0"/>
          <w:sz w:val="32"/>
        </w:rPr>
        <w:t>275.14</w:t>
      </w:r>
      <w:r>
        <w:rPr>
          <w:rFonts w:ascii="仿宋_GB2312" w:hAnsi="仿宋_GB2312" w:eastAsia="仿宋_GB2312"/>
          <w:b w:val="0"/>
          <w:sz w:val="32"/>
        </w:rPr>
        <w:t>万元。预算绩效管理取得的成效：一是确保资金的高效使用，切实发挥财政资金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部门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开展提供帮助。具体附部门整体支出绩效自评表，项目支出绩效自评表。</w:t>
      </w:r>
    </w:p>
    <w:p w14:paraId="7F5B5B7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85DA80">
        <w:tblPrEx>
          <w:tblCellMar>
            <w:top w:w="0" w:type="dxa"/>
            <w:left w:w="108" w:type="dxa"/>
            <w:bottom w:w="0" w:type="dxa"/>
            <w:right w:w="108" w:type="dxa"/>
          </w:tblCellMar>
        </w:tblPrEx>
        <w:tc>
          <w:tcPr>
            <w:tcW w:w="8847" w:type="dxa"/>
            <w:gridSpan w:val="9"/>
            <w:vAlign w:val="center"/>
          </w:tcPr>
          <w:p w14:paraId="46734ECE">
            <w:pPr>
              <w:jc w:val="center"/>
            </w:pPr>
            <w:r>
              <w:rPr>
                <w:rFonts w:ascii="宋体" w:hAnsi="宋体" w:eastAsia="宋体"/>
                <w:sz w:val="24"/>
              </w:rPr>
              <w:t>部门整体支出绩效自评表</w:t>
            </w:r>
          </w:p>
        </w:tc>
      </w:tr>
      <w:tr w14:paraId="7671CC91">
        <w:tblPrEx>
          <w:tblCellMar>
            <w:top w:w="0" w:type="dxa"/>
            <w:left w:w="108" w:type="dxa"/>
            <w:bottom w:w="0" w:type="dxa"/>
            <w:right w:w="108" w:type="dxa"/>
          </w:tblCellMar>
        </w:tblPrEx>
        <w:tc>
          <w:tcPr>
            <w:tcW w:w="8847" w:type="dxa"/>
            <w:gridSpan w:val="9"/>
            <w:vAlign w:val="center"/>
          </w:tcPr>
          <w:p w14:paraId="4F0ADAAA">
            <w:pPr>
              <w:jc w:val="center"/>
            </w:pPr>
            <w:r>
              <w:rPr>
                <w:rFonts w:ascii="宋体" w:hAnsi="宋体" w:eastAsia="宋体"/>
                <w:sz w:val="24"/>
              </w:rPr>
              <w:t>（2024年度）</w:t>
            </w:r>
          </w:p>
        </w:tc>
      </w:tr>
      <w:tr w14:paraId="2B37C5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AE2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36F399">
            <w:pPr>
              <w:jc w:val="center"/>
            </w:pPr>
            <w:r>
              <w:rPr>
                <w:rFonts w:ascii="宋体" w:hAnsi="宋体" w:eastAsia="宋体"/>
                <w:sz w:val="16"/>
              </w:rPr>
              <w:t>疏附县人民检察院</w:t>
            </w:r>
          </w:p>
        </w:tc>
      </w:tr>
      <w:tr w14:paraId="07C786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AAD1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52C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943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4BD9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A6A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AA2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2536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6DB82">
            <w:pPr>
              <w:jc w:val="center"/>
            </w:pPr>
            <w:r>
              <w:rPr>
                <w:rFonts w:ascii="宋体" w:hAnsi="宋体" w:eastAsia="宋体"/>
                <w:sz w:val="16"/>
              </w:rPr>
              <w:t>得分</w:t>
            </w:r>
          </w:p>
        </w:tc>
      </w:tr>
      <w:tr w14:paraId="762890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47C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9A5E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A980C">
            <w:pPr>
              <w:jc w:val="center"/>
            </w:pPr>
            <w:r>
              <w:rPr>
                <w:rFonts w:ascii="宋体" w:hAnsi="宋体" w:eastAsia="宋体"/>
                <w:sz w:val="16"/>
              </w:rPr>
              <w:t>1,316.48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7C5B7">
            <w:pPr>
              <w:jc w:val="center"/>
            </w:pPr>
            <w:r>
              <w:rPr>
                <w:rFonts w:ascii="宋体" w:hAnsi="宋体" w:eastAsia="宋体"/>
                <w:sz w:val="16"/>
              </w:rPr>
              <w:t>1,366.67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0FFA1">
            <w:pPr>
              <w:jc w:val="center"/>
            </w:pPr>
            <w:r>
              <w:rPr>
                <w:rFonts w:ascii="宋体" w:hAnsi="宋体" w:eastAsia="宋体"/>
                <w:sz w:val="16"/>
              </w:rPr>
              <w:t>1,366.67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080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3CB5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978C">
            <w:pPr>
              <w:jc w:val="center"/>
            </w:pPr>
            <w:r>
              <w:rPr>
                <w:rFonts w:ascii="宋体" w:hAnsi="宋体" w:eastAsia="宋体"/>
                <w:sz w:val="16"/>
              </w:rPr>
              <w:t>10</w:t>
            </w:r>
          </w:p>
        </w:tc>
      </w:tr>
      <w:tr w14:paraId="1AE00F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F2B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D24F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8CAC6">
            <w:pPr>
              <w:jc w:val="center"/>
            </w:pPr>
            <w:r>
              <w:rPr>
                <w:rFonts w:ascii="宋体" w:hAnsi="宋体" w:eastAsia="宋体"/>
                <w:sz w:val="16"/>
              </w:rPr>
              <w:t>232.48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851E1">
            <w:pPr>
              <w:jc w:val="center"/>
            </w:pPr>
            <w:r>
              <w:rPr>
                <w:rFonts w:ascii="宋体" w:hAnsi="宋体" w:eastAsia="宋体"/>
                <w:sz w:val="16"/>
              </w:rPr>
              <w:t>247.80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6401A">
            <w:pPr>
              <w:jc w:val="center"/>
            </w:pPr>
            <w:r>
              <w:rPr>
                <w:rFonts w:ascii="宋体" w:hAnsi="宋体" w:eastAsia="宋体"/>
                <w:sz w:val="16"/>
              </w:rPr>
              <w:t>247.80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60F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0828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E440">
            <w:pPr>
              <w:jc w:val="center"/>
            </w:pPr>
            <w:r>
              <w:rPr>
                <w:rFonts w:ascii="宋体" w:hAnsi="宋体" w:eastAsia="宋体"/>
                <w:sz w:val="16"/>
              </w:rPr>
              <w:t>—</w:t>
            </w:r>
          </w:p>
        </w:tc>
      </w:tr>
      <w:tr w14:paraId="4EE75C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B2F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71C5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1B285">
            <w:pPr>
              <w:jc w:val="center"/>
            </w:pPr>
            <w:r>
              <w:rPr>
                <w:rFonts w:ascii="宋体" w:hAnsi="宋体" w:eastAsia="宋体"/>
                <w:sz w:val="16"/>
              </w:rPr>
              <w:t>1,081.00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E5C54">
            <w:pPr>
              <w:jc w:val="center"/>
            </w:pPr>
            <w:r>
              <w:rPr>
                <w:rFonts w:ascii="宋体" w:hAnsi="宋体" w:eastAsia="宋体"/>
                <w:sz w:val="16"/>
              </w:rPr>
              <w:t>1,115.87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9CE17">
            <w:pPr>
              <w:jc w:val="center"/>
            </w:pPr>
            <w:r>
              <w:rPr>
                <w:rFonts w:ascii="宋体" w:hAnsi="宋体" w:eastAsia="宋体"/>
                <w:sz w:val="16"/>
              </w:rPr>
              <w:t>1,115.87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7B0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0773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90D1">
            <w:pPr>
              <w:jc w:val="center"/>
            </w:pPr>
            <w:r>
              <w:rPr>
                <w:rFonts w:ascii="宋体" w:hAnsi="宋体" w:eastAsia="宋体"/>
                <w:sz w:val="16"/>
              </w:rPr>
              <w:t>—</w:t>
            </w:r>
          </w:p>
        </w:tc>
      </w:tr>
      <w:tr w14:paraId="2198B4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DE6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7A90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3579E">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DFFD1">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77C08">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5D5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6BA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2C4F">
            <w:pPr>
              <w:jc w:val="center"/>
            </w:pPr>
            <w:r>
              <w:rPr>
                <w:rFonts w:ascii="宋体" w:hAnsi="宋体" w:eastAsia="宋体"/>
                <w:sz w:val="16"/>
              </w:rPr>
              <w:t>—</w:t>
            </w:r>
          </w:p>
        </w:tc>
      </w:tr>
      <w:tr w14:paraId="557D94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8E51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38958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ECF347">
            <w:pPr>
              <w:jc w:val="center"/>
            </w:pPr>
            <w:r>
              <w:rPr>
                <w:rFonts w:ascii="宋体" w:hAnsi="宋体" w:eastAsia="宋体"/>
                <w:sz w:val="16"/>
              </w:rPr>
              <w:t>实际完成情况</w:t>
            </w:r>
          </w:p>
        </w:tc>
      </w:tr>
      <w:tr w14:paraId="15A82A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852E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3CFDCE">
            <w:pPr>
              <w:jc w:val="both"/>
            </w:pPr>
            <w:r>
              <w:rPr>
                <w:rFonts w:ascii="宋体" w:hAnsi="宋体" w:eastAsia="宋体"/>
                <w:sz w:val="16"/>
              </w:rPr>
              <w:t>我院将依法开展对刑事犯罪案件的审查批准逮捕、决定逮捕、审查起诉工作，突出“高质效办好每一个案件”主线，全面优化刑事检察监督，保障被监管人的合法权益，持续推进公益诉讼检察，不断深化信访工作，提升依法履职能力，推动“四大检察”协调发展，打造忠诚干净担当的过硬检察队伍，保障我院量刑建议提出率大于80%、认罪认罚使用率大于80%，有力打击各类犯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723EF9">
            <w:pPr>
              <w:jc w:val="both"/>
            </w:pPr>
            <w:r>
              <w:rPr>
                <w:rFonts w:ascii="宋体" w:hAnsi="宋体" w:eastAsia="宋体"/>
                <w:sz w:val="16"/>
              </w:rPr>
              <w:t>该项目资金保障了我院“四大检察”“十大业务”工作的顺利开展，充分发挥了检察机关职能作用，严厉打击各类刑事犯罪，确保群众利益,有效提升监督质效,促进社会的安定和谐。全院全年法律监督办案数768件，办理司法救助案件数27件,发出检察建议数75件,确定型量刑建议提出率为83.3%,认罪认罚适用率达93%,完成了年初设定目标</w:t>
            </w:r>
          </w:p>
        </w:tc>
      </w:tr>
      <w:tr w14:paraId="6C1C08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F41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AE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A3AF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7BD0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C4E1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B989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3CD0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8FB1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E0273">
            <w:pPr>
              <w:jc w:val="center"/>
            </w:pPr>
            <w:r>
              <w:rPr>
                <w:rFonts w:ascii="宋体" w:hAnsi="宋体" w:eastAsia="宋体"/>
                <w:sz w:val="16"/>
              </w:rPr>
              <w:t>得分</w:t>
            </w:r>
          </w:p>
        </w:tc>
      </w:tr>
      <w:tr w14:paraId="015596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AA75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077D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B4AFA">
            <w:pPr>
              <w:jc w:val="center"/>
            </w:pPr>
            <w:r>
              <w:rPr>
                <w:rFonts w:ascii="宋体" w:hAnsi="宋体" w:eastAsia="宋体"/>
                <w:sz w:val="16"/>
              </w:rPr>
              <w:t>全院全年法律监督办案数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F73FE">
            <w:pPr>
              <w:jc w:val="center"/>
            </w:pPr>
            <w:r>
              <w:rPr>
                <w:rFonts w:ascii="宋体" w:hAnsi="宋体" w:eastAsia="宋体"/>
                <w:sz w:val="16"/>
              </w:rPr>
              <w:t>&gt;=700件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BBEE8">
            <w:pPr>
              <w:jc w:val="center"/>
            </w:pPr>
            <w:r>
              <w:rPr>
                <w:rFonts w:ascii="宋体" w:hAnsi="宋体" w:eastAsia="宋体"/>
                <w:sz w:val="16"/>
              </w:rPr>
              <w:t>疏附县人民检察院2024年工作计划、2023年工作报告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4F0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5BE6B">
            <w:pPr>
              <w:jc w:val="center"/>
            </w:pPr>
            <w:r>
              <w:rPr>
                <w:rFonts w:ascii="宋体" w:hAnsi="宋体" w:eastAsia="宋体"/>
                <w:sz w:val="16"/>
              </w:rPr>
              <w:t>768件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7413">
            <w:pPr>
              <w:jc w:val="center"/>
            </w:pPr>
            <w:r>
              <w:rPr>
                <w:rFonts w:ascii="宋体" w:hAnsi="宋体" w:eastAsia="宋体"/>
                <w:sz w:val="16"/>
              </w:rPr>
              <w:t>109.71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E1A28">
            <w:pPr>
              <w:jc w:val="center"/>
            </w:pPr>
            <w:r>
              <w:rPr>
                <w:rFonts w:ascii="宋体" w:hAnsi="宋体" w:eastAsia="宋体"/>
                <w:sz w:val="16"/>
              </w:rPr>
              <w:t>10</w:t>
            </w:r>
          </w:p>
        </w:tc>
      </w:tr>
      <w:tr w14:paraId="529054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DC2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B14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F6BA">
            <w:pPr>
              <w:jc w:val="center"/>
            </w:pPr>
            <w:r>
              <w:rPr>
                <w:rFonts w:ascii="宋体" w:hAnsi="宋体" w:eastAsia="宋体"/>
                <w:sz w:val="16"/>
              </w:rPr>
              <w:t>办理司法救助案件数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844FA">
            <w:pPr>
              <w:jc w:val="center"/>
            </w:pPr>
            <w:r>
              <w:rPr>
                <w:rFonts w:ascii="宋体" w:hAnsi="宋体" w:eastAsia="宋体"/>
                <w:sz w:val="16"/>
              </w:rPr>
              <w:t>&gt;=16件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9B4FB">
            <w:pPr>
              <w:jc w:val="center"/>
            </w:pPr>
            <w:r>
              <w:rPr>
                <w:rFonts w:ascii="宋体" w:hAnsi="宋体" w:eastAsia="宋体"/>
                <w:sz w:val="16"/>
              </w:rPr>
              <w:t>疏附县人民检察院2024年工作计划、2023年工作报告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456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FE293">
            <w:pPr>
              <w:jc w:val="center"/>
            </w:pPr>
            <w:r>
              <w:rPr>
                <w:rFonts w:ascii="宋体" w:hAnsi="宋体" w:eastAsia="宋体"/>
                <w:sz w:val="16"/>
              </w:rPr>
              <w:t>27件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6B452">
            <w:pPr>
              <w:jc w:val="center"/>
            </w:pPr>
            <w:r>
              <w:rPr>
                <w:rFonts w:ascii="宋体" w:hAnsi="宋体" w:eastAsia="宋体"/>
                <w:sz w:val="16"/>
              </w:rPr>
              <w:t>168.75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806E8">
            <w:pPr>
              <w:jc w:val="center"/>
            </w:pPr>
            <w:r>
              <w:rPr>
                <w:rFonts w:ascii="宋体" w:hAnsi="宋体" w:eastAsia="宋体"/>
                <w:sz w:val="16"/>
              </w:rPr>
              <w:t>20</w:t>
            </w:r>
          </w:p>
        </w:tc>
      </w:tr>
      <w:tr w14:paraId="7E35B2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E26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0ED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76C7C">
            <w:pPr>
              <w:jc w:val="center"/>
            </w:pPr>
            <w:r>
              <w:rPr>
                <w:rFonts w:ascii="宋体" w:hAnsi="宋体" w:eastAsia="宋体"/>
                <w:sz w:val="16"/>
              </w:rPr>
              <w:t>发出检察</w:t>
            </w:r>
            <w:r>
              <w:rPr>
                <w:rFonts w:hint="eastAsia" w:ascii="宋体" w:hAnsi="宋体"/>
                <w:sz w:val="16"/>
                <w:lang w:eastAsia="zh-CN"/>
              </w:rPr>
              <w:t>建议书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3D87A">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7FC93">
            <w:pPr>
              <w:jc w:val="center"/>
            </w:pPr>
            <w:r>
              <w:rPr>
                <w:rFonts w:ascii="宋体" w:hAnsi="宋体" w:eastAsia="宋体"/>
                <w:sz w:val="16"/>
              </w:rPr>
              <w:t>疏附县人民检察院2024年工作计划、2023年工作报告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C00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BC46D">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CD07">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17F67">
            <w:pPr>
              <w:jc w:val="center"/>
            </w:pPr>
            <w:r>
              <w:rPr>
                <w:rFonts w:ascii="宋体" w:hAnsi="宋体" w:eastAsia="宋体"/>
                <w:sz w:val="16"/>
              </w:rPr>
              <w:t>20</w:t>
            </w:r>
          </w:p>
        </w:tc>
      </w:tr>
      <w:tr w14:paraId="403844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47F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408A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51FD3">
            <w:pPr>
              <w:jc w:val="center"/>
            </w:pPr>
            <w:r>
              <w:rPr>
                <w:rFonts w:ascii="宋体" w:hAnsi="宋体" w:eastAsia="宋体"/>
                <w:sz w:val="16"/>
              </w:rPr>
              <w:t>确定型量刑建议提出率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484D">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F50B3">
            <w:pPr>
              <w:jc w:val="center"/>
            </w:pPr>
            <w:r>
              <w:rPr>
                <w:rFonts w:ascii="宋体" w:hAnsi="宋体" w:eastAsia="宋体"/>
                <w:sz w:val="16"/>
              </w:rPr>
              <w:t>疏附县人民检察院2024年工作计划、2023年工作报告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6C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947D6">
            <w:pPr>
              <w:jc w:val="center"/>
            </w:pPr>
            <w:r>
              <w:rPr>
                <w:rFonts w:ascii="宋体" w:hAnsi="宋体" w:eastAsia="宋体"/>
                <w:sz w:val="16"/>
              </w:rPr>
              <w:t>83.3%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C26F4">
            <w:pPr>
              <w:jc w:val="center"/>
            </w:pPr>
            <w:r>
              <w:rPr>
                <w:rFonts w:ascii="宋体" w:hAnsi="宋体" w:eastAsia="宋体"/>
                <w:sz w:val="16"/>
              </w:rPr>
              <w:t>104.13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30B0">
            <w:pPr>
              <w:jc w:val="center"/>
            </w:pPr>
            <w:r>
              <w:rPr>
                <w:rFonts w:ascii="宋体" w:hAnsi="宋体" w:eastAsia="宋体"/>
                <w:sz w:val="16"/>
              </w:rPr>
              <w:t>20</w:t>
            </w:r>
          </w:p>
        </w:tc>
      </w:tr>
      <w:tr w14:paraId="30B02E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B3F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160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B803">
            <w:pPr>
              <w:jc w:val="center"/>
            </w:pPr>
            <w:r>
              <w:rPr>
                <w:rFonts w:ascii="宋体" w:hAnsi="宋体" w:eastAsia="宋体"/>
                <w:sz w:val="16"/>
              </w:rPr>
              <w:t>认罪认罚适用率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9E41B">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BABE2">
            <w:pPr>
              <w:jc w:val="center"/>
            </w:pPr>
            <w:r>
              <w:rPr>
                <w:rFonts w:ascii="宋体" w:hAnsi="宋体" w:eastAsia="宋体"/>
                <w:sz w:val="16"/>
              </w:rPr>
              <w:t>疏附县人民检察院2024年工作计划、2023年工作报告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0AA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3F236">
            <w:pPr>
              <w:jc w:val="center"/>
            </w:pPr>
            <w:r>
              <w:rPr>
                <w:rFonts w:ascii="宋体" w:hAnsi="宋体" w:eastAsia="宋体"/>
                <w:sz w:val="16"/>
              </w:rPr>
              <w:t>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0036">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0C5B4">
            <w:pPr>
              <w:jc w:val="center"/>
            </w:pPr>
            <w:r>
              <w:rPr>
                <w:rFonts w:ascii="宋体" w:hAnsi="宋体" w:eastAsia="宋体"/>
                <w:sz w:val="16"/>
              </w:rPr>
              <w:t>20</w:t>
            </w:r>
          </w:p>
        </w:tc>
      </w:tr>
    </w:tbl>
    <w:p w14:paraId="786951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A4BC35A">
        <w:tblPrEx>
          <w:tblCellMar>
            <w:top w:w="0" w:type="dxa"/>
            <w:left w:w="108" w:type="dxa"/>
            <w:bottom w:w="0" w:type="dxa"/>
            <w:right w:w="108" w:type="dxa"/>
          </w:tblCellMar>
        </w:tblPrEx>
        <w:tc>
          <w:tcPr>
            <w:tcW w:w="8848" w:type="dxa"/>
            <w:gridSpan w:val="14"/>
            <w:vAlign w:val="center"/>
          </w:tcPr>
          <w:p w14:paraId="3496CCB8">
            <w:pPr>
              <w:jc w:val="center"/>
            </w:pPr>
            <w:r>
              <w:rPr>
                <w:rFonts w:ascii="宋体" w:hAnsi="宋体" w:eastAsia="宋体"/>
                <w:sz w:val="24"/>
              </w:rPr>
              <w:t>项目支出绩效自评表</w:t>
            </w:r>
          </w:p>
        </w:tc>
      </w:tr>
      <w:tr w14:paraId="488D51AF">
        <w:tblPrEx>
          <w:tblCellMar>
            <w:top w:w="0" w:type="dxa"/>
            <w:left w:w="108" w:type="dxa"/>
            <w:bottom w:w="0" w:type="dxa"/>
            <w:right w:w="108" w:type="dxa"/>
          </w:tblCellMar>
        </w:tblPrEx>
        <w:tc>
          <w:tcPr>
            <w:tcW w:w="8848" w:type="dxa"/>
            <w:gridSpan w:val="14"/>
            <w:vAlign w:val="center"/>
          </w:tcPr>
          <w:p w14:paraId="342453F8">
            <w:pPr>
              <w:jc w:val="center"/>
            </w:pPr>
            <w:r>
              <w:rPr>
                <w:rFonts w:ascii="宋体" w:hAnsi="宋体" w:eastAsia="宋体"/>
                <w:sz w:val="24"/>
              </w:rPr>
              <w:t>(2024年度)</w:t>
            </w:r>
          </w:p>
        </w:tc>
      </w:tr>
      <w:tr w14:paraId="3C1B9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97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D1BFA9">
            <w:pPr>
              <w:jc w:val="center"/>
            </w:pPr>
            <w:r>
              <w:rPr>
                <w:rFonts w:ascii="宋体" w:hAnsi="宋体" w:eastAsia="宋体"/>
                <w:sz w:val="16"/>
              </w:rPr>
              <w:t>后勤保障工作经费项目</w:t>
            </w:r>
          </w:p>
        </w:tc>
      </w:tr>
      <w:tr w14:paraId="688AA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18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C4B69">
            <w:pPr>
              <w:jc w:val="center"/>
            </w:pPr>
            <w:r>
              <w:rPr>
                <w:rFonts w:ascii="宋体" w:hAnsi="宋体" w:eastAsia="宋体"/>
                <w:sz w:val="16"/>
              </w:rPr>
              <w:t>疏附县人民检察院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97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DDDBD7">
            <w:pPr>
              <w:jc w:val="center"/>
            </w:pPr>
            <w:r>
              <w:rPr>
                <w:rFonts w:ascii="宋体" w:hAnsi="宋体" w:eastAsia="宋体"/>
                <w:sz w:val="16"/>
              </w:rPr>
              <w:t>疏附县人民检察院</w:t>
            </w:r>
          </w:p>
        </w:tc>
      </w:tr>
      <w:tr w14:paraId="2BF369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FFC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6C3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4F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2A7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C0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07E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C82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6911">
            <w:pPr>
              <w:jc w:val="center"/>
            </w:pPr>
            <w:r>
              <w:rPr>
                <w:rFonts w:ascii="宋体" w:hAnsi="宋体" w:eastAsia="宋体"/>
                <w:sz w:val="16"/>
              </w:rPr>
              <w:t>得分</w:t>
            </w:r>
          </w:p>
        </w:tc>
      </w:tr>
      <w:tr w14:paraId="25C85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DA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2B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9B1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5168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A03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92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E36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1AB0">
            <w:pPr>
              <w:jc w:val="center"/>
            </w:pPr>
            <w:r>
              <w:rPr>
                <w:rFonts w:ascii="宋体" w:hAnsi="宋体" w:eastAsia="宋体"/>
                <w:sz w:val="16"/>
              </w:rPr>
              <w:t>10.00分</w:t>
            </w:r>
          </w:p>
        </w:tc>
      </w:tr>
      <w:tr w14:paraId="1A682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B9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E7C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F6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04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21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4C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0A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D501">
            <w:pPr>
              <w:jc w:val="center"/>
            </w:pPr>
            <w:r>
              <w:rPr>
                <w:rFonts w:ascii="宋体" w:hAnsi="宋体" w:eastAsia="宋体"/>
                <w:sz w:val="16"/>
              </w:rPr>
              <w:t>—</w:t>
            </w:r>
          </w:p>
        </w:tc>
      </w:tr>
      <w:tr w14:paraId="599A1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15D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01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591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3EAE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C58E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18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F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EE26">
            <w:pPr>
              <w:jc w:val="center"/>
            </w:pPr>
            <w:r>
              <w:rPr>
                <w:rFonts w:ascii="宋体" w:hAnsi="宋体" w:eastAsia="宋体"/>
                <w:sz w:val="16"/>
              </w:rPr>
              <w:t>—</w:t>
            </w:r>
          </w:p>
        </w:tc>
      </w:tr>
      <w:tr w14:paraId="4F541D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E24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835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0B71B">
            <w:pPr>
              <w:jc w:val="center"/>
            </w:pPr>
            <w:r>
              <w:rPr>
                <w:rFonts w:ascii="宋体" w:hAnsi="宋体" w:eastAsia="宋体"/>
                <w:sz w:val="16"/>
              </w:rPr>
              <w:t>实际完成情况</w:t>
            </w:r>
          </w:p>
        </w:tc>
      </w:tr>
      <w:tr w14:paraId="3BF69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7EF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708C9">
            <w:pPr>
              <w:jc w:val="both"/>
            </w:pPr>
            <w:r>
              <w:rPr>
                <w:rFonts w:ascii="宋体" w:hAnsi="宋体" w:eastAsia="宋体"/>
                <w:sz w:val="16"/>
              </w:rPr>
              <w:t>项目总资金3万元，用于支付对院内设施设备不少于2次的维修维护费用，项目的实施，将改善院内办公环境，保障单位机关业务正常运转，提高单位工作效率和办案业务质量，立足检察职能促进社会和谐。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8323A6">
            <w:pPr>
              <w:jc w:val="both"/>
            </w:pPr>
            <w:r>
              <w:rPr>
                <w:rFonts w:ascii="宋体" w:hAnsi="宋体" w:eastAsia="宋体"/>
                <w:sz w:val="16"/>
              </w:rPr>
              <w:t>该项目主要用于我院办公楼暖气主管道</w:t>
            </w:r>
            <w:r>
              <w:rPr>
                <w:rFonts w:hint="eastAsia" w:ascii="宋体" w:hAnsi="宋体"/>
                <w:sz w:val="16"/>
                <w:lang w:eastAsia="zh-CN"/>
              </w:rPr>
              <w:t>更换</w:t>
            </w:r>
            <w:r>
              <w:rPr>
                <w:rFonts w:ascii="宋体" w:hAnsi="宋体" w:eastAsia="宋体"/>
                <w:sz w:val="16"/>
              </w:rPr>
              <w:t>与零星维修项目1次，该项目的实施保障了我院综合楼和技侦楼的供暖的正常，有效</w:t>
            </w:r>
            <w:r>
              <w:rPr>
                <w:rFonts w:hint="eastAsia" w:ascii="宋体" w:hAnsi="宋体"/>
                <w:sz w:val="16"/>
                <w:lang w:eastAsia="zh-CN"/>
              </w:rPr>
              <w:t>地</w:t>
            </w:r>
            <w:r>
              <w:rPr>
                <w:rFonts w:ascii="宋体" w:hAnsi="宋体" w:eastAsia="宋体"/>
                <w:sz w:val="16"/>
              </w:rPr>
              <w:t>保障了业务工作的正常运转，提高了检察业务的工作效率，充分发挥了检察机关的职能作用。</w:t>
            </w:r>
          </w:p>
        </w:tc>
      </w:tr>
      <w:tr w14:paraId="39989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F32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93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8B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78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E7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9F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75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BB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AC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AF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EB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85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A7C5">
            <w:pPr>
              <w:jc w:val="center"/>
            </w:pPr>
            <w:r>
              <w:rPr>
                <w:rFonts w:ascii="宋体" w:hAnsi="宋体" w:eastAsia="宋体"/>
                <w:sz w:val="16"/>
              </w:rPr>
              <w:t>偏差原因分析及改进措施</w:t>
            </w:r>
          </w:p>
        </w:tc>
      </w:tr>
      <w:tr w14:paraId="0796A3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1AD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128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CE1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0D70">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BCD3">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28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D2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63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60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45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F299">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AC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05275">
            <w:pPr>
              <w:jc w:val="center"/>
            </w:pPr>
            <w:r>
              <w:rPr>
                <w:rFonts w:ascii="宋体" w:hAnsi="宋体" w:eastAsia="宋体"/>
                <w:sz w:val="16"/>
              </w:rPr>
              <w:t>偏差原因：因年初是根据实际人数设定目标，实际年中有新增人员存在偏离。</w:t>
            </w:r>
          </w:p>
        </w:tc>
      </w:tr>
      <w:tr w14:paraId="3C586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76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AA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DE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7960">
            <w:pPr>
              <w:jc w:val="center"/>
            </w:pPr>
            <w:r>
              <w:rPr>
                <w:rFonts w:ascii="宋体" w:hAnsi="宋体" w:eastAsia="宋体"/>
                <w:sz w:val="16"/>
              </w:rPr>
              <w:t>维修维护次数（次）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F27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6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7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B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A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DA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31A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CA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B862">
            <w:pPr>
              <w:jc w:val="center"/>
            </w:pPr>
          </w:p>
        </w:tc>
      </w:tr>
      <w:tr w14:paraId="41443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11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31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7C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517E">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6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3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EC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1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79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40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B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7F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FBB8">
            <w:pPr>
              <w:jc w:val="center"/>
            </w:pPr>
          </w:p>
        </w:tc>
      </w:tr>
      <w:tr w14:paraId="651D4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D8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E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26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61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D8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B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CA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DB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D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6D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B541">
            <w:pPr>
              <w:jc w:val="center"/>
            </w:pPr>
            <w:r>
              <w:rPr>
                <w:rFonts w:ascii="宋体" w:hAnsi="宋体" w:eastAsia="宋体"/>
                <w:sz w:val="16"/>
              </w:rPr>
              <w:t>=2024年5月10日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1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11B1">
            <w:pPr>
              <w:jc w:val="center"/>
            </w:pPr>
          </w:p>
        </w:tc>
      </w:tr>
      <w:tr w14:paraId="77C53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D3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92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53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87D5">
            <w:pPr>
              <w:jc w:val="center"/>
            </w:pPr>
            <w:r>
              <w:rPr>
                <w:rFonts w:ascii="宋体" w:hAnsi="宋体" w:eastAsia="宋体"/>
                <w:sz w:val="16"/>
              </w:rPr>
              <w:t>每次维修费用（万元）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A67C">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C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7B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EB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5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D0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1FA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749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B26C">
            <w:pPr>
              <w:jc w:val="center"/>
            </w:pPr>
          </w:p>
        </w:tc>
      </w:tr>
      <w:tr w14:paraId="04DB4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9C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10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80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9616">
            <w:pPr>
              <w:jc w:val="center"/>
            </w:pPr>
            <w:r>
              <w:rPr>
                <w:rFonts w:ascii="宋体" w:hAnsi="宋体" w:eastAsia="宋体"/>
                <w:sz w:val="16"/>
              </w:rPr>
              <w:t>提高干部的积极性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E83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A7D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18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87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57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E5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E65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B5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7C344">
            <w:pPr>
              <w:jc w:val="center"/>
            </w:pPr>
          </w:p>
        </w:tc>
      </w:tr>
      <w:tr w14:paraId="1A58D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1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C9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D4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3CF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22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7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2D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6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10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9C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7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99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3307">
            <w:pPr>
              <w:jc w:val="center"/>
            </w:pPr>
            <w:r>
              <w:rPr>
                <w:rFonts w:ascii="宋体" w:hAnsi="宋体" w:eastAsia="宋体"/>
                <w:sz w:val="16"/>
              </w:rPr>
              <w:t>偏差原因：因工作人员对暖气维修改善了办公条件非常满意，是工作人员年初目标值偏低。</w:t>
            </w:r>
          </w:p>
        </w:tc>
      </w:tr>
      <w:tr w14:paraId="05AF2A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ACB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11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4C3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AF36">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F979CD"/>
        </w:tc>
      </w:tr>
    </w:tbl>
    <w:p w14:paraId="316B88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7B5454">
        <w:tblPrEx>
          <w:tblCellMar>
            <w:top w:w="0" w:type="dxa"/>
            <w:left w:w="108" w:type="dxa"/>
            <w:bottom w:w="0" w:type="dxa"/>
            <w:right w:w="108" w:type="dxa"/>
          </w:tblCellMar>
        </w:tblPrEx>
        <w:tc>
          <w:tcPr>
            <w:tcW w:w="8848" w:type="dxa"/>
            <w:gridSpan w:val="14"/>
            <w:vAlign w:val="center"/>
          </w:tcPr>
          <w:p w14:paraId="7CCBCC80">
            <w:pPr>
              <w:jc w:val="center"/>
            </w:pPr>
            <w:r>
              <w:rPr>
                <w:rFonts w:ascii="宋体" w:hAnsi="宋体" w:eastAsia="宋体"/>
                <w:sz w:val="24"/>
              </w:rPr>
              <w:t>项目支出绩效自评表</w:t>
            </w:r>
          </w:p>
        </w:tc>
      </w:tr>
      <w:tr w14:paraId="2EBF8BE1">
        <w:tblPrEx>
          <w:tblCellMar>
            <w:top w:w="0" w:type="dxa"/>
            <w:left w:w="108" w:type="dxa"/>
            <w:bottom w:w="0" w:type="dxa"/>
            <w:right w:w="108" w:type="dxa"/>
          </w:tblCellMar>
        </w:tblPrEx>
        <w:tc>
          <w:tcPr>
            <w:tcW w:w="8848" w:type="dxa"/>
            <w:gridSpan w:val="14"/>
            <w:vAlign w:val="center"/>
          </w:tcPr>
          <w:p w14:paraId="64AC8173">
            <w:pPr>
              <w:jc w:val="center"/>
            </w:pPr>
            <w:r>
              <w:rPr>
                <w:rFonts w:ascii="宋体" w:hAnsi="宋体" w:eastAsia="宋体"/>
                <w:sz w:val="24"/>
              </w:rPr>
              <w:t>(2024年度)</w:t>
            </w:r>
          </w:p>
        </w:tc>
      </w:tr>
      <w:tr w14:paraId="1A3489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C0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D5C5A">
            <w:pPr>
              <w:jc w:val="center"/>
            </w:pPr>
            <w:r>
              <w:rPr>
                <w:rFonts w:ascii="宋体" w:hAnsi="宋体" w:eastAsia="宋体"/>
                <w:sz w:val="16"/>
              </w:rPr>
              <w:t>综合业务保障项目</w:t>
            </w:r>
          </w:p>
        </w:tc>
      </w:tr>
      <w:tr w14:paraId="6D6CD1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3D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0A928">
            <w:pPr>
              <w:jc w:val="center"/>
            </w:pPr>
            <w:r>
              <w:rPr>
                <w:rFonts w:ascii="宋体" w:hAnsi="宋体" w:eastAsia="宋体"/>
                <w:sz w:val="16"/>
              </w:rPr>
              <w:t>疏附县人民检察院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E2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95A70">
            <w:pPr>
              <w:jc w:val="center"/>
            </w:pPr>
            <w:r>
              <w:rPr>
                <w:rFonts w:ascii="宋体" w:hAnsi="宋体" w:eastAsia="宋体"/>
                <w:sz w:val="16"/>
              </w:rPr>
              <w:t>疏附县人民检察院</w:t>
            </w:r>
          </w:p>
        </w:tc>
      </w:tr>
      <w:tr w14:paraId="5E3656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6B2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A9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07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AD0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968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13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AE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F8F6">
            <w:pPr>
              <w:jc w:val="center"/>
            </w:pPr>
            <w:r>
              <w:rPr>
                <w:rFonts w:ascii="宋体" w:hAnsi="宋体" w:eastAsia="宋体"/>
                <w:sz w:val="16"/>
              </w:rPr>
              <w:t>得分</w:t>
            </w:r>
          </w:p>
        </w:tc>
      </w:tr>
      <w:tr w14:paraId="78C33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8A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E1F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51DE">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258D">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70F0">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10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404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4D75">
            <w:pPr>
              <w:jc w:val="center"/>
            </w:pPr>
            <w:r>
              <w:rPr>
                <w:rFonts w:ascii="宋体" w:hAnsi="宋体" w:eastAsia="宋体"/>
                <w:sz w:val="16"/>
              </w:rPr>
              <w:t>10.00分</w:t>
            </w:r>
          </w:p>
        </w:tc>
      </w:tr>
      <w:tr w14:paraId="569DA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1AE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2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15B6B">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9E46">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DDD68">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92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FD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B7C9">
            <w:pPr>
              <w:jc w:val="center"/>
            </w:pPr>
            <w:r>
              <w:rPr>
                <w:rFonts w:ascii="宋体" w:hAnsi="宋体" w:eastAsia="宋体"/>
                <w:sz w:val="16"/>
              </w:rPr>
              <w:t>—</w:t>
            </w:r>
          </w:p>
        </w:tc>
      </w:tr>
      <w:tr w14:paraId="30E7B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59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86C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EC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24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205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8AD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251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13C8">
            <w:pPr>
              <w:jc w:val="center"/>
            </w:pPr>
            <w:r>
              <w:rPr>
                <w:rFonts w:ascii="宋体" w:hAnsi="宋体" w:eastAsia="宋体"/>
                <w:sz w:val="16"/>
              </w:rPr>
              <w:t>—</w:t>
            </w:r>
          </w:p>
        </w:tc>
      </w:tr>
      <w:tr w14:paraId="5A3C5C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EFE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948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06E353">
            <w:pPr>
              <w:jc w:val="center"/>
            </w:pPr>
            <w:r>
              <w:rPr>
                <w:rFonts w:ascii="宋体" w:hAnsi="宋体" w:eastAsia="宋体"/>
                <w:sz w:val="16"/>
              </w:rPr>
              <w:t>实际完成情况</w:t>
            </w:r>
          </w:p>
        </w:tc>
      </w:tr>
      <w:tr w14:paraId="7426C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4F6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5290A">
            <w:pPr>
              <w:jc w:val="both"/>
            </w:pPr>
            <w:r>
              <w:rPr>
                <w:rFonts w:ascii="宋体" w:hAnsi="宋体" w:eastAsia="宋体"/>
                <w:sz w:val="16"/>
              </w:rPr>
              <w:t>项目总资金12.95万元，用于机关综合业务保障食堂运转10万元及开展暖警爱警关心关爱慰问、活动等其他商品服务支出2.95万元。项目实施有效保障机关的运转，将暖警爱警工作落到实处，提高工作人员积极性，立足检察职能提高工作效率，有力维护社会公平，工作人员满意度预计能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F4A02D">
            <w:pPr>
              <w:jc w:val="both"/>
            </w:pPr>
            <w:r>
              <w:rPr>
                <w:rFonts w:ascii="宋体" w:hAnsi="宋体" w:eastAsia="宋体"/>
                <w:sz w:val="16"/>
              </w:rPr>
              <w:t>本项目资金12.95万元，用于机关综合业务保障食堂运转及开展暖警爱警关心关爱慰问、活动等改善了后勤保障支出。通过项目的实施有效保障了机关的运转，将暖警爱警工作落到实处，提高了工作人员积极性，为检察机关顺利开展检察工作，全面依法履职，打击各类犯罪，有效降低犯罪率，提供了保障。</w:t>
            </w:r>
          </w:p>
        </w:tc>
      </w:tr>
      <w:tr w14:paraId="110D2C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C2C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6D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92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62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DA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4B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ED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CD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02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3D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8F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E9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9FD7">
            <w:pPr>
              <w:jc w:val="center"/>
            </w:pPr>
            <w:r>
              <w:rPr>
                <w:rFonts w:ascii="宋体" w:hAnsi="宋体" w:eastAsia="宋体"/>
                <w:sz w:val="16"/>
              </w:rPr>
              <w:t>偏差原因分析及改进措施</w:t>
            </w:r>
          </w:p>
        </w:tc>
      </w:tr>
      <w:tr w14:paraId="164813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30D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C29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DAE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2E9E">
            <w:pPr>
              <w:jc w:val="center"/>
            </w:pPr>
            <w:r>
              <w:rPr>
                <w:rFonts w:ascii="宋体" w:hAnsi="宋体" w:eastAsia="宋体"/>
                <w:sz w:val="16"/>
              </w:rPr>
              <w:t>保障办公人员数量（人）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BFD1">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7A4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45DE">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92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09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2F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FED7">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8A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FFFC">
            <w:pPr>
              <w:jc w:val="center"/>
            </w:pPr>
            <w:r>
              <w:rPr>
                <w:rFonts w:ascii="宋体" w:hAnsi="宋体" w:eastAsia="宋体"/>
                <w:sz w:val="16"/>
              </w:rPr>
              <w:t>偏差原因：是2024年中</w:t>
            </w:r>
            <w:r>
              <w:rPr>
                <w:rFonts w:hint="eastAsia" w:ascii="宋体" w:hAnsi="宋体"/>
                <w:sz w:val="16"/>
                <w:lang w:val="en-US" w:eastAsia="zh-CN"/>
              </w:rPr>
              <w:t>增加</w:t>
            </w:r>
            <w:r>
              <w:rPr>
                <w:rFonts w:ascii="宋体" w:hAnsi="宋体" w:eastAsia="宋体"/>
                <w:sz w:val="16"/>
              </w:rPr>
              <w:t>1名公务员，较年初预算增加1人</w:t>
            </w:r>
          </w:p>
        </w:tc>
      </w:tr>
      <w:tr w14:paraId="70B57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44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67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57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613D">
            <w:pPr>
              <w:jc w:val="center"/>
            </w:pPr>
            <w:r>
              <w:rPr>
                <w:rFonts w:ascii="宋体" w:hAnsi="宋体" w:eastAsia="宋体"/>
                <w:sz w:val="16"/>
              </w:rPr>
              <w:t>物品购置批数（次）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0C70">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E4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A90D">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4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6A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A9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68CB">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5A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47E4">
            <w:pPr>
              <w:jc w:val="center"/>
            </w:pPr>
            <w:r>
              <w:rPr>
                <w:rFonts w:ascii="宋体" w:hAnsi="宋体" w:eastAsia="宋体"/>
                <w:sz w:val="16"/>
              </w:rPr>
              <w:t>偏差原因：年初预算不精准，后期加强预算监督管理体系，做好预期目标计划</w:t>
            </w:r>
          </w:p>
        </w:tc>
      </w:tr>
      <w:tr w14:paraId="09369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87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0E5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9D6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3853">
            <w:pPr>
              <w:jc w:val="center"/>
            </w:pPr>
            <w:r>
              <w:rPr>
                <w:rFonts w:ascii="宋体" w:hAnsi="宋体" w:eastAsia="宋体"/>
                <w:sz w:val="16"/>
              </w:rPr>
              <w:t>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7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F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5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50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A1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C1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1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D4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7FE44">
            <w:pPr>
              <w:jc w:val="center"/>
            </w:pPr>
          </w:p>
        </w:tc>
      </w:tr>
      <w:tr w14:paraId="6D706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08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3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86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1FF6">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8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F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4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89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A6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6F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1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23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A039">
            <w:pPr>
              <w:jc w:val="center"/>
            </w:pPr>
          </w:p>
        </w:tc>
      </w:tr>
      <w:tr w14:paraId="0AA74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21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4A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C2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E8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3EE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8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B7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A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F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F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6B9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1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6DD2">
            <w:pPr>
              <w:jc w:val="center"/>
            </w:pPr>
          </w:p>
        </w:tc>
      </w:tr>
      <w:tr w14:paraId="70BBD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88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73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21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2E4C">
            <w:pPr>
              <w:jc w:val="center"/>
            </w:pPr>
            <w:r>
              <w:rPr>
                <w:rFonts w:ascii="宋体" w:hAnsi="宋体" w:eastAsia="宋体"/>
                <w:sz w:val="16"/>
              </w:rPr>
              <w:t>每次采购物品费用（万元）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78A8">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82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E6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2B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7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D4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9254">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99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B452A">
            <w:pPr>
              <w:jc w:val="center"/>
            </w:pPr>
          </w:p>
        </w:tc>
      </w:tr>
      <w:tr w14:paraId="67000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B1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07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EB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435D">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0B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2F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94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45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C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68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7B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39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3C1BA">
            <w:pPr>
              <w:jc w:val="center"/>
            </w:pPr>
          </w:p>
        </w:tc>
      </w:tr>
      <w:tr w14:paraId="41AA3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46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FB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60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C2F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0F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4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3F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5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95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9F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9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03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E09A4">
            <w:pPr>
              <w:jc w:val="center"/>
            </w:pPr>
            <w:r>
              <w:rPr>
                <w:rFonts w:ascii="宋体" w:hAnsi="宋体" w:eastAsia="宋体"/>
                <w:sz w:val="16"/>
              </w:rPr>
              <w:t>偏差原因：2024年单位加强了人员管理，后勤工作</w:t>
            </w:r>
            <w:r>
              <w:rPr>
                <w:rFonts w:hint="eastAsia" w:ascii="宋体" w:hAnsi="宋体"/>
                <w:sz w:val="16"/>
                <w:lang w:eastAsia="zh-CN"/>
              </w:rPr>
              <w:t>得</w:t>
            </w:r>
            <w:r>
              <w:rPr>
                <w:rFonts w:ascii="宋体" w:hAnsi="宋体" w:eastAsia="宋体"/>
                <w:sz w:val="16"/>
              </w:rPr>
              <w:t>到了提高，干警满意度提高。</w:t>
            </w:r>
          </w:p>
        </w:tc>
      </w:tr>
      <w:tr w14:paraId="3D6138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BAC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06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7051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E233">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34C0F0"/>
        </w:tc>
      </w:tr>
    </w:tbl>
    <w:p w14:paraId="0C8638C2">
      <w:r>
        <w:br w:type="page"/>
      </w:r>
    </w:p>
    <w:p w14:paraId="657C09CF">
      <w:pPr>
        <w:spacing w:line="640" w:lineRule="exact"/>
        <w:ind w:firstLine="640"/>
        <w:jc w:val="both"/>
        <w:outlineLvl w:val="2"/>
      </w:pPr>
      <w:r>
        <w:rPr>
          <w:rFonts w:ascii="黑体" w:hAnsi="黑体" w:eastAsia="黑体"/>
          <w:sz w:val="32"/>
        </w:rPr>
        <w:t>十二、其他需说明的事项</w:t>
      </w:r>
    </w:p>
    <w:p w14:paraId="14E33ACD">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项目4个，全年预算数259.19万元，全年执行数259.19万元。</w:t>
      </w:r>
    </w:p>
    <w:p w14:paraId="5CEF267A">
      <w:r>
        <w:br w:type="page"/>
      </w:r>
      <w:bookmarkStart w:id="0" w:name="_GoBack"/>
      <w:bookmarkEnd w:id="0"/>
    </w:p>
    <w:p w14:paraId="68A2EBB3">
      <w:pPr>
        <w:spacing w:line="240" w:lineRule="auto"/>
        <w:jc w:val="center"/>
        <w:outlineLvl w:val="1"/>
      </w:pPr>
      <w:r>
        <w:rPr>
          <w:rFonts w:ascii="黑体" w:hAnsi="黑体" w:eastAsia="黑体"/>
          <w:sz w:val="32"/>
        </w:rPr>
        <w:t>第三部分 专业名词解释</w:t>
      </w:r>
    </w:p>
    <w:p w14:paraId="7457E2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5816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3DA8F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684D8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0794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B595D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AB5AD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6696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53FE8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4DF04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07F7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4599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C230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3DB8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213980">
      <w:r>
        <w:br w:type="page"/>
      </w:r>
    </w:p>
    <w:p w14:paraId="7989CCA5">
      <w:pPr>
        <w:spacing w:line="240" w:lineRule="auto"/>
        <w:jc w:val="center"/>
        <w:outlineLvl w:val="1"/>
      </w:pPr>
      <w:r>
        <w:rPr>
          <w:rFonts w:ascii="黑体" w:hAnsi="黑体" w:eastAsia="黑体"/>
          <w:sz w:val="32"/>
        </w:rPr>
        <w:t>第四部分 部门决算报表（见附表）</w:t>
      </w:r>
    </w:p>
    <w:p w14:paraId="28FE6ACC">
      <w:pPr>
        <w:spacing w:line="240" w:lineRule="auto"/>
        <w:ind w:firstLine="640"/>
        <w:jc w:val="both"/>
      </w:pPr>
      <w:r>
        <w:rPr>
          <w:rFonts w:ascii="仿宋_GB2312" w:hAnsi="仿宋_GB2312" w:eastAsia="仿宋_GB2312"/>
          <w:b w:val="0"/>
          <w:sz w:val="32"/>
        </w:rPr>
        <w:t>一、《收入支出决算总表》</w:t>
      </w:r>
    </w:p>
    <w:p w14:paraId="03FD4E49">
      <w:pPr>
        <w:spacing w:line="240" w:lineRule="auto"/>
        <w:ind w:firstLine="640"/>
        <w:jc w:val="both"/>
      </w:pPr>
      <w:r>
        <w:rPr>
          <w:rFonts w:ascii="仿宋_GB2312" w:hAnsi="仿宋_GB2312" w:eastAsia="仿宋_GB2312"/>
          <w:b w:val="0"/>
          <w:sz w:val="32"/>
        </w:rPr>
        <w:t>二、《收入决算表》</w:t>
      </w:r>
    </w:p>
    <w:p w14:paraId="12A7782F">
      <w:pPr>
        <w:spacing w:line="240" w:lineRule="auto"/>
        <w:ind w:firstLine="640"/>
        <w:jc w:val="both"/>
      </w:pPr>
      <w:r>
        <w:rPr>
          <w:rFonts w:ascii="仿宋_GB2312" w:hAnsi="仿宋_GB2312" w:eastAsia="仿宋_GB2312"/>
          <w:b w:val="0"/>
          <w:sz w:val="32"/>
        </w:rPr>
        <w:t>三、《支出决算表》</w:t>
      </w:r>
    </w:p>
    <w:p w14:paraId="735E3C8B">
      <w:pPr>
        <w:spacing w:line="240" w:lineRule="auto"/>
        <w:ind w:firstLine="640"/>
        <w:jc w:val="both"/>
      </w:pPr>
      <w:r>
        <w:rPr>
          <w:rFonts w:ascii="仿宋_GB2312" w:hAnsi="仿宋_GB2312" w:eastAsia="仿宋_GB2312"/>
          <w:b w:val="0"/>
          <w:sz w:val="32"/>
        </w:rPr>
        <w:t>四、《财政拨款收入支出决算总表》</w:t>
      </w:r>
    </w:p>
    <w:p w14:paraId="60979DBF">
      <w:pPr>
        <w:spacing w:line="240" w:lineRule="auto"/>
        <w:ind w:firstLine="640"/>
        <w:jc w:val="both"/>
      </w:pPr>
      <w:r>
        <w:rPr>
          <w:rFonts w:ascii="仿宋_GB2312" w:hAnsi="仿宋_GB2312" w:eastAsia="仿宋_GB2312"/>
          <w:b w:val="0"/>
          <w:sz w:val="32"/>
        </w:rPr>
        <w:t>五、《一般公共预算财政拨款支出决算表》</w:t>
      </w:r>
    </w:p>
    <w:p w14:paraId="78F47228">
      <w:pPr>
        <w:spacing w:line="240" w:lineRule="auto"/>
        <w:ind w:firstLine="640"/>
        <w:jc w:val="both"/>
      </w:pPr>
      <w:r>
        <w:rPr>
          <w:rFonts w:ascii="仿宋_GB2312" w:hAnsi="仿宋_GB2312" w:eastAsia="仿宋_GB2312"/>
          <w:b w:val="0"/>
          <w:sz w:val="32"/>
        </w:rPr>
        <w:t>六、《一般公共预算财政拨款基本支出决算表》</w:t>
      </w:r>
    </w:p>
    <w:p w14:paraId="1FD4FBD0">
      <w:pPr>
        <w:spacing w:line="240" w:lineRule="auto"/>
        <w:ind w:firstLine="640"/>
        <w:jc w:val="both"/>
      </w:pPr>
      <w:r>
        <w:rPr>
          <w:rFonts w:ascii="仿宋_GB2312" w:hAnsi="仿宋_GB2312" w:eastAsia="仿宋_GB2312"/>
          <w:b w:val="0"/>
          <w:sz w:val="32"/>
        </w:rPr>
        <w:t>七、《政府性基金预算财政拨款收入支出决算表》</w:t>
      </w:r>
    </w:p>
    <w:p w14:paraId="5B5269BE">
      <w:pPr>
        <w:spacing w:line="240" w:lineRule="auto"/>
        <w:ind w:firstLine="640"/>
        <w:jc w:val="both"/>
      </w:pPr>
      <w:r>
        <w:rPr>
          <w:rFonts w:ascii="仿宋_GB2312" w:hAnsi="仿宋_GB2312" w:eastAsia="仿宋_GB2312"/>
          <w:b w:val="0"/>
          <w:sz w:val="32"/>
        </w:rPr>
        <w:t>八、《国有资本经营预算财政拨款收入支出决算表》</w:t>
      </w:r>
    </w:p>
    <w:p w14:paraId="66D22133">
      <w:pPr>
        <w:spacing w:line="240" w:lineRule="auto"/>
        <w:ind w:firstLine="640"/>
        <w:jc w:val="both"/>
      </w:pPr>
      <w:r>
        <w:rPr>
          <w:rFonts w:ascii="仿宋_GB2312" w:hAnsi="仿宋_GB2312" w:eastAsia="仿宋_GB2312"/>
          <w:b w:val="0"/>
          <w:sz w:val="32"/>
        </w:rPr>
        <w:t>九、《财政拨款“三公”经费支出决算表》</w:t>
      </w:r>
    </w:p>
    <w:p w14:paraId="02C564C0">
      <w:pPr>
        <w:spacing w:line="240" w:lineRule="auto"/>
        <w:ind w:firstLine="640"/>
        <w:jc w:val="both"/>
      </w:pPr>
    </w:p>
    <w:p w14:paraId="63B816D0">
      <w:pPr>
        <w:spacing w:line="240" w:lineRule="auto"/>
        <w:ind w:firstLine="640"/>
        <w:jc w:val="both"/>
      </w:pPr>
    </w:p>
    <w:p w14:paraId="286A5AE6">
      <w:pPr>
        <w:spacing w:line="240" w:lineRule="auto"/>
        <w:ind w:firstLine="640"/>
        <w:jc w:val="both"/>
      </w:pPr>
    </w:p>
    <w:p w14:paraId="0D0B32C0">
      <w:pPr>
        <w:spacing w:line="240" w:lineRule="auto"/>
        <w:ind w:firstLine="640"/>
        <w:jc w:val="both"/>
      </w:pPr>
    </w:p>
    <w:p w14:paraId="28B789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05874D-B174-41E5-A14F-39FF6ACB0D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8D1F82B-07D0-49E6-AB69-D7D872B8CF11}"/>
  </w:font>
  <w:font w:name="方正小标宋_GBK">
    <w:panose1 w:val="02000000000000000000"/>
    <w:charset w:val="86"/>
    <w:family w:val="script"/>
    <w:pitch w:val="default"/>
    <w:sig w:usb0="A00002BF" w:usb1="38CF7CFA" w:usb2="00082016" w:usb3="00000000" w:csb0="00040001" w:csb1="00000000"/>
    <w:embedRegular r:id="rId3" w:fontKey="{6A437A65-270F-43AF-82B6-017B9017685A}"/>
  </w:font>
  <w:font w:name="楷体_GB2312">
    <w:panose1 w:val="02010609030101010101"/>
    <w:charset w:val="86"/>
    <w:family w:val="auto"/>
    <w:pitch w:val="default"/>
    <w:sig w:usb0="00000001" w:usb1="080E0000" w:usb2="00000000" w:usb3="00000000" w:csb0="00040000" w:csb1="00000000"/>
    <w:embedRegular r:id="rId4" w:fontKey="{3C5B7303-2335-402C-8D8B-68CA1BF9300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533286"/>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DF4FCC"/>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95DEB"/>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6458</Words>
  <Characters>7485</Characters>
  <Lines>0</Lines>
  <Paragraphs>0</Paragraphs>
  <TotalTime>4</TotalTime>
  <ScaleCrop>false</ScaleCrop>
  <LinksUpToDate>false</LinksUpToDate>
  <CharactersWithSpaces>7496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