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疏附县人民法院2024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AEE66F1">
      <w:r>
        <w:br w:type="page"/>
      </w:r>
    </w:p>
    <w:p w14:paraId="300AD116">
      <w:pPr>
        <w:spacing w:line="640" w:lineRule="exact"/>
        <w:jc w:val="center"/>
        <w:outlineLvl w:val="1"/>
      </w:pPr>
      <w:r>
        <w:rPr>
          <w:rFonts w:ascii="黑体" w:hAnsi="黑体" w:eastAsia="黑体"/>
          <w:sz w:val="32"/>
        </w:rPr>
        <w:t>第一部分 部门概况</w:t>
      </w:r>
    </w:p>
    <w:p w14:paraId="4204E279">
      <w:pPr>
        <w:spacing w:line="640" w:lineRule="exact"/>
        <w:ind w:firstLine="640"/>
        <w:jc w:val="both"/>
        <w:outlineLvl w:val="2"/>
      </w:pPr>
      <w:r>
        <w:rPr>
          <w:rFonts w:ascii="黑体" w:hAnsi="黑体" w:eastAsia="黑体"/>
          <w:sz w:val="32"/>
        </w:rPr>
        <w:t>一、主要职能</w:t>
      </w:r>
    </w:p>
    <w:p w14:paraId="5D593BC3">
      <w:pPr>
        <w:spacing w:line="580" w:lineRule="exact"/>
        <w:ind w:firstLine="640"/>
        <w:jc w:val="both"/>
      </w:pPr>
      <w:r>
        <w:rPr>
          <w:rFonts w:ascii="仿宋_GB2312" w:hAnsi="仿宋_GB2312" w:eastAsia="仿宋_GB2312"/>
          <w:sz w:val="32"/>
        </w:rPr>
        <w:t>（1）依据宪法独立行使审判权，依法履行审判职能。</w:t>
      </w:r>
    </w:p>
    <w:p w14:paraId="20F111AE">
      <w:pPr>
        <w:spacing w:line="580" w:lineRule="exact"/>
        <w:ind w:firstLine="640"/>
        <w:jc w:val="both"/>
      </w:pPr>
      <w:r>
        <w:rPr>
          <w:rFonts w:ascii="仿宋_GB2312" w:hAnsi="仿宋_GB2312" w:eastAsia="仿宋_GB2312"/>
          <w:sz w:val="32"/>
        </w:rPr>
        <w:t>（2）依法审理各类一审刑事案件，惩办一切犯罪分子，维护社会</w:t>
      </w:r>
      <w:r>
        <w:rPr>
          <w:rFonts w:hint="eastAsia" w:ascii="仿宋_GB2312" w:hAnsi="仿宋_GB2312" w:eastAsia="仿宋_GB2312"/>
          <w:sz w:val="32"/>
          <w:lang w:val="en-US" w:eastAsia="zh-CN"/>
        </w:rPr>
        <w:t>稳定</w:t>
      </w:r>
      <w:r>
        <w:rPr>
          <w:rFonts w:ascii="仿宋_GB2312" w:hAnsi="仿宋_GB2312" w:eastAsia="仿宋_GB2312"/>
          <w:sz w:val="32"/>
        </w:rPr>
        <w:t>。</w:t>
      </w:r>
    </w:p>
    <w:p w14:paraId="624CB424">
      <w:pPr>
        <w:spacing w:line="580" w:lineRule="exact"/>
        <w:ind w:firstLine="640"/>
        <w:jc w:val="both"/>
      </w:pPr>
      <w:r>
        <w:rPr>
          <w:rFonts w:ascii="仿宋_GB2312" w:hAnsi="仿宋_GB2312" w:eastAsia="仿宋_GB2312"/>
          <w:sz w:val="32"/>
        </w:rPr>
        <w:t>（3）依法审理各类一审民事案件，解决民事纠纷，保护公民法人的合法权益。</w:t>
      </w:r>
    </w:p>
    <w:p w14:paraId="41172BB5">
      <w:pPr>
        <w:spacing w:line="580" w:lineRule="exact"/>
        <w:ind w:firstLine="640"/>
        <w:jc w:val="both"/>
      </w:pPr>
      <w:r>
        <w:rPr>
          <w:rFonts w:ascii="仿宋_GB2312" w:hAnsi="仿宋_GB2312" w:eastAsia="仿宋_GB2312"/>
          <w:sz w:val="32"/>
        </w:rPr>
        <w:t>（4）依法审理各类一审经济纠纷案件，调节经济关系，维护社会经济秩序，保障我县经济健康发展。</w:t>
      </w:r>
    </w:p>
    <w:p w14:paraId="57181A6A">
      <w:pPr>
        <w:spacing w:line="580" w:lineRule="exact"/>
        <w:ind w:firstLine="640"/>
        <w:jc w:val="both"/>
      </w:pPr>
      <w:r>
        <w:rPr>
          <w:rFonts w:ascii="仿宋_GB2312" w:hAnsi="仿宋_GB2312" w:eastAsia="仿宋_GB2312"/>
          <w:sz w:val="32"/>
        </w:rPr>
        <w:t>（5）依法审理各类一审诉讼案件，保护公民、法人和其他组织的合法权益、监督和支持行政机关依法行使职权。</w:t>
      </w:r>
    </w:p>
    <w:p w14:paraId="4AD76A86">
      <w:pPr>
        <w:spacing w:line="580" w:lineRule="exact"/>
        <w:ind w:firstLine="640"/>
        <w:jc w:val="both"/>
      </w:pPr>
      <w:r>
        <w:rPr>
          <w:rFonts w:ascii="仿宋_GB2312" w:hAnsi="仿宋_GB2312" w:eastAsia="仿宋_GB2312"/>
          <w:sz w:val="32"/>
        </w:rPr>
        <w:t>（6）审理各类依照法律应当由基层人民法院按照再审程序审理的案件。</w:t>
      </w:r>
    </w:p>
    <w:p w14:paraId="1E739A0B">
      <w:pPr>
        <w:spacing w:line="580" w:lineRule="exact"/>
        <w:ind w:firstLine="640"/>
        <w:jc w:val="both"/>
      </w:pPr>
      <w:r>
        <w:rPr>
          <w:rFonts w:ascii="仿宋_GB2312" w:hAnsi="仿宋_GB2312" w:eastAsia="仿宋_GB2312"/>
          <w:sz w:val="32"/>
        </w:rPr>
        <w:t>（7）依法审理中级人民法院批准或指定的由我院审判的刑事、民事、经济、行政等案件。</w:t>
      </w:r>
    </w:p>
    <w:p w14:paraId="2D1494D5">
      <w:pPr>
        <w:spacing w:line="580" w:lineRule="exact"/>
        <w:ind w:firstLine="640"/>
        <w:jc w:val="both"/>
      </w:pPr>
      <w:r>
        <w:rPr>
          <w:rFonts w:ascii="仿宋_GB2312" w:hAnsi="仿宋_GB2312" w:eastAsia="仿宋_GB2312"/>
          <w:sz w:val="32"/>
        </w:rPr>
        <w:t>（8）负责指导农村人民调解委员会的工作。</w:t>
      </w:r>
    </w:p>
    <w:p w14:paraId="00867D49">
      <w:pPr>
        <w:spacing w:line="580" w:lineRule="exact"/>
        <w:ind w:firstLine="640"/>
        <w:jc w:val="both"/>
      </w:pPr>
      <w:r>
        <w:rPr>
          <w:rFonts w:ascii="仿宋_GB2312" w:hAnsi="仿宋_GB2312" w:eastAsia="仿宋_GB2312"/>
          <w:sz w:val="32"/>
        </w:rPr>
        <w:t>（9）主动接受上级人民法院的领导，在上级人民法院的统一领导下，开展审判业务工作。</w:t>
      </w:r>
    </w:p>
    <w:p w14:paraId="153F5FD1">
      <w:pPr>
        <w:spacing w:line="580" w:lineRule="exact"/>
        <w:ind w:firstLine="640"/>
        <w:jc w:val="both"/>
      </w:pPr>
      <w:r>
        <w:rPr>
          <w:rFonts w:ascii="仿宋_GB2312" w:hAnsi="仿宋_GB2312" w:eastAsia="仿宋_GB2312"/>
          <w:sz w:val="32"/>
        </w:rPr>
        <w:t>（10）主动接受党委的领导，依法接受疏附县人民代表大会及其常务委员会的监督，向疏附县人民代表大会及其常务委员会负责并报告工作；依法向疏附县人民代表大会及其常务委员会提出方案，接受同级人大常委会的质询。</w:t>
      </w:r>
    </w:p>
    <w:p w14:paraId="76376FBB">
      <w:pPr>
        <w:spacing w:line="580" w:lineRule="exact"/>
        <w:ind w:firstLine="640"/>
        <w:jc w:val="both"/>
      </w:pPr>
      <w:r>
        <w:rPr>
          <w:rFonts w:ascii="仿宋_GB2312" w:hAnsi="仿宋_GB2312" w:eastAsia="仿宋_GB2312"/>
          <w:sz w:val="32"/>
        </w:rPr>
        <w:t>（11）指导各基层人民法庭的审判业务、思想政治、教育培训工作，按照权限管理法官、书记员、司法警察及司法行政人员。</w:t>
      </w:r>
    </w:p>
    <w:p w14:paraId="0457A7F9">
      <w:pPr>
        <w:spacing w:line="580" w:lineRule="exact"/>
        <w:ind w:firstLine="640"/>
        <w:jc w:val="both"/>
      </w:pPr>
      <w:r>
        <w:rPr>
          <w:rFonts w:ascii="仿宋_GB2312" w:hAnsi="仿宋_GB2312" w:eastAsia="仿宋_GB2312"/>
          <w:sz w:val="32"/>
        </w:rPr>
        <w:t>（12）利用审判活动，积极开展法治宣传教育，提高公民法律意识和守法观念。</w:t>
      </w:r>
    </w:p>
    <w:p w14:paraId="22F1F4C9">
      <w:pPr>
        <w:spacing w:line="580" w:lineRule="exact"/>
        <w:ind w:firstLine="640"/>
        <w:jc w:val="both"/>
      </w:pPr>
      <w:r>
        <w:rPr>
          <w:rFonts w:ascii="仿宋_GB2312" w:hAnsi="仿宋_GB2312" w:eastAsia="仿宋_GB2312"/>
          <w:sz w:val="32"/>
        </w:rPr>
        <w:t>（13）开展审判工作研究，积极总结和探索基层人民法院审判工作以及改革、建设的经验。</w:t>
      </w:r>
    </w:p>
    <w:p w14:paraId="35217118">
      <w:pPr>
        <w:spacing w:line="580" w:lineRule="exact"/>
        <w:ind w:firstLine="640"/>
        <w:jc w:val="both"/>
      </w:pPr>
      <w:r>
        <w:rPr>
          <w:rFonts w:ascii="仿宋_GB2312" w:hAnsi="仿宋_GB2312" w:eastAsia="仿宋_GB2312"/>
          <w:sz w:val="32"/>
        </w:rPr>
        <w:t>（14）在县党委领导下开展党风廉政建设、社会治安综合治理、精神文明创建等各项工作。</w:t>
      </w:r>
    </w:p>
    <w:p w14:paraId="21919C34">
      <w:pPr>
        <w:spacing w:line="580" w:lineRule="exact"/>
        <w:ind w:firstLine="640"/>
        <w:jc w:val="both"/>
      </w:pPr>
      <w:r>
        <w:rPr>
          <w:rFonts w:ascii="仿宋_GB2312" w:hAnsi="仿宋_GB2312" w:eastAsia="仿宋_GB2312"/>
          <w:sz w:val="32"/>
        </w:rPr>
        <w:t>（15）依照规定，向疏附县人民代表大会常务委员会提请任免本院的副院长、审判委员会委员、审判员，协同县委主管部门和人大考核本院的院长、副院长、审判委员会委员、审判员。</w:t>
      </w:r>
    </w:p>
    <w:p w14:paraId="1675ADD1">
      <w:pPr>
        <w:spacing w:line="640" w:lineRule="exact"/>
        <w:ind w:firstLine="640"/>
        <w:jc w:val="both"/>
        <w:outlineLvl w:val="2"/>
      </w:pPr>
      <w:r>
        <w:rPr>
          <w:rFonts w:ascii="黑体" w:hAnsi="黑体" w:eastAsia="黑体"/>
          <w:sz w:val="32"/>
        </w:rPr>
        <w:t>二、机构设置及人员情况</w:t>
      </w:r>
    </w:p>
    <w:p w14:paraId="1B5AFC55">
      <w:pPr>
        <w:spacing w:line="580" w:lineRule="exact"/>
        <w:ind w:firstLine="640"/>
        <w:jc w:val="both"/>
      </w:pPr>
      <w:r>
        <w:rPr>
          <w:rFonts w:ascii="仿宋_GB2312" w:hAnsi="仿宋_GB2312" w:eastAsia="仿宋_GB2312"/>
          <w:sz w:val="32"/>
        </w:rPr>
        <w:t>疏附县人民法院2024年度，实有人数99人，其中：在职人员66人，减少1人；离休人员0人，增加0人；退休人员33人,增加3人。</w:t>
      </w:r>
    </w:p>
    <w:p w14:paraId="52B77F89">
      <w:pPr>
        <w:spacing w:line="580" w:lineRule="exact"/>
        <w:ind w:firstLine="640"/>
        <w:jc w:val="both"/>
      </w:pPr>
      <w:r>
        <w:rPr>
          <w:rFonts w:ascii="仿宋_GB2312" w:hAnsi="仿宋_GB2312" w:eastAsia="仿宋_GB2312"/>
          <w:sz w:val="32"/>
        </w:rPr>
        <w:t>疏附县人民法院无下属预算单位，下设12个科室，分别是：政治部、综合办公室（法警大队）、审判管理办公室、行政审判庭、刑事审判庭、民事审判庭、立案庭、布拉克苏人民法庭、乌帕尔人民法庭、木什人民法庭、塔什米力克人民法庭、执行局。</w:t>
      </w:r>
    </w:p>
    <w:p w14:paraId="75991E57">
      <w:r>
        <w:br w:type="page"/>
      </w:r>
    </w:p>
    <w:p w14:paraId="547FB5D2">
      <w:pPr>
        <w:spacing w:line="240" w:lineRule="auto"/>
        <w:jc w:val="center"/>
        <w:outlineLvl w:val="1"/>
      </w:pPr>
      <w:r>
        <w:rPr>
          <w:rFonts w:ascii="黑体" w:hAnsi="黑体" w:eastAsia="黑体"/>
          <w:sz w:val="32"/>
        </w:rPr>
        <w:t>第二部分 部门决算情况说明</w:t>
      </w:r>
    </w:p>
    <w:p w14:paraId="230F27C4">
      <w:pPr>
        <w:spacing w:line="640" w:lineRule="exact"/>
        <w:ind w:firstLine="640"/>
        <w:jc w:val="both"/>
        <w:outlineLvl w:val="2"/>
      </w:pPr>
      <w:r>
        <w:rPr>
          <w:rFonts w:ascii="黑体" w:hAnsi="黑体" w:eastAsia="黑体"/>
          <w:sz w:val="32"/>
        </w:rPr>
        <w:t>一、收入支出决算总体情况说明</w:t>
      </w:r>
    </w:p>
    <w:p w14:paraId="0DC7F16C">
      <w:pPr>
        <w:spacing w:line="580" w:lineRule="exact"/>
        <w:ind w:firstLine="640"/>
        <w:jc w:val="both"/>
      </w:pPr>
      <w:r>
        <w:rPr>
          <w:rFonts w:ascii="仿宋_GB2312" w:hAnsi="仿宋_GB2312" w:eastAsia="仿宋_GB2312"/>
          <w:b/>
          <w:sz w:val="32"/>
        </w:rPr>
        <w:t>2024年度收入总计2,111.29万元，</w:t>
      </w:r>
      <w:r>
        <w:rPr>
          <w:rFonts w:ascii="仿宋_GB2312" w:hAnsi="仿宋_GB2312" w:eastAsia="仿宋_GB2312"/>
          <w:b w:val="0"/>
          <w:sz w:val="32"/>
        </w:rPr>
        <w:t>其中：本年收入合计2,098.83万元，使用非财政拨款结余（含专用结余）0.00万元，年初结转和结余12.46万元。</w:t>
      </w:r>
    </w:p>
    <w:p w14:paraId="21005530">
      <w:pPr>
        <w:spacing w:line="580" w:lineRule="exact"/>
        <w:ind w:firstLine="640"/>
        <w:jc w:val="both"/>
      </w:pPr>
      <w:r>
        <w:rPr>
          <w:rFonts w:ascii="仿宋_GB2312" w:hAnsi="仿宋_GB2312" w:eastAsia="仿宋_GB2312"/>
          <w:b/>
          <w:sz w:val="32"/>
        </w:rPr>
        <w:t>2024年度支出总计2,111.29万元，</w:t>
      </w:r>
      <w:r>
        <w:rPr>
          <w:rFonts w:ascii="仿宋_GB2312" w:hAnsi="仿宋_GB2312" w:eastAsia="仿宋_GB2312"/>
          <w:b w:val="0"/>
          <w:sz w:val="32"/>
        </w:rPr>
        <w:t>其中：本年支出合计2,095.74万元，结余分配0.00万元，年末结转和结余15.56万元。</w:t>
      </w:r>
    </w:p>
    <w:p w14:paraId="17A880B0">
      <w:pPr>
        <w:spacing w:line="580" w:lineRule="exact"/>
        <w:ind w:firstLine="640"/>
        <w:jc w:val="both"/>
      </w:pPr>
      <w:r>
        <w:rPr>
          <w:rFonts w:ascii="仿宋_GB2312" w:hAnsi="仿宋_GB2312" w:eastAsia="仿宋_GB2312"/>
          <w:b w:val="0"/>
          <w:sz w:val="32"/>
        </w:rPr>
        <w:t>收入支出总体与上年相比，减少225.58万元，下降9.65%，主要原因是：一是本年在职人员减少，相关人员经费较上年减少；二是本年援疆经费、装备费、司法绩效奖金等资金较上年减少。</w:t>
      </w:r>
    </w:p>
    <w:p w14:paraId="60F0F24E">
      <w:pPr>
        <w:spacing w:line="640" w:lineRule="exact"/>
        <w:ind w:firstLine="640"/>
        <w:jc w:val="both"/>
        <w:outlineLvl w:val="2"/>
      </w:pPr>
      <w:r>
        <w:rPr>
          <w:rFonts w:ascii="黑体" w:hAnsi="黑体" w:eastAsia="黑体"/>
          <w:sz w:val="32"/>
        </w:rPr>
        <w:t>二、收入决算情况说明</w:t>
      </w:r>
    </w:p>
    <w:p w14:paraId="285C5444">
      <w:pPr>
        <w:spacing w:line="580" w:lineRule="exact"/>
        <w:ind w:firstLine="640"/>
        <w:jc w:val="both"/>
      </w:pPr>
      <w:r>
        <w:rPr>
          <w:rFonts w:ascii="仿宋_GB2312" w:hAnsi="仿宋_GB2312" w:eastAsia="仿宋_GB2312"/>
          <w:b/>
          <w:sz w:val="32"/>
        </w:rPr>
        <w:t>本年收入2,098.83万元，</w:t>
      </w:r>
      <w:r>
        <w:rPr>
          <w:rFonts w:ascii="仿宋_GB2312" w:hAnsi="仿宋_GB2312" w:eastAsia="仿宋_GB2312"/>
          <w:b w:val="0"/>
          <w:sz w:val="32"/>
        </w:rPr>
        <w:t>其中：财政拨款收入2,088.83万元，占99.52%；上级补助收入0.00万元，占0.00%；事业收入0.00万元，占0.00%；经营收入0.00万元，占0.00%；附属单位上缴收入0.00万元，占0.00%；其他收入10.00万元，占0.48%。</w:t>
      </w:r>
    </w:p>
    <w:p w14:paraId="103B75D5">
      <w:pPr>
        <w:spacing w:line="640" w:lineRule="exact"/>
        <w:ind w:firstLine="640"/>
        <w:jc w:val="both"/>
        <w:outlineLvl w:val="2"/>
      </w:pPr>
      <w:r>
        <w:rPr>
          <w:rFonts w:ascii="黑体" w:hAnsi="黑体" w:eastAsia="黑体"/>
          <w:sz w:val="32"/>
        </w:rPr>
        <w:t>三、支出决算情况说明</w:t>
      </w:r>
    </w:p>
    <w:p w14:paraId="751DF0B0">
      <w:pPr>
        <w:spacing w:line="580" w:lineRule="exact"/>
        <w:ind w:firstLine="640"/>
        <w:jc w:val="both"/>
      </w:pPr>
      <w:r>
        <w:rPr>
          <w:rFonts w:ascii="仿宋_GB2312" w:hAnsi="仿宋_GB2312" w:eastAsia="仿宋_GB2312"/>
          <w:b/>
          <w:sz w:val="32"/>
        </w:rPr>
        <w:t>本年支出2,095.74万元，</w:t>
      </w:r>
      <w:r>
        <w:rPr>
          <w:rFonts w:ascii="仿宋_GB2312" w:hAnsi="仿宋_GB2312" w:eastAsia="仿宋_GB2312"/>
          <w:b w:val="0"/>
          <w:sz w:val="32"/>
        </w:rPr>
        <w:t>其中：基本支出1,638.01万元，占78.16%；项目支出457.73万元，占21.84%；上缴上级支出0.00万元，占0.00%；经营支出0.00万元，占0.00%；对附属单位补助支出0.00万元，占0.00%。</w:t>
      </w:r>
    </w:p>
    <w:p w14:paraId="533449D8">
      <w:pPr>
        <w:spacing w:line="640" w:lineRule="exact"/>
        <w:ind w:firstLine="640"/>
        <w:jc w:val="both"/>
        <w:outlineLvl w:val="2"/>
      </w:pPr>
      <w:r>
        <w:rPr>
          <w:rFonts w:ascii="黑体" w:hAnsi="黑体" w:eastAsia="黑体"/>
          <w:sz w:val="32"/>
        </w:rPr>
        <w:t>四、财政拨款收入支出决算总体情况说明</w:t>
      </w:r>
    </w:p>
    <w:p w14:paraId="2DA44EA8">
      <w:pPr>
        <w:spacing w:line="580" w:lineRule="exact"/>
        <w:ind w:firstLine="640"/>
        <w:jc w:val="both"/>
      </w:pPr>
      <w:r>
        <w:rPr>
          <w:rFonts w:ascii="仿宋_GB2312" w:hAnsi="仿宋_GB2312" w:eastAsia="仿宋_GB2312"/>
          <w:b/>
          <w:sz w:val="32"/>
        </w:rPr>
        <w:t>2024年度财政拨款收入总计2,088.83万元，</w:t>
      </w:r>
      <w:r>
        <w:rPr>
          <w:rFonts w:ascii="仿宋_GB2312" w:hAnsi="仿宋_GB2312" w:eastAsia="仿宋_GB2312"/>
          <w:b w:val="0"/>
          <w:sz w:val="32"/>
        </w:rPr>
        <w:t>其中：年初财政拨款结转和结余0.00万元，本年财政拨款收入2,088.83万元。</w:t>
      </w:r>
      <w:r>
        <w:rPr>
          <w:rFonts w:ascii="仿宋_GB2312" w:hAnsi="仿宋_GB2312" w:eastAsia="仿宋_GB2312"/>
          <w:b/>
          <w:sz w:val="32"/>
        </w:rPr>
        <w:t>财政拨款支出总计2,088.83万元，</w:t>
      </w:r>
      <w:r>
        <w:rPr>
          <w:rFonts w:ascii="仿宋_GB2312" w:hAnsi="仿宋_GB2312" w:eastAsia="仿宋_GB2312"/>
          <w:b w:val="0"/>
          <w:sz w:val="32"/>
        </w:rPr>
        <w:t>其中：年末财政拨款结转和结余0.00万元，本年财政拨款支出2,088.83万元。</w:t>
      </w:r>
    </w:p>
    <w:p w14:paraId="21AF1AB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减少188.04万元，下降8.26%，主要原因是：一是本年在职人员减少，相关人员经费较上年减少；二是本年装备费、司法绩效奖金等资金较上年减少。</w:t>
      </w:r>
      <w:r>
        <w:rPr>
          <w:rFonts w:ascii="仿宋_GB2312" w:hAnsi="仿宋_GB2312" w:eastAsia="仿宋_GB2312"/>
          <w:b/>
          <w:sz w:val="32"/>
        </w:rPr>
        <w:t>与年初预算相比，</w:t>
      </w:r>
      <w:r>
        <w:rPr>
          <w:rFonts w:ascii="仿宋_GB2312" w:hAnsi="仿宋_GB2312" w:eastAsia="仿宋_GB2312"/>
          <w:b w:val="0"/>
          <w:sz w:val="32"/>
        </w:rPr>
        <w:t>年初预算数2,226.40万元，决算数2,088.83万元，预决算差异率-6.18%，主要原因是：本年在职人员减少，年中调减</w:t>
      </w:r>
      <w:r>
        <w:rPr>
          <w:rFonts w:hint="eastAsia" w:ascii="仿宋_GB2312" w:hAnsi="仿宋_GB2312" w:eastAsia="仿宋_GB2312"/>
          <w:b w:val="0"/>
          <w:sz w:val="32"/>
          <w:lang w:val="en-US" w:eastAsia="zh-CN"/>
        </w:rPr>
        <w:t>人员经费；年中调减</w:t>
      </w:r>
      <w:r>
        <w:rPr>
          <w:rFonts w:ascii="仿宋_GB2312" w:hAnsi="仿宋_GB2312" w:eastAsia="仿宋_GB2312"/>
          <w:b w:val="0"/>
          <w:sz w:val="32"/>
        </w:rPr>
        <w:t>司法绩效奖金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p>
    <w:p w14:paraId="7EB92192">
      <w:pPr>
        <w:spacing w:line="640" w:lineRule="exact"/>
        <w:ind w:firstLine="640"/>
        <w:jc w:val="both"/>
        <w:outlineLvl w:val="2"/>
      </w:pPr>
      <w:r>
        <w:rPr>
          <w:rFonts w:ascii="黑体" w:hAnsi="黑体" w:eastAsia="黑体"/>
          <w:sz w:val="32"/>
        </w:rPr>
        <w:t>五、一般公共预算财政拨款支出决算情况说明</w:t>
      </w:r>
    </w:p>
    <w:p w14:paraId="12F37E42">
      <w:pPr>
        <w:spacing w:line="640" w:lineRule="exact"/>
        <w:ind w:firstLine="640"/>
        <w:jc w:val="both"/>
        <w:outlineLvl w:val="3"/>
      </w:pPr>
      <w:r>
        <w:rPr>
          <w:rFonts w:ascii="楷体_GB2312" w:hAnsi="楷体_GB2312" w:eastAsia="楷体_GB2312"/>
          <w:b/>
          <w:sz w:val="32"/>
        </w:rPr>
        <w:t>（一）一般公共预算财政拨款支出决算总体情况</w:t>
      </w:r>
    </w:p>
    <w:p w14:paraId="16E9E732">
      <w:pPr>
        <w:spacing w:line="580" w:lineRule="exact"/>
        <w:ind w:firstLine="640"/>
        <w:jc w:val="both"/>
        <w:rPr>
          <w:rFonts w:hint="default" w:eastAsia="仿宋_GB2312"/>
          <w:lang w:val="en-US" w:eastAsia="zh-CN"/>
        </w:rPr>
      </w:pPr>
      <w:r>
        <w:rPr>
          <w:rFonts w:ascii="仿宋_GB2312" w:hAnsi="仿宋_GB2312" w:eastAsia="仿宋_GB2312"/>
          <w:b/>
          <w:sz w:val="32"/>
        </w:rPr>
        <w:t>2024年度一般公共预算财政拨款支出2,088.83万元，</w:t>
      </w:r>
      <w:r>
        <w:rPr>
          <w:rFonts w:ascii="仿宋_GB2312" w:hAnsi="仿宋_GB2312" w:eastAsia="仿宋_GB2312"/>
          <w:b w:val="0"/>
          <w:sz w:val="32"/>
        </w:rPr>
        <w:t>占本年支出合计的99.67%。</w:t>
      </w:r>
      <w:r>
        <w:rPr>
          <w:rFonts w:ascii="仿宋_GB2312" w:hAnsi="仿宋_GB2312" w:eastAsia="仿宋_GB2312"/>
          <w:b/>
          <w:sz w:val="32"/>
        </w:rPr>
        <w:t>与上年相比，</w:t>
      </w:r>
      <w:r>
        <w:rPr>
          <w:rFonts w:ascii="仿宋_GB2312" w:hAnsi="仿宋_GB2312" w:eastAsia="仿宋_GB2312"/>
          <w:b w:val="0"/>
          <w:sz w:val="32"/>
        </w:rPr>
        <w:t>减少188.04万元，下降8.26%，主要原因是：一是本年在职人员减少，相关人员经费较上年减少；二是本年装备费、司法绩效奖金等资金较上年减少。</w:t>
      </w:r>
      <w:r>
        <w:rPr>
          <w:rFonts w:ascii="仿宋_GB2312" w:hAnsi="仿宋_GB2312" w:eastAsia="仿宋_GB2312"/>
          <w:b/>
          <w:sz w:val="32"/>
        </w:rPr>
        <w:t>与年初预算相比,</w:t>
      </w:r>
      <w:r>
        <w:rPr>
          <w:rFonts w:ascii="仿宋_GB2312" w:hAnsi="仿宋_GB2312" w:eastAsia="仿宋_GB2312"/>
          <w:b w:val="0"/>
          <w:sz w:val="32"/>
        </w:rPr>
        <w:t>年初预算数2,226.40万元，决算数2,088.83万元，预决算差异率-6.18%，主要原因是：本年在职人员减少，年中调减</w:t>
      </w:r>
      <w:r>
        <w:rPr>
          <w:rFonts w:hint="eastAsia" w:ascii="仿宋_GB2312" w:hAnsi="仿宋_GB2312" w:eastAsia="仿宋_GB2312"/>
          <w:b w:val="0"/>
          <w:sz w:val="32"/>
          <w:lang w:val="en-US" w:eastAsia="zh-CN"/>
        </w:rPr>
        <w:t>人员经费；年中调减</w:t>
      </w:r>
      <w:r>
        <w:rPr>
          <w:rFonts w:ascii="仿宋_GB2312" w:hAnsi="仿宋_GB2312" w:eastAsia="仿宋_GB2312"/>
          <w:b w:val="0"/>
          <w:sz w:val="32"/>
        </w:rPr>
        <w:t>司法绩效奖金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p>
    <w:p w14:paraId="2C33C509">
      <w:pPr>
        <w:spacing w:line="640" w:lineRule="exact"/>
        <w:ind w:firstLine="640"/>
        <w:jc w:val="both"/>
        <w:outlineLvl w:val="3"/>
      </w:pPr>
      <w:r>
        <w:rPr>
          <w:rFonts w:ascii="楷体_GB2312" w:hAnsi="楷体_GB2312" w:eastAsia="楷体_GB2312"/>
          <w:b/>
          <w:sz w:val="32"/>
        </w:rPr>
        <w:t>（二）一般公共预算财政拨款支出决算结构情况</w:t>
      </w:r>
    </w:p>
    <w:p w14:paraId="53873AE3">
      <w:pPr>
        <w:spacing w:line="580" w:lineRule="exact"/>
        <w:ind w:firstLine="640"/>
        <w:jc w:val="both"/>
      </w:pPr>
      <w:r>
        <w:rPr>
          <w:rFonts w:ascii="仿宋_GB2312" w:hAnsi="仿宋_GB2312" w:eastAsia="仿宋_GB2312"/>
          <w:b w:val="0"/>
          <w:sz w:val="32"/>
        </w:rPr>
        <w:t>1.公共安全支出(类)1,695.98万元,占81.19%。</w:t>
      </w:r>
    </w:p>
    <w:p w14:paraId="3F8B7D8E">
      <w:pPr>
        <w:spacing w:line="580" w:lineRule="exact"/>
        <w:ind w:firstLine="640"/>
        <w:jc w:val="both"/>
      </w:pPr>
      <w:r>
        <w:rPr>
          <w:rFonts w:ascii="仿宋_GB2312" w:hAnsi="仿宋_GB2312" w:eastAsia="仿宋_GB2312"/>
          <w:b w:val="0"/>
          <w:sz w:val="32"/>
        </w:rPr>
        <w:t>2.社会保障和就业支出(类)211.74万元,占10.14%。</w:t>
      </w:r>
    </w:p>
    <w:p w14:paraId="58844AF5">
      <w:pPr>
        <w:spacing w:line="580" w:lineRule="exact"/>
        <w:ind w:firstLine="640"/>
        <w:jc w:val="both"/>
      </w:pPr>
      <w:r>
        <w:rPr>
          <w:rFonts w:ascii="仿宋_GB2312" w:hAnsi="仿宋_GB2312" w:eastAsia="仿宋_GB2312"/>
          <w:b w:val="0"/>
          <w:sz w:val="32"/>
        </w:rPr>
        <w:t>3.卫生健康支出(类)70.90万元,占3.39%。</w:t>
      </w:r>
    </w:p>
    <w:p w14:paraId="25E0B784">
      <w:pPr>
        <w:spacing w:line="580" w:lineRule="exact"/>
        <w:ind w:firstLine="640"/>
        <w:jc w:val="both"/>
      </w:pPr>
      <w:r>
        <w:rPr>
          <w:rFonts w:ascii="仿宋_GB2312" w:hAnsi="仿宋_GB2312" w:eastAsia="仿宋_GB2312"/>
          <w:b w:val="0"/>
          <w:sz w:val="32"/>
        </w:rPr>
        <w:t>4.住房保障支出(类)110.21万元,占5.28%。</w:t>
      </w:r>
    </w:p>
    <w:p w14:paraId="0E08BD2C">
      <w:pPr>
        <w:spacing w:line="640" w:lineRule="exact"/>
        <w:ind w:firstLine="640"/>
        <w:jc w:val="both"/>
        <w:outlineLvl w:val="3"/>
      </w:pPr>
      <w:r>
        <w:rPr>
          <w:rFonts w:ascii="楷体_GB2312" w:hAnsi="楷体_GB2312" w:eastAsia="楷体_GB2312"/>
          <w:b/>
          <w:sz w:val="32"/>
        </w:rPr>
        <w:t>（三）一般公共预算财政拨款支出决算具体情况</w:t>
      </w:r>
    </w:p>
    <w:p w14:paraId="4365C960">
      <w:pPr>
        <w:spacing w:line="580" w:lineRule="exact"/>
        <w:ind w:firstLine="640"/>
        <w:jc w:val="both"/>
      </w:pPr>
      <w:r>
        <w:rPr>
          <w:rFonts w:ascii="仿宋_GB2312" w:hAnsi="仿宋_GB2312" w:eastAsia="仿宋_GB2312"/>
          <w:b w:val="0"/>
          <w:sz w:val="32"/>
        </w:rPr>
        <w:t>1.公共安全支出(类)法院(款)行政运行(项):支出决算数为1,245.16万元，比上年决算减少81.17万元，下降6.12%,主要原因是：本年在职人员减少，相关人员经费较上年减少。</w:t>
      </w:r>
    </w:p>
    <w:p w14:paraId="7919A857">
      <w:pPr>
        <w:spacing w:line="580" w:lineRule="exact"/>
        <w:ind w:firstLine="640"/>
        <w:jc w:val="both"/>
      </w:pPr>
      <w:r>
        <w:rPr>
          <w:rFonts w:ascii="仿宋_GB2312" w:hAnsi="仿宋_GB2312" w:eastAsia="仿宋_GB2312"/>
          <w:b w:val="0"/>
          <w:sz w:val="32"/>
        </w:rPr>
        <w:t>2.公共安全支出(类)法院(款)一般行政管理事务(项):支出决算数为141.91万元，比上年决算减少69.81万元，下降32.97%,主要原因是：本年装备费、司法绩效奖金等资金较上年减少。</w:t>
      </w:r>
    </w:p>
    <w:p w14:paraId="09616CDA">
      <w:pPr>
        <w:spacing w:line="580" w:lineRule="exact"/>
        <w:ind w:firstLine="640"/>
        <w:jc w:val="both"/>
      </w:pPr>
      <w:r>
        <w:rPr>
          <w:rFonts w:ascii="仿宋_GB2312" w:hAnsi="仿宋_GB2312" w:eastAsia="仿宋_GB2312"/>
          <w:b w:val="0"/>
          <w:sz w:val="32"/>
        </w:rPr>
        <w:t>3.公共安全支出(类)法院(款)其他法院支出(项):支出决算数为308.92万元，比上年决算减少81.29万元，下降20.83%,主要原因是：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上级专项资金较上年减少。</w:t>
      </w:r>
    </w:p>
    <w:p w14:paraId="15EC317E">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4.社会保障和就业支出(类)行政事业单位养老支出(款)行政单位离退休(项):支出决算数为48.25万元，比上年决算增加12.69万元，增长35.69%,主要原因是：本年退休人员增加，退休费支出增加。</w:t>
      </w:r>
    </w:p>
    <w:p w14:paraId="503C9F62">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130.23万元，比上年决算增加12.55万元，增长10.66%,主要原因是：本年在职人员工资基数调增，养老缴费基数上涨，相应支出增加。</w:t>
      </w:r>
    </w:p>
    <w:p w14:paraId="3037A7F6">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6.社会保障和就业支出(类)行政事业单位养老支出(款)机关事业单位职业年金缴费支出(项):支出决算数为10.02万元，比上年决算增加7.29万元，增长267.03%,主要原因是：本年新增退休人员，职业年金缴费支出增加。</w:t>
      </w:r>
    </w:p>
    <w:p w14:paraId="752630C8">
      <w:pPr>
        <w:spacing w:line="580" w:lineRule="exact"/>
        <w:ind w:firstLine="640"/>
        <w:jc w:val="both"/>
      </w:pPr>
      <w:r>
        <w:rPr>
          <w:rFonts w:ascii="仿宋_GB2312" w:hAnsi="仿宋_GB2312" w:eastAsia="仿宋_GB2312"/>
          <w:b w:val="0"/>
          <w:sz w:val="32"/>
        </w:rPr>
        <w:t>7.社会保障和就业支出(类)抚恤(款)死亡抚恤(项):支出决算数为23.23万元，比上年决算减少7.14万元，下降23.51%,主要原因是：本年1名死亡人员，但因编制性质不同，核算标准不同，故此经费减少。</w:t>
      </w:r>
    </w:p>
    <w:p w14:paraId="4FF58F1A">
      <w:pPr>
        <w:spacing w:line="580" w:lineRule="exact"/>
        <w:ind w:firstLine="640"/>
        <w:jc w:val="both"/>
      </w:pPr>
      <w:r>
        <w:rPr>
          <w:rFonts w:ascii="仿宋_GB2312" w:hAnsi="仿宋_GB2312" w:eastAsia="仿宋_GB2312"/>
          <w:b w:val="0"/>
          <w:sz w:val="32"/>
        </w:rPr>
        <w:t>8.卫生健康支出(类)行政事业单位医疗(款)行政单位医疗(项):支出决算数为55.35万元，比上年决算增加5.34万元，增长10.68%,主要原因是：本年在职人员工资基数调增，医疗缴费基数上涨，相应支出增加。</w:t>
      </w:r>
    </w:p>
    <w:p w14:paraId="64BC67B9">
      <w:pPr>
        <w:spacing w:line="580" w:lineRule="exact"/>
        <w:ind w:firstLine="640"/>
        <w:jc w:val="both"/>
      </w:pPr>
      <w:r>
        <w:rPr>
          <w:rFonts w:ascii="仿宋_GB2312" w:hAnsi="仿宋_GB2312" w:eastAsia="仿宋_GB2312"/>
          <w:b w:val="0"/>
          <w:sz w:val="32"/>
        </w:rPr>
        <w:t>9.卫生健康支出(类)行政事业单位医疗(款)公务员医疗补助(项):支出决算数为15.55万元，比上年决算增加1.50万元，增长10.68%,主要原因是：本年在职人员工资基数调增，医疗缴费基数上涨，相应支出增加。</w:t>
      </w:r>
    </w:p>
    <w:p w14:paraId="5C138BCA">
      <w:pPr>
        <w:spacing w:line="580" w:lineRule="exact"/>
        <w:ind w:firstLine="640"/>
        <w:jc w:val="both"/>
      </w:pPr>
      <w:r>
        <w:rPr>
          <w:rFonts w:ascii="仿宋_GB2312" w:hAnsi="仿宋_GB2312" w:eastAsia="仿宋_GB2312"/>
          <w:b w:val="0"/>
          <w:sz w:val="32"/>
        </w:rPr>
        <w:t>10.住房保障支出(类)住房改革支出(款)住房公积金(项):支出决算数为110.21万元，比上年决算增加12.00万元，增长12.22%,主要原因是：本年在职人员工资基数调增，公积金缴费基数上涨，相应支出增加。</w:t>
      </w:r>
    </w:p>
    <w:p w14:paraId="52B18311">
      <w:pPr>
        <w:spacing w:line="640" w:lineRule="exact"/>
        <w:ind w:firstLine="640"/>
        <w:jc w:val="both"/>
        <w:outlineLvl w:val="2"/>
      </w:pPr>
      <w:r>
        <w:rPr>
          <w:rFonts w:ascii="黑体" w:hAnsi="黑体" w:eastAsia="黑体"/>
          <w:sz w:val="32"/>
        </w:rPr>
        <w:t>六、一般公共预算财政拨款基本支出决算情况说明</w:t>
      </w:r>
    </w:p>
    <w:p w14:paraId="0B8F3EAA">
      <w:pPr>
        <w:spacing w:line="580" w:lineRule="exact"/>
        <w:ind w:firstLine="640"/>
        <w:jc w:val="both"/>
      </w:pPr>
      <w:r>
        <w:rPr>
          <w:rFonts w:ascii="仿宋_GB2312" w:hAnsi="仿宋_GB2312" w:eastAsia="仿宋_GB2312"/>
          <w:b w:val="0"/>
          <w:sz w:val="32"/>
        </w:rPr>
        <w:t>2024年度一般公共预算财政拨款基本支出1,638.01万元，其中：</w:t>
      </w:r>
      <w:r>
        <w:rPr>
          <w:rFonts w:ascii="仿宋_GB2312" w:hAnsi="仿宋_GB2312" w:eastAsia="仿宋_GB2312"/>
          <w:b/>
          <w:sz w:val="32"/>
        </w:rPr>
        <w:t>人员经费1,550.57万元，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抚恤金、生活补助。</w:t>
      </w:r>
    </w:p>
    <w:p w14:paraId="0C85E3AE">
      <w:pPr>
        <w:spacing w:line="580" w:lineRule="exact"/>
        <w:ind w:firstLine="640"/>
        <w:jc w:val="both"/>
      </w:pPr>
      <w:r>
        <w:rPr>
          <w:rFonts w:ascii="仿宋_GB2312" w:hAnsi="仿宋_GB2312" w:eastAsia="仿宋_GB2312"/>
          <w:b/>
          <w:sz w:val="32"/>
        </w:rPr>
        <w:t>公用经费87.44万元，</w:t>
      </w:r>
      <w:r>
        <w:rPr>
          <w:rFonts w:ascii="仿宋_GB2312" w:hAnsi="仿宋_GB2312" w:eastAsia="仿宋_GB2312"/>
          <w:b w:val="0"/>
          <w:sz w:val="32"/>
        </w:rPr>
        <w:t>包括：水费、电费、取暖费、物业管理费、差旅费、专用材料费、工会经费、公务用车运行维护费、其他商品和服务支出。</w:t>
      </w:r>
    </w:p>
    <w:p w14:paraId="21103334">
      <w:pPr>
        <w:spacing w:line="640" w:lineRule="exact"/>
        <w:ind w:firstLine="640"/>
        <w:jc w:val="both"/>
        <w:outlineLvl w:val="2"/>
      </w:pPr>
      <w:r>
        <w:rPr>
          <w:rFonts w:ascii="黑体" w:hAnsi="黑体" w:eastAsia="黑体"/>
          <w:sz w:val="32"/>
        </w:rPr>
        <w:t>七、政府性基金预算财政拨款收入支出决算情况说明</w:t>
      </w:r>
    </w:p>
    <w:p w14:paraId="4BF81CE1">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1C6814BD">
      <w:pPr>
        <w:spacing w:line="640" w:lineRule="exact"/>
        <w:ind w:firstLine="640"/>
        <w:jc w:val="both"/>
        <w:outlineLvl w:val="2"/>
      </w:pPr>
      <w:r>
        <w:rPr>
          <w:rFonts w:ascii="黑体" w:hAnsi="黑体" w:eastAsia="黑体"/>
          <w:sz w:val="32"/>
        </w:rPr>
        <w:t>八、国有资本经营预算财政拨款收入支出决算情况说明</w:t>
      </w:r>
    </w:p>
    <w:p w14:paraId="3F64022F">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1F6104F5">
      <w:pPr>
        <w:spacing w:line="640" w:lineRule="exact"/>
        <w:ind w:firstLine="640"/>
        <w:jc w:val="both"/>
        <w:outlineLvl w:val="2"/>
      </w:pPr>
      <w:r>
        <w:rPr>
          <w:rFonts w:ascii="黑体" w:hAnsi="黑体" w:eastAsia="黑体"/>
          <w:sz w:val="32"/>
        </w:rPr>
        <w:t>九、财政拨款“三公”经费支出决算情况说明</w:t>
      </w:r>
    </w:p>
    <w:p w14:paraId="54AA8DED">
      <w:pPr>
        <w:spacing w:line="580" w:lineRule="exact"/>
        <w:ind w:firstLine="640"/>
        <w:jc w:val="both"/>
      </w:pPr>
      <w:r>
        <w:rPr>
          <w:rFonts w:ascii="仿宋_GB2312" w:hAnsi="仿宋_GB2312" w:eastAsia="仿宋_GB2312"/>
          <w:b/>
          <w:sz w:val="32"/>
        </w:rPr>
        <w:t>2024年度财政拨款“三公”经费支出63.75万元，</w:t>
      </w:r>
      <w:r>
        <w:rPr>
          <w:rFonts w:ascii="仿宋_GB2312" w:hAnsi="仿宋_GB2312" w:eastAsia="仿宋_GB2312"/>
          <w:b w:val="0"/>
          <w:sz w:val="32"/>
        </w:rPr>
        <w:t>比上年增加24.65万元，增长63.04%，主要原因是：本年新购入公务用车，公务用车购置费较上年增加。其中：因公出国（境）费支出0.00万元，占0.00%，比上年增加0.00万元，增长0.00%，主要原因是：2023年与2024年均未安排因公出国（境）费支出。公务用车购置及运行维护费支出63.75万元，占100.00%，比上年增加24.65万元，增长63.04%，主要原因是：本年新购入公务用车，公务用车购置费较上年增加。公务接待费支出0.00万元，占0.00%，比上年增加0.00万元，增长0.00%，主要原因是：2023年与2024年均未安排公务接待费支出。</w:t>
      </w:r>
    </w:p>
    <w:p w14:paraId="70A32525">
      <w:pPr>
        <w:spacing w:line="580" w:lineRule="exact"/>
        <w:ind w:firstLine="640"/>
        <w:jc w:val="both"/>
      </w:pPr>
      <w:r>
        <w:rPr>
          <w:rFonts w:ascii="仿宋_GB2312" w:hAnsi="仿宋_GB2312" w:eastAsia="仿宋_GB2312"/>
          <w:b/>
          <w:sz w:val="32"/>
        </w:rPr>
        <w:t>具体情况如下：</w:t>
      </w:r>
    </w:p>
    <w:p w14:paraId="20BB42E0">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376F8F98">
      <w:pPr>
        <w:spacing w:line="580" w:lineRule="exact"/>
        <w:ind w:firstLine="640"/>
        <w:jc w:val="both"/>
      </w:pPr>
      <w:r>
        <w:rPr>
          <w:rFonts w:ascii="仿宋_GB2312" w:hAnsi="仿宋_GB2312" w:eastAsia="仿宋_GB2312"/>
          <w:b w:val="0"/>
          <w:sz w:val="32"/>
        </w:rPr>
        <w:t>公务用车购置及运行维护费63.75万元，其中：公务用车购置费35.51万元，公务用车运行维护费28.24万元。公务用车运行维护费开支内容包括车辆加油费、维修费、保险费、审车费、过路费。公务用车购置数2辆，公务用车保有量17辆。国有资产占用情况中固定资产车辆17辆，与公务用车保有量差异原因是：本部门固定资产车辆与公务用车保有量一致无差异。</w:t>
      </w:r>
    </w:p>
    <w:p w14:paraId="42615C15">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0D945EB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63.75万元，决算数63.75万元，预决算差异率0.00%，主要原因是：严格按照预算执行，预决算无差异。其中：因公出国（境）费全年预算数0.00万元，决算数0.00万元，预决算差异率0.00%，主要原因是：本部门无因公出国（境）费。公务用车购置费全年预算数35.51万元，决算数35.51万元，预决算差异率0.00%，主要原因是：严格按照预算执行，预决算无差异。公务用车运行维护费全年预算数28.24万元，决算数28.24万元，预决算差异率0.00%，主要原因是：严格按照预算执行，预决算无差异。公务接待费全年预算数0.00万元，决算数0.00万元，预决算差异率0.00%，主要原因是：本部门无公务接待费。</w:t>
      </w:r>
    </w:p>
    <w:p w14:paraId="37B3DF64">
      <w:pPr>
        <w:spacing w:line="640" w:lineRule="exact"/>
        <w:ind w:firstLine="640"/>
        <w:jc w:val="both"/>
        <w:outlineLvl w:val="2"/>
      </w:pPr>
      <w:r>
        <w:rPr>
          <w:rFonts w:ascii="黑体" w:hAnsi="黑体" w:eastAsia="黑体"/>
          <w:sz w:val="32"/>
        </w:rPr>
        <w:t>十、其他重要事项的情况说明</w:t>
      </w:r>
    </w:p>
    <w:p w14:paraId="024FD3FE">
      <w:pPr>
        <w:spacing w:line="640" w:lineRule="exact"/>
        <w:ind w:firstLine="640"/>
        <w:jc w:val="both"/>
        <w:outlineLvl w:val="3"/>
      </w:pPr>
      <w:r>
        <w:rPr>
          <w:rFonts w:ascii="楷体_GB2312" w:hAnsi="楷体_GB2312" w:eastAsia="楷体_GB2312"/>
          <w:b/>
          <w:sz w:val="32"/>
        </w:rPr>
        <w:t>（一）机关运行经费及公用经费支出情况</w:t>
      </w:r>
    </w:p>
    <w:p w14:paraId="5B9EBD3F">
      <w:pPr>
        <w:spacing w:line="580" w:lineRule="exact"/>
        <w:ind w:firstLine="640"/>
        <w:jc w:val="both"/>
      </w:pPr>
      <w:r>
        <w:rPr>
          <w:rFonts w:ascii="仿宋_GB2312" w:hAnsi="仿宋_GB2312" w:eastAsia="仿宋_GB2312"/>
          <w:b w:val="0"/>
          <w:sz w:val="32"/>
        </w:rPr>
        <w:t>2024年度疏附县人民法院（行政单位和参照公务员法管理事业单位）机关运行经费支出87.44万元，比上年减少26.71万元，下降23.40%，主要原因是：本年减少活动经费、差旅费、邮电费，导致机关运行经费减少。</w:t>
      </w:r>
    </w:p>
    <w:p w14:paraId="20E1471C">
      <w:pPr>
        <w:spacing w:line="640" w:lineRule="exact"/>
        <w:ind w:firstLine="640"/>
        <w:jc w:val="both"/>
        <w:outlineLvl w:val="3"/>
      </w:pPr>
      <w:r>
        <w:rPr>
          <w:rFonts w:ascii="楷体_GB2312" w:hAnsi="楷体_GB2312" w:eastAsia="楷体_GB2312"/>
          <w:b/>
          <w:sz w:val="32"/>
        </w:rPr>
        <w:t>（二）政府采购情况</w:t>
      </w:r>
    </w:p>
    <w:p w14:paraId="7393974C">
      <w:pPr>
        <w:spacing w:line="580" w:lineRule="exact"/>
        <w:ind w:firstLine="640"/>
        <w:jc w:val="both"/>
      </w:pPr>
      <w:r>
        <w:rPr>
          <w:rFonts w:ascii="仿宋_GB2312" w:hAnsi="仿宋_GB2312" w:eastAsia="仿宋_GB2312"/>
          <w:b w:val="0"/>
          <w:sz w:val="32"/>
        </w:rPr>
        <w:t>2024年度政府采购支出总额195.95万元，其中：政府采购货物支出158.54万元、政府采购工程支出1.67万元、政府采购服务支出35.74万元。</w:t>
      </w:r>
    </w:p>
    <w:p w14:paraId="19859359">
      <w:pPr>
        <w:spacing w:line="580" w:lineRule="exact"/>
        <w:ind w:firstLine="640"/>
        <w:jc w:val="both"/>
      </w:pPr>
      <w:r>
        <w:rPr>
          <w:rFonts w:ascii="仿宋_GB2312" w:hAnsi="仿宋_GB2312" w:eastAsia="仿宋_GB2312"/>
          <w:b w:val="0"/>
          <w:sz w:val="32"/>
        </w:rPr>
        <w:t>授予中小企业合同金额195.95万元，占政府采购支出总额的100.00%，其中：授予小微企业合同金额195.95万元，占政府采购支出总额的100.00%。</w:t>
      </w:r>
    </w:p>
    <w:p w14:paraId="61EF602E">
      <w:pPr>
        <w:spacing w:line="640" w:lineRule="exact"/>
        <w:ind w:firstLine="640"/>
        <w:jc w:val="both"/>
        <w:outlineLvl w:val="3"/>
      </w:pPr>
      <w:r>
        <w:rPr>
          <w:rFonts w:ascii="楷体_GB2312" w:hAnsi="楷体_GB2312" w:eastAsia="楷体_GB2312"/>
          <w:b/>
          <w:sz w:val="32"/>
        </w:rPr>
        <w:t>（三）国有资产占用情况说明</w:t>
      </w:r>
    </w:p>
    <w:p w14:paraId="1039EA16">
      <w:pPr>
        <w:spacing w:line="580" w:lineRule="exact"/>
        <w:ind w:firstLine="640"/>
        <w:jc w:val="both"/>
      </w:pPr>
      <w:r>
        <w:rPr>
          <w:rFonts w:ascii="仿宋_GB2312" w:hAnsi="仿宋_GB2312" w:eastAsia="仿宋_GB2312"/>
          <w:b w:val="0"/>
          <w:sz w:val="32"/>
        </w:rPr>
        <w:t>截至2024年12月31日，房屋8,729.38平方米，价值1,808.19万元。车辆17辆，价值304.28万元，其中：副部（省）级及以上领导用车0辆、主要负责人用车0辆、机要通信用车0辆、应急保障用车0辆、执法执勤用车17辆、特种专业技术用车0辆、离退休干部服务用车0辆、其他用车0辆，其他用车主要是：本部门无其他用车。单价100万元（含）以上设备（不含车辆）0台（套）。</w:t>
      </w:r>
    </w:p>
    <w:p w14:paraId="03B645ED">
      <w:pPr>
        <w:spacing w:line="640" w:lineRule="exact"/>
        <w:ind w:firstLine="640"/>
        <w:jc w:val="both"/>
        <w:outlineLvl w:val="2"/>
      </w:pPr>
      <w:r>
        <w:rPr>
          <w:rFonts w:ascii="黑体" w:hAnsi="黑体" w:eastAsia="黑体"/>
          <w:sz w:val="32"/>
        </w:rPr>
        <w:t>十一、预算绩效的情况说明</w:t>
      </w:r>
    </w:p>
    <w:p w14:paraId="5891C684">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根据预算绩效管理要求，本部门2024年度预算绩效管理形成整体支出绩效自评表1个，全年预算总额2,228.32万元，实际执行总额2,095.74万元；预算绩效评价项目</w:t>
      </w:r>
      <w:r>
        <w:rPr>
          <w:rFonts w:hint="eastAsia" w:ascii="仿宋_GB2312" w:hAnsi="仿宋_GB2312" w:eastAsia="仿宋_GB2312"/>
          <w:b w:val="0"/>
          <w:sz w:val="32"/>
          <w:lang w:val="en-US" w:eastAsia="zh-CN"/>
        </w:rPr>
        <w:t>7</w:t>
      </w:r>
      <w:r>
        <w:rPr>
          <w:rFonts w:ascii="仿宋_GB2312" w:hAnsi="仿宋_GB2312" w:eastAsia="仿宋_GB2312"/>
          <w:b w:val="0"/>
          <w:sz w:val="32"/>
        </w:rPr>
        <w:t>个，全年预算数</w:t>
      </w:r>
      <w:r>
        <w:rPr>
          <w:rFonts w:hint="eastAsia" w:ascii="仿宋_GB2312" w:hAnsi="仿宋_GB2312" w:eastAsia="仿宋_GB2312"/>
          <w:b w:val="0"/>
          <w:sz w:val="32"/>
        </w:rPr>
        <w:t>590.31</w:t>
      </w:r>
      <w:r>
        <w:rPr>
          <w:rFonts w:ascii="仿宋_GB2312" w:hAnsi="仿宋_GB2312" w:eastAsia="仿宋_GB2312"/>
          <w:b w:val="0"/>
          <w:sz w:val="32"/>
        </w:rPr>
        <w:t>万元，全年执行数</w:t>
      </w:r>
      <w:r>
        <w:rPr>
          <w:rFonts w:hint="eastAsia" w:ascii="仿宋_GB2312" w:hAnsi="仿宋_GB2312" w:eastAsia="仿宋_GB2312"/>
          <w:b w:val="0"/>
          <w:sz w:val="32"/>
        </w:rPr>
        <w:t>457.72</w:t>
      </w:r>
      <w:r>
        <w:rPr>
          <w:rFonts w:ascii="仿宋_GB2312" w:hAnsi="仿宋_GB2312" w:eastAsia="仿宋_GB2312"/>
          <w:b w:val="0"/>
          <w:sz w:val="32"/>
        </w:rPr>
        <w:t>万元。预算绩效管理取得的成效：一是细化绩效目标，实现全覆盖管理。扎实开展绩效目标管理工作，细化目标，结合工作业务，从源头上保障目标精准。二是加强运行，优化资金使用效率。按月对资金支付进度进行分析，充分发挥事中的纠偏作用，对未达节点的项目及时分析原因并整改。三是健全监督机制，强化绩效管理约束力。充分发挥检查督导作用，对绩效目标、绩效运行及时跟踪、监督，确保资金使用规范高效。发现的问题及原因：一是绩效目标设定不够合理。二是相关负责人员对政策理解不深、不透。下一步改进措施：一是强化绩效管理意识，提高相关人员对绩效管理重要性和必要性的认识，增强相关人员责任心，推动绩效工作落实。二是增加相关负责人员对绩效管理的业务培训，增强业务能力。具体附部门整体支出绩效自评表，项目支出绩效自评表。</w:t>
      </w:r>
    </w:p>
    <w:p w14:paraId="35AACCD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6936A28">
        <w:tblPrEx>
          <w:tblCellMar>
            <w:top w:w="0" w:type="dxa"/>
            <w:left w:w="108" w:type="dxa"/>
            <w:bottom w:w="0" w:type="dxa"/>
            <w:right w:w="108" w:type="dxa"/>
          </w:tblCellMar>
        </w:tblPrEx>
        <w:tc>
          <w:tcPr>
            <w:tcW w:w="8847" w:type="dxa"/>
            <w:gridSpan w:val="9"/>
            <w:vAlign w:val="center"/>
          </w:tcPr>
          <w:p w14:paraId="7FF03BCB">
            <w:pPr>
              <w:jc w:val="center"/>
            </w:pPr>
            <w:r>
              <w:rPr>
                <w:rFonts w:ascii="宋体" w:hAnsi="宋体" w:eastAsia="宋体"/>
                <w:sz w:val="24"/>
              </w:rPr>
              <w:t>部门整体支出绩效自评表</w:t>
            </w:r>
          </w:p>
        </w:tc>
      </w:tr>
      <w:tr w14:paraId="1336BB11">
        <w:tblPrEx>
          <w:tblCellMar>
            <w:top w:w="0" w:type="dxa"/>
            <w:left w:w="108" w:type="dxa"/>
            <w:bottom w:w="0" w:type="dxa"/>
            <w:right w:w="108" w:type="dxa"/>
          </w:tblCellMar>
        </w:tblPrEx>
        <w:tc>
          <w:tcPr>
            <w:tcW w:w="8847" w:type="dxa"/>
            <w:gridSpan w:val="9"/>
            <w:vAlign w:val="center"/>
          </w:tcPr>
          <w:p w14:paraId="1E1A3E30">
            <w:pPr>
              <w:jc w:val="center"/>
            </w:pPr>
            <w:r>
              <w:rPr>
                <w:rFonts w:ascii="宋体" w:hAnsi="宋体" w:eastAsia="宋体"/>
                <w:sz w:val="24"/>
              </w:rPr>
              <w:t>（2024年度）</w:t>
            </w:r>
          </w:p>
        </w:tc>
      </w:tr>
      <w:tr w14:paraId="1A10D22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A42755">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05D5E26">
            <w:pPr>
              <w:jc w:val="center"/>
            </w:pPr>
            <w:r>
              <w:rPr>
                <w:rFonts w:ascii="宋体" w:hAnsi="宋体" w:eastAsia="宋体"/>
                <w:sz w:val="16"/>
              </w:rPr>
              <w:t>疏附县人民法院</w:t>
            </w:r>
          </w:p>
        </w:tc>
      </w:tr>
      <w:tr w14:paraId="61A05A0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D856F7">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82FB2">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EB48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8BC30">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2B9F5">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3444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518A3">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C18E5">
            <w:pPr>
              <w:jc w:val="center"/>
            </w:pPr>
            <w:r>
              <w:rPr>
                <w:rFonts w:ascii="宋体" w:hAnsi="宋体" w:eastAsia="宋体"/>
                <w:sz w:val="16"/>
              </w:rPr>
              <w:t>得分</w:t>
            </w:r>
          </w:p>
        </w:tc>
      </w:tr>
      <w:tr w14:paraId="45DA81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AA25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D0A77">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68DD49">
            <w:pPr>
              <w:jc w:val="center"/>
            </w:pPr>
            <w:r>
              <w:rPr>
                <w:rFonts w:ascii="宋体" w:hAnsi="宋体" w:eastAsia="宋体"/>
                <w:sz w:val="16"/>
              </w:rPr>
              <w:t>2,238.86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43857">
            <w:pPr>
              <w:jc w:val="center"/>
            </w:pPr>
            <w:r>
              <w:rPr>
                <w:rFonts w:ascii="宋体" w:hAnsi="宋体" w:eastAsia="宋体"/>
                <w:sz w:val="16"/>
              </w:rPr>
              <w:t>2,228.32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2520D">
            <w:pPr>
              <w:jc w:val="center"/>
            </w:pPr>
            <w:r>
              <w:rPr>
                <w:rFonts w:ascii="宋体" w:hAnsi="宋体" w:eastAsia="宋体"/>
                <w:sz w:val="16"/>
              </w:rPr>
              <w:t>2,095.74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64E3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00EEA">
            <w:pPr>
              <w:jc w:val="center"/>
            </w:pPr>
            <w:r>
              <w:rPr>
                <w:rFonts w:ascii="宋体" w:hAnsi="宋体" w:eastAsia="宋体"/>
                <w:sz w:val="16"/>
              </w:rPr>
              <w:t>94.05%</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F2332">
            <w:pPr>
              <w:jc w:val="center"/>
            </w:pPr>
            <w:r>
              <w:rPr>
                <w:rFonts w:ascii="宋体" w:hAnsi="宋体" w:eastAsia="宋体"/>
                <w:sz w:val="16"/>
              </w:rPr>
              <w:t>9.41</w:t>
            </w:r>
          </w:p>
        </w:tc>
      </w:tr>
      <w:tr w14:paraId="25F934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E00D5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7C30A">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D2283">
            <w:pPr>
              <w:jc w:val="center"/>
            </w:pPr>
            <w:r>
              <w:rPr>
                <w:rFonts w:ascii="宋体" w:hAnsi="宋体" w:eastAsia="宋体"/>
                <w:sz w:val="16"/>
              </w:rPr>
              <w:t>491.27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40D56">
            <w:pPr>
              <w:jc w:val="center"/>
            </w:pPr>
            <w:r>
              <w:rPr>
                <w:rFonts w:ascii="宋体" w:hAnsi="宋体" w:eastAsia="宋体"/>
                <w:sz w:val="16"/>
              </w:rPr>
              <w:t>548.57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B56E2">
            <w:pPr>
              <w:jc w:val="center"/>
            </w:pPr>
            <w:r>
              <w:rPr>
                <w:rFonts w:ascii="宋体" w:hAnsi="宋体" w:eastAsia="宋体"/>
                <w:sz w:val="16"/>
              </w:rPr>
              <w:t>430.86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7704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72E1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F4854">
            <w:pPr>
              <w:jc w:val="center"/>
            </w:pPr>
            <w:r>
              <w:rPr>
                <w:rFonts w:ascii="宋体" w:hAnsi="宋体" w:eastAsia="宋体"/>
                <w:sz w:val="16"/>
              </w:rPr>
              <w:t>—</w:t>
            </w:r>
          </w:p>
        </w:tc>
      </w:tr>
      <w:tr w14:paraId="13AFDD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9EB9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E6CEB">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FAE35">
            <w:pPr>
              <w:jc w:val="center"/>
            </w:pPr>
            <w:r>
              <w:rPr>
                <w:rFonts w:ascii="宋体" w:hAnsi="宋体" w:eastAsia="宋体"/>
                <w:sz w:val="16"/>
              </w:rPr>
              <w:t>1,735.13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2D1B2">
            <w:pPr>
              <w:jc w:val="center"/>
            </w:pPr>
            <w:r>
              <w:rPr>
                <w:rFonts w:ascii="宋体" w:hAnsi="宋体" w:eastAsia="宋体"/>
                <w:sz w:val="16"/>
              </w:rPr>
              <w:t>1,667.29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E4110">
            <w:pPr>
              <w:jc w:val="center"/>
            </w:pPr>
            <w:r>
              <w:rPr>
                <w:rFonts w:ascii="宋体" w:hAnsi="宋体" w:eastAsia="宋体"/>
                <w:sz w:val="16"/>
              </w:rPr>
              <w:t>1,657.98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7F21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538E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02ADD">
            <w:pPr>
              <w:jc w:val="center"/>
            </w:pPr>
            <w:r>
              <w:rPr>
                <w:rFonts w:ascii="宋体" w:hAnsi="宋体" w:eastAsia="宋体"/>
                <w:sz w:val="16"/>
              </w:rPr>
              <w:t>—</w:t>
            </w:r>
          </w:p>
        </w:tc>
      </w:tr>
      <w:tr w14:paraId="060AF9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1256A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207E3">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C4C8C">
            <w:pPr>
              <w:jc w:val="center"/>
            </w:pPr>
            <w:r>
              <w:rPr>
                <w:rFonts w:ascii="宋体" w:hAnsi="宋体" w:eastAsia="宋体"/>
                <w:sz w:val="16"/>
              </w:rPr>
              <w:t>12.46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34DBF">
            <w:pPr>
              <w:jc w:val="center"/>
            </w:pPr>
            <w:r>
              <w:rPr>
                <w:rFonts w:ascii="宋体" w:hAnsi="宋体" w:eastAsia="宋体"/>
                <w:sz w:val="16"/>
              </w:rPr>
              <w:t>12.46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2D493">
            <w:pPr>
              <w:jc w:val="center"/>
            </w:pPr>
            <w:r>
              <w:rPr>
                <w:rFonts w:ascii="宋体" w:hAnsi="宋体" w:eastAsia="宋体"/>
                <w:sz w:val="16"/>
              </w:rPr>
              <w:t>6.90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CB90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9F0D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49885">
            <w:pPr>
              <w:jc w:val="center"/>
            </w:pPr>
            <w:r>
              <w:rPr>
                <w:rFonts w:ascii="宋体" w:hAnsi="宋体" w:eastAsia="宋体"/>
                <w:sz w:val="16"/>
              </w:rPr>
              <w:t>—</w:t>
            </w:r>
          </w:p>
        </w:tc>
      </w:tr>
      <w:tr w14:paraId="72BBDA7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17475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43D8C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A4C682">
            <w:pPr>
              <w:jc w:val="center"/>
            </w:pPr>
            <w:r>
              <w:rPr>
                <w:rFonts w:ascii="宋体" w:hAnsi="宋体" w:eastAsia="宋体"/>
                <w:sz w:val="16"/>
              </w:rPr>
              <w:t>实际完成情况</w:t>
            </w:r>
          </w:p>
        </w:tc>
      </w:tr>
      <w:tr w14:paraId="0A8689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7054C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76E7B2">
            <w:pPr>
              <w:jc w:val="both"/>
            </w:pPr>
            <w:r>
              <w:rPr>
                <w:rFonts w:ascii="宋体" w:hAnsi="宋体" w:eastAsia="宋体"/>
                <w:sz w:val="16"/>
              </w:rPr>
              <w:t>2024年我院坚持政治建院，力争打造10个以上“无诉村（社区）”，进一步筑牢思想根基，完善政治轮训，依法独立行使审判权，履行审判职能，保障公民合法权益，积极推进以审判为中心的刑事诉讼制度改革，促进基层纠纷治理工作。以建设多元化法庭为目标，确保案件受理结案率达96%以上，优化法庭功能、延伸司法服务</w:t>
            </w:r>
            <w:r>
              <w:rPr>
                <w:rFonts w:hint="eastAsia" w:ascii="宋体" w:hAnsi="宋体"/>
                <w:sz w:val="16"/>
                <w:lang w:eastAsia="zh-CN"/>
              </w:rPr>
              <w:t>，为</w:t>
            </w:r>
            <w:r>
              <w:rPr>
                <w:rFonts w:ascii="宋体" w:hAnsi="宋体" w:eastAsia="宋体"/>
                <w:sz w:val="16"/>
              </w:rPr>
              <w:t>优化营商环境提供有效法治保障。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2760DE">
            <w:pPr>
              <w:jc w:val="both"/>
            </w:pPr>
            <w:r>
              <w:rPr>
                <w:rFonts w:ascii="宋体" w:hAnsi="宋体" w:eastAsia="宋体"/>
                <w:sz w:val="16"/>
              </w:rPr>
              <w:t>全年案件受理数为3903件，法官人均结案144.56件，成功打造10个“无诉村（社区）”，审限结案率达100%，受理案件结案率达95%。通过项目的实施，有效保障了干警合法权益，通过培训业务，有效提升法官业务能力和综合素质；科技法庭及乌帕尔法庭升级改造，提升了办案效率与服务能力，使公民合法权益得到了保障。</w:t>
            </w:r>
          </w:p>
        </w:tc>
      </w:tr>
      <w:tr w14:paraId="02F961A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24ED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9CFF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791D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B192C">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28762">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AC72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ACF0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43E2C">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F82B5">
            <w:pPr>
              <w:jc w:val="center"/>
            </w:pPr>
            <w:r>
              <w:rPr>
                <w:rFonts w:ascii="宋体" w:hAnsi="宋体" w:eastAsia="宋体"/>
                <w:sz w:val="16"/>
              </w:rPr>
              <w:t>得分</w:t>
            </w:r>
          </w:p>
        </w:tc>
      </w:tr>
      <w:tr w14:paraId="39D7A30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EBF013">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C8D24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6FC39">
            <w:pPr>
              <w:jc w:val="center"/>
            </w:pPr>
            <w:r>
              <w:rPr>
                <w:rFonts w:ascii="宋体" w:hAnsi="宋体" w:eastAsia="宋体"/>
                <w:sz w:val="16"/>
              </w:rPr>
              <w:t>案件受理数量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55BFD">
            <w:pPr>
              <w:jc w:val="center"/>
            </w:pPr>
            <w:r>
              <w:rPr>
                <w:rFonts w:ascii="宋体" w:hAnsi="宋体" w:eastAsia="宋体"/>
                <w:sz w:val="16"/>
              </w:rPr>
              <w:t>&gt;=3740件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0541C">
            <w:pPr>
              <w:jc w:val="center"/>
            </w:pPr>
            <w:r>
              <w:rPr>
                <w:rFonts w:ascii="宋体" w:hAnsi="宋体" w:eastAsia="宋体"/>
                <w:sz w:val="16"/>
              </w:rPr>
              <w:t>疏附县人民法院2024年工作计划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4BD5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95DE7">
            <w:pPr>
              <w:jc w:val="center"/>
            </w:pPr>
            <w:r>
              <w:rPr>
                <w:rFonts w:ascii="宋体" w:hAnsi="宋体" w:eastAsia="宋体"/>
                <w:sz w:val="16"/>
              </w:rPr>
              <w:t>3903件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6CD1F">
            <w:pPr>
              <w:jc w:val="center"/>
            </w:pPr>
            <w:r>
              <w:rPr>
                <w:rFonts w:ascii="宋体" w:hAnsi="宋体" w:eastAsia="宋体"/>
                <w:sz w:val="16"/>
              </w:rPr>
              <w:t>104.36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E5B5F">
            <w:pPr>
              <w:jc w:val="center"/>
            </w:pPr>
            <w:r>
              <w:rPr>
                <w:rFonts w:ascii="宋体" w:hAnsi="宋体" w:eastAsia="宋体"/>
                <w:sz w:val="16"/>
              </w:rPr>
              <w:t>20</w:t>
            </w:r>
          </w:p>
        </w:tc>
      </w:tr>
      <w:tr w14:paraId="42FAE0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B36DD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B3457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A3DFC">
            <w:pPr>
              <w:jc w:val="center"/>
            </w:pPr>
            <w:r>
              <w:rPr>
                <w:rFonts w:ascii="宋体" w:hAnsi="宋体" w:eastAsia="宋体"/>
                <w:sz w:val="16"/>
              </w:rPr>
              <w:t>法官人均结案数量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712A5">
            <w:pPr>
              <w:jc w:val="center"/>
            </w:pPr>
            <w:r>
              <w:rPr>
                <w:rFonts w:ascii="宋体" w:hAnsi="宋体" w:eastAsia="宋体"/>
                <w:sz w:val="16"/>
              </w:rPr>
              <w:t>&gt;=120件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96E4C">
            <w:pPr>
              <w:jc w:val="center"/>
            </w:pPr>
            <w:r>
              <w:rPr>
                <w:rFonts w:ascii="宋体" w:hAnsi="宋体" w:eastAsia="宋体"/>
                <w:sz w:val="16"/>
              </w:rPr>
              <w:t>疏附县人民法院2024年工作计划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E6D1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ECBC3B">
            <w:pPr>
              <w:jc w:val="center"/>
            </w:pPr>
            <w:r>
              <w:rPr>
                <w:rFonts w:ascii="宋体" w:hAnsi="宋体" w:eastAsia="宋体"/>
                <w:sz w:val="16"/>
              </w:rPr>
              <w:t>144.56件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82172">
            <w:pPr>
              <w:jc w:val="center"/>
            </w:pPr>
            <w:r>
              <w:rPr>
                <w:rFonts w:ascii="宋体" w:hAnsi="宋体" w:eastAsia="宋体"/>
                <w:sz w:val="16"/>
              </w:rPr>
              <w:t>120.47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8A9A4">
            <w:pPr>
              <w:jc w:val="center"/>
            </w:pPr>
            <w:r>
              <w:rPr>
                <w:rFonts w:ascii="宋体" w:hAnsi="宋体" w:eastAsia="宋体"/>
                <w:sz w:val="16"/>
              </w:rPr>
              <w:t>20</w:t>
            </w:r>
          </w:p>
        </w:tc>
      </w:tr>
      <w:tr w14:paraId="493215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3D527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9E9D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E662A">
            <w:pPr>
              <w:jc w:val="center"/>
            </w:pPr>
            <w:r>
              <w:rPr>
                <w:rFonts w:ascii="宋体" w:hAnsi="宋体" w:eastAsia="宋体"/>
                <w:sz w:val="16"/>
              </w:rPr>
              <w:t>打造“无诉村（社区）”数量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CE1D9">
            <w:pPr>
              <w:jc w:val="center"/>
            </w:pPr>
            <w:r>
              <w:rPr>
                <w:rFonts w:ascii="宋体" w:hAnsi="宋体" w:eastAsia="宋体"/>
                <w:sz w:val="16"/>
              </w:rPr>
              <w:t>&gt;=10个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013229">
            <w:pPr>
              <w:jc w:val="center"/>
            </w:pPr>
            <w:r>
              <w:rPr>
                <w:rFonts w:ascii="宋体" w:hAnsi="宋体" w:eastAsia="宋体"/>
                <w:sz w:val="16"/>
              </w:rPr>
              <w:t>疏附县人民法院2024年工作计划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03E9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C2534">
            <w:pPr>
              <w:jc w:val="center"/>
            </w:pPr>
            <w:r>
              <w:rPr>
                <w:rFonts w:ascii="宋体" w:hAnsi="宋体" w:eastAsia="宋体"/>
                <w:sz w:val="16"/>
              </w:rPr>
              <w:t>10个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027D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B4BD0">
            <w:pPr>
              <w:jc w:val="center"/>
            </w:pPr>
            <w:r>
              <w:rPr>
                <w:rFonts w:ascii="宋体" w:hAnsi="宋体" w:eastAsia="宋体"/>
                <w:sz w:val="16"/>
              </w:rPr>
              <w:t>20</w:t>
            </w:r>
          </w:p>
        </w:tc>
      </w:tr>
      <w:tr w14:paraId="2CDD74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B0178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3F983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F238F">
            <w:pPr>
              <w:jc w:val="center"/>
            </w:pPr>
            <w:r>
              <w:rPr>
                <w:rFonts w:ascii="宋体" w:hAnsi="宋体" w:eastAsia="宋体"/>
                <w:sz w:val="16"/>
              </w:rPr>
              <w:t>受理案件结案率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B8279">
            <w:pPr>
              <w:jc w:val="center"/>
            </w:pPr>
            <w:r>
              <w:rPr>
                <w:rFonts w:ascii="宋体" w:hAnsi="宋体" w:eastAsia="宋体"/>
                <w:sz w:val="16"/>
              </w:rPr>
              <w:t>&gt;=96.71%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0FCCE">
            <w:pPr>
              <w:jc w:val="center"/>
            </w:pPr>
            <w:r>
              <w:rPr>
                <w:rFonts w:ascii="宋体" w:hAnsi="宋体" w:eastAsia="宋体"/>
                <w:sz w:val="16"/>
              </w:rPr>
              <w:t>疏附县人民法院2023年工作总结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C744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43CA3">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00429">
            <w:pPr>
              <w:jc w:val="center"/>
            </w:pPr>
            <w:r>
              <w:rPr>
                <w:rFonts w:ascii="宋体" w:hAnsi="宋体" w:eastAsia="宋体"/>
                <w:sz w:val="16"/>
              </w:rPr>
              <w:t>98.23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DEBB4">
            <w:pPr>
              <w:jc w:val="center"/>
            </w:pPr>
            <w:r>
              <w:rPr>
                <w:rFonts w:ascii="宋体" w:hAnsi="宋体" w:eastAsia="宋体"/>
                <w:sz w:val="16"/>
              </w:rPr>
              <w:t>19.12</w:t>
            </w:r>
          </w:p>
        </w:tc>
      </w:tr>
      <w:tr w14:paraId="1D20FD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CF85C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4FF27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C63C7">
            <w:pPr>
              <w:jc w:val="center"/>
            </w:pPr>
            <w:r>
              <w:rPr>
                <w:rFonts w:ascii="宋体" w:hAnsi="宋体" w:eastAsia="宋体"/>
                <w:sz w:val="16"/>
              </w:rPr>
              <w:t>审限结案率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C8F3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1DF76">
            <w:pPr>
              <w:jc w:val="center"/>
            </w:pPr>
            <w:r>
              <w:rPr>
                <w:rFonts w:ascii="宋体" w:hAnsi="宋体" w:eastAsia="宋体"/>
                <w:sz w:val="16"/>
              </w:rPr>
              <w:t>疏附县人民法院2023年工作总结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3B0D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FF58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A92F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6B275">
            <w:pPr>
              <w:jc w:val="center"/>
            </w:pPr>
            <w:r>
              <w:rPr>
                <w:rFonts w:ascii="宋体" w:hAnsi="宋体" w:eastAsia="宋体"/>
                <w:sz w:val="16"/>
              </w:rPr>
              <w:t>10</w:t>
            </w:r>
          </w:p>
        </w:tc>
      </w:tr>
    </w:tbl>
    <w:p w14:paraId="3EC3C79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D0D39AD">
        <w:tc>
          <w:tcPr>
            <w:tcW w:w="8848" w:type="dxa"/>
            <w:gridSpan w:val="14"/>
            <w:vAlign w:val="center"/>
          </w:tcPr>
          <w:p w14:paraId="457BD73F">
            <w:pPr>
              <w:jc w:val="center"/>
            </w:pPr>
            <w:r>
              <w:rPr>
                <w:rFonts w:ascii="宋体" w:hAnsi="宋体" w:eastAsia="宋体"/>
                <w:sz w:val="24"/>
              </w:rPr>
              <w:t>项目支出绩效自评表</w:t>
            </w:r>
          </w:p>
        </w:tc>
      </w:tr>
      <w:tr w14:paraId="304F5F1D">
        <w:tblPrEx>
          <w:tblCellMar>
            <w:top w:w="0" w:type="dxa"/>
            <w:left w:w="108" w:type="dxa"/>
            <w:bottom w:w="0" w:type="dxa"/>
            <w:right w:w="108" w:type="dxa"/>
          </w:tblCellMar>
        </w:tblPrEx>
        <w:tc>
          <w:tcPr>
            <w:tcW w:w="8848" w:type="dxa"/>
            <w:gridSpan w:val="14"/>
            <w:vAlign w:val="center"/>
          </w:tcPr>
          <w:p w14:paraId="04849ED3">
            <w:pPr>
              <w:jc w:val="center"/>
            </w:pPr>
            <w:r>
              <w:rPr>
                <w:rFonts w:ascii="宋体" w:hAnsi="宋体" w:eastAsia="宋体"/>
                <w:sz w:val="24"/>
              </w:rPr>
              <w:t>(2024年度)</w:t>
            </w:r>
          </w:p>
        </w:tc>
      </w:tr>
      <w:tr w14:paraId="33740A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0B3A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527326C">
            <w:pPr>
              <w:jc w:val="center"/>
            </w:pPr>
            <w:r>
              <w:rPr>
                <w:rFonts w:ascii="宋体" w:hAnsi="宋体" w:eastAsia="宋体"/>
                <w:sz w:val="16"/>
              </w:rPr>
              <w:t>相关配套设备及关心关爱项目</w:t>
            </w:r>
          </w:p>
        </w:tc>
      </w:tr>
      <w:tr w14:paraId="4FDDB9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34BF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311D1A">
            <w:pPr>
              <w:jc w:val="center"/>
            </w:pPr>
            <w:r>
              <w:rPr>
                <w:rFonts w:ascii="宋体" w:hAnsi="宋体" w:eastAsia="宋体"/>
                <w:sz w:val="16"/>
              </w:rPr>
              <w:t>疏附县人民法院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7F89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6B0F6F">
            <w:pPr>
              <w:jc w:val="center"/>
            </w:pPr>
            <w:r>
              <w:rPr>
                <w:rFonts w:ascii="宋体" w:hAnsi="宋体" w:eastAsia="宋体"/>
                <w:sz w:val="16"/>
              </w:rPr>
              <w:t>疏附县人民法院</w:t>
            </w:r>
          </w:p>
        </w:tc>
      </w:tr>
      <w:tr w14:paraId="2F5F33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CAB8B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A81B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258C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B6AD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9FEE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6CCE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B7C7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3A345">
            <w:pPr>
              <w:jc w:val="center"/>
            </w:pPr>
            <w:r>
              <w:rPr>
                <w:rFonts w:ascii="宋体" w:hAnsi="宋体" w:eastAsia="宋体"/>
                <w:sz w:val="16"/>
              </w:rPr>
              <w:t>得分</w:t>
            </w:r>
          </w:p>
        </w:tc>
      </w:tr>
      <w:tr w14:paraId="1C1508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575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6214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70B18">
            <w:pPr>
              <w:jc w:val="center"/>
            </w:pPr>
            <w:r>
              <w:rPr>
                <w:rFonts w:ascii="宋体" w:hAnsi="宋体" w:eastAsia="宋体"/>
                <w:sz w:val="16"/>
              </w:rPr>
              <w:t>12.46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D770B">
            <w:pPr>
              <w:jc w:val="center"/>
            </w:pPr>
            <w:r>
              <w:rPr>
                <w:rFonts w:ascii="宋体" w:hAnsi="宋体" w:eastAsia="宋体"/>
                <w:sz w:val="16"/>
              </w:rPr>
              <w:t>12.46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EA2E6">
            <w:pPr>
              <w:jc w:val="center"/>
            </w:pPr>
            <w:r>
              <w:rPr>
                <w:rFonts w:ascii="宋体" w:hAnsi="宋体" w:eastAsia="宋体"/>
                <w:sz w:val="16"/>
              </w:rPr>
              <w:t>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741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58999">
            <w:pPr>
              <w:jc w:val="center"/>
            </w:pPr>
            <w:r>
              <w:rPr>
                <w:rFonts w:ascii="宋体" w:hAnsi="宋体" w:eastAsia="宋体"/>
                <w:sz w:val="16"/>
              </w:rPr>
              <w:t>55.4%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5AC6A">
            <w:pPr>
              <w:jc w:val="center"/>
            </w:pPr>
            <w:r>
              <w:rPr>
                <w:rFonts w:ascii="宋体" w:hAnsi="宋体" w:eastAsia="宋体"/>
                <w:sz w:val="16"/>
              </w:rPr>
              <w:t>0.00分</w:t>
            </w:r>
          </w:p>
        </w:tc>
      </w:tr>
      <w:tr w14:paraId="0F2586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70C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D1C0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A83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19A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80A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C92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2BF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67A8C">
            <w:pPr>
              <w:jc w:val="center"/>
            </w:pPr>
            <w:r>
              <w:rPr>
                <w:rFonts w:ascii="宋体" w:hAnsi="宋体" w:eastAsia="宋体"/>
                <w:sz w:val="16"/>
              </w:rPr>
              <w:t>—</w:t>
            </w:r>
          </w:p>
        </w:tc>
      </w:tr>
      <w:tr w14:paraId="710BAC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53D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C13F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F0454">
            <w:pPr>
              <w:jc w:val="center"/>
            </w:pPr>
            <w:r>
              <w:rPr>
                <w:rFonts w:ascii="宋体" w:hAnsi="宋体" w:eastAsia="宋体"/>
                <w:sz w:val="16"/>
              </w:rPr>
              <w:t>12.46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3FC41">
            <w:pPr>
              <w:jc w:val="center"/>
            </w:pPr>
            <w:r>
              <w:rPr>
                <w:rFonts w:ascii="宋体" w:hAnsi="宋体" w:eastAsia="宋体"/>
                <w:sz w:val="16"/>
              </w:rPr>
              <w:t>12.46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8A000">
            <w:pPr>
              <w:jc w:val="center"/>
            </w:pPr>
            <w:r>
              <w:rPr>
                <w:rFonts w:ascii="宋体" w:hAnsi="宋体" w:eastAsia="宋体"/>
                <w:sz w:val="16"/>
              </w:rPr>
              <w:t>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1E2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83E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2493A">
            <w:pPr>
              <w:jc w:val="center"/>
            </w:pPr>
            <w:r>
              <w:rPr>
                <w:rFonts w:ascii="宋体" w:hAnsi="宋体" w:eastAsia="宋体"/>
                <w:sz w:val="16"/>
              </w:rPr>
              <w:t>—</w:t>
            </w:r>
          </w:p>
        </w:tc>
      </w:tr>
      <w:tr w14:paraId="10D521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CAC5C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9B9D9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9D4240">
            <w:pPr>
              <w:jc w:val="center"/>
            </w:pPr>
            <w:r>
              <w:rPr>
                <w:rFonts w:ascii="宋体" w:hAnsi="宋体" w:eastAsia="宋体"/>
                <w:sz w:val="16"/>
              </w:rPr>
              <w:t>实际完成情况</w:t>
            </w:r>
          </w:p>
        </w:tc>
      </w:tr>
      <w:tr w14:paraId="2F0723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1F46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728119">
            <w:pPr>
              <w:jc w:val="both"/>
            </w:pPr>
            <w:r>
              <w:rPr>
                <w:rFonts w:ascii="宋体" w:hAnsi="宋体" w:eastAsia="宋体"/>
                <w:sz w:val="16"/>
              </w:rPr>
              <w:t>该项目为上年结转项目，总资金50万元，今年计划投入12.46万元主要用于我院对干部的关心关爱，用于后勤保障。本年度计划投入124583.50元，体现对干警的关心关爱。其中10000元用于垃圾三轮车，11134元用于改善院内环境绿化及维修维护，103449.50元用于食堂伙食补助，增加干警归属感，提高干警工作积极性从而全面提升司法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23D159">
            <w:pPr>
              <w:jc w:val="both"/>
            </w:pPr>
            <w:r>
              <w:rPr>
                <w:rFonts w:ascii="宋体" w:hAnsi="宋体" w:eastAsia="宋体"/>
                <w:sz w:val="16"/>
              </w:rPr>
              <w:t>该项目为上年结转项目，总资金50万元，今年计划投入12.46万元主要用于我院对干部的关心关爱，用于后勤保障。因客观原因，实际执行6.9万元，完成了物业费支出及部分伙食补助。</w:t>
            </w:r>
          </w:p>
        </w:tc>
      </w:tr>
      <w:tr w14:paraId="415C4F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72AB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BCA8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CE85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8102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4314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6EE3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4279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C21D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30EB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013A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EE3F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734C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26AD8">
            <w:pPr>
              <w:jc w:val="center"/>
            </w:pPr>
            <w:r>
              <w:rPr>
                <w:rFonts w:ascii="宋体" w:hAnsi="宋体" w:eastAsia="宋体"/>
                <w:sz w:val="16"/>
              </w:rPr>
              <w:t>偏差原因分析及改进措施</w:t>
            </w:r>
          </w:p>
        </w:tc>
      </w:tr>
      <w:tr w14:paraId="62696A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277D9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27AC3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8773F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EF42A">
            <w:pPr>
              <w:jc w:val="center"/>
            </w:pPr>
            <w:r>
              <w:rPr>
                <w:rFonts w:ascii="宋体" w:hAnsi="宋体" w:eastAsia="宋体"/>
                <w:sz w:val="16"/>
              </w:rPr>
              <w:t>食堂伙食补助受益人数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47276">
            <w:pPr>
              <w:jc w:val="center"/>
            </w:pPr>
            <w:r>
              <w:rPr>
                <w:rFonts w:ascii="宋体" w:hAnsi="宋体" w:eastAsia="宋体"/>
                <w:sz w:val="16"/>
              </w:rPr>
              <w:t>&gt;=45人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6E6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AA4F8">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112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0FA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F31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C4BA4">
            <w:pPr>
              <w:jc w:val="center"/>
            </w:pPr>
            <w:r>
              <w:rPr>
                <w:rFonts w:ascii="宋体" w:hAnsi="宋体" w:eastAsia="宋体"/>
                <w:sz w:val="16"/>
              </w:rPr>
              <w:t>=86人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64D4D">
            <w:pPr>
              <w:jc w:val="center"/>
            </w:pPr>
            <w:r>
              <w:rPr>
                <w:rFonts w:ascii="宋体" w:hAnsi="宋体" w:eastAsia="宋体"/>
                <w:sz w:val="16"/>
              </w:rPr>
              <w:t>0.89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641CE">
            <w:pPr>
              <w:jc w:val="center"/>
            </w:pPr>
            <w:r>
              <w:rPr>
                <w:rFonts w:ascii="宋体" w:hAnsi="宋体" w:eastAsia="宋体"/>
                <w:sz w:val="16"/>
              </w:rPr>
              <w:t>偏差原因：因伙食质量提高，来食堂吃饭人数增加</w:t>
            </w:r>
          </w:p>
        </w:tc>
      </w:tr>
      <w:tr w14:paraId="2DD8AC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A59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4F2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F8D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E87AB">
            <w:pPr>
              <w:jc w:val="center"/>
            </w:pPr>
            <w:r>
              <w:rPr>
                <w:rFonts w:ascii="宋体" w:hAnsi="宋体" w:eastAsia="宋体"/>
                <w:sz w:val="16"/>
              </w:rPr>
              <w:t>伙食补助次数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2C7F6">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E87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A2EF1">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1AF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B56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58E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A06B0">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3ACD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9F3E3">
            <w:pPr>
              <w:jc w:val="center"/>
            </w:pPr>
            <w:r>
              <w:rPr>
                <w:rFonts w:ascii="宋体" w:hAnsi="宋体" w:eastAsia="宋体"/>
                <w:sz w:val="16"/>
              </w:rPr>
              <w:t>偏差原因：因单位开源节流，减少相关开支，故产生偏差。改进措施：</w:t>
            </w:r>
          </w:p>
        </w:tc>
      </w:tr>
      <w:tr w14:paraId="3FADC1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7D1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D46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9EAD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C6160">
            <w:pPr>
              <w:jc w:val="center"/>
            </w:pPr>
            <w:r>
              <w:rPr>
                <w:rFonts w:ascii="宋体" w:hAnsi="宋体" w:eastAsia="宋体"/>
                <w:sz w:val="16"/>
              </w:rPr>
              <w:t>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70A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0A0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37E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D84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F565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B34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781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306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9F697">
            <w:pPr>
              <w:jc w:val="center"/>
            </w:pPr>
          </w:p>
        </w:tc>
      </w:tr>
      <w:tr w14:paraId="09082C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DC4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FEB0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81891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20289">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00F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657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F45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B4F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9C16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2F7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56B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A63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C4693">
            <w:pPr>
              <w:jc w:val="center"/>
            </w:pPr>
          </w:p>
        </w:tc>
      </w:tr>
      <w:tr w14:paraId="236615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C4E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5F4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A7E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77E3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698C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5E1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983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339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40B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4C0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AF69C">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406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24D35">
            <w:pPr>
              <w:jc w:val="center"/>
            </w:pPr>
          </w:p>
        </w:tc>
      </w:tr>
      <w:tr w14:paraId="59DE3D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8CB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D71C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0CB2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DC464">
            <w:pPr>
              <w:jc w:val="center"/>
            </w:pPr>
            <w:r>
              <w:rPr>
                <w:rFonts w:ascii="宋体" w:hAnsi="宋体" w:eastAsia="宋体"/>
                <w:sz w:val="16"/>
              </w:rPr>
              <w:t>提升司法公信力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AF70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F917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C56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02B8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E97B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CED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5920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4076E">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49D02">
            <w:pPr>
              <w:jc w:val="center"/>
            </w:pPr>
          </w:p>
        </w:tc>
      </w:tr>
      <w:tr w14:paraId="6D4BAE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0E2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A03E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5231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8FCC5">
            <w:pPr>
              <w:jc w:val="center"/>
            </w:pPr>
            <w:r>
              <w:rPr>
                <w:rFonts w:ascii="宋体" w:hAnsi="宋体" w:eastAsia="宋体"/>
                <w:sz w:val="16"/>
              </w:rPr>
              <w:t>受益干警满意度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82908">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2FA3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BB469">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A31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509F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AFB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ACB51">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645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AABCE">
            <w:pPr>
              <w:jc w:val="center"/>
            </w:pPr>
          </w:p>
        </w:tc>
      </w:tr>
      <w:tr w14:paraId="395E86D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E2AB7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49FF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98A88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F5F46">
            <w:pPr>
              <w:jc w:val="center"/>
            </w:pPr>
            <w:r>
              <w:rPr>
                <w:rFonts w:ascii="宋体" w:hAnsi="宋体" w:eastAsia="宋体"/>
                <w:sz w:val="16"/>
              </w:rPr>
              <w:t>70.89分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81F9688"/>
        </w:tc>
      </w:tr>
    </w:tbl>
    <w:p w14:paraId="7A23343C">
      <w:r>
        <w:br w:type="page"/>
      </w:r>
    </w:p>
    <w:p w14:paraId="5FCA9BCA">
      <w:pPr>
        <w:spacing w:line="640" w:lineRule="exact"/>
        <w:ind w:firstLine="640"/>
        <w:jc w:val="both"/>
        <w:outlineLvl w:val="2"/>
      </w:pPr>
      <w:r>
        <w:rPr>
          <w:rFonts w:ascii="黑体" w:hAnsi="黑体" w:eastAsia="黑体"/>
          <w:sz w:val="32"/>
        </w:rPr>
        <w:t>十二、其他需说明的事项</w:t>
      </w:r>
    </w:p>
    <w:p w14:paraId="036AAADB">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项目6个，全年预算数577.85万元，全年执行数450.82万元。</w:t>
      </w:r>
      <w:bookmarkStart w:id="0" w:name="_GoBack"/>
      <w:bookmarkEnd w:id="0"/>
    </w:p>
    <w:p w14:paraId="757FA029">
      <w:r>
        <w:br w:type="page"/>
      </w:r>
    </w:p>
    <w:p w14:paraId="6BC340E1">
      <w:pPr>
        <w:spacing w:line="240" w:lineRule="auto"/>
        <w:jc w:val="center"/>
        <w:outlineLvl w:val="1"/>
      </w:pPr>
      <w:r>
        <w:rPr>
          <w:rFonts w:ascii="黑体" w:hAnsi="黑体" w:eastAsia="黑体"/>
          <w:sz w:val="32"/>
        </w:rPr>
        <w:t>第三部分 专业名词解释</w:t>
      </w:r>
    </w:p>
    <w:p w14:paraId="684B4C9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BED0C7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7FE8DD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1CB784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6C5424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3F262D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F1A339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520A2A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F1C509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929128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223018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DE17AF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1049F6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248933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A31B524">
      <w:r>
        <w:br w:type="page"/>
      </w:r>
    </w:p>
    <w:p w14:paraId="451A78A9">
      <w:pPr>
        <w:spacing w:line="240" w:lineRule="auto"/>
        <w:jc w:val="center"/>
        <w:outlineLvl w:val="1"/>
      </w:pPr>
      <w:r>
        <w:rPr>
          <w:rFonts w:ascii="黑体" w:hAnsi="黑体" w:eastAsia="黑体"/>
          <w:sz w:val="32"/>
        </w:rPr>
        <w:t>第四部分 部门决算报表（见附表）</w:t>
      </w:r>
    </w:p>
    <w:p w14:paraId="609E2AFD">
      <w:pPr>
        <w:spacing w:line="240" w:lineRule="auto"/>
        <w:ind w:firstLine="640"/>
        <w:jc w:val="both"/>
      </w:pPr>
      <w:r>
        <w:rPr>
          <w:rFonts w:ascii="仿宋_GB2312" w:hAnsi="仿宋_GB2312" w:eastAsia="仿宋_GB2312"/>
          <w:b w:val="0"/>
          <w:sz w:val="32"/>
        </w:rPr>
        <w:t>一、《收入支出决算总表》</w:t>
      </w:r>
    </w:p>
    <w:p w14:paraId="136A6D79">
      <w:pPr>
        <w:spacing w:line="240" w:lineRule="auto"/>
        <w:ind w:firstLine="640"/>
        <w:jc w:val="both"/>
      </w:pPr>
      <w:r>
        <w:rPr>
          <w:rFonts w:ascii="仿宋_GB2312" w:hAnsi="仿宋_GB2312" w:eastAsia="仿宋_GB2312"/>
          <w:b w:val="0"/>
          <w:sz w:val="32"/>
        </w:rPr>
        <w:t>二、《收入决算表》</w:t>
      </w:r>
    </w:p>
    <w:p w14:paraId="04466E46">
      <w:pPr>
        <w:spacing w:line="240" w:lineRule="auto"/>
        <w:ind w:firstLine="640"/>
        <w:jc w:val="both"/>
      </w:pPr>
      <w:r>
        <w:rPr>
          <w:rFonts w:ascii="仿宋_GB2312" w:hAnsi="仿宋_GB2312" w:eastAsia="仿宋_GB2312"/>
          <w:b w:val="0"/>
          <w:sz w:val="32"/>
        </w:rPr>
        <w:t>三、《支出决算表》</w:t>
      </w:r>
    </w:p>
    <w:p w14:paraId="1A975B21">
      <w:pPr>
        <w:spacing w:line="240" w:lineRule="auto"/>
        <w:ind w:firstLine="640"/>
        <w:jc w:val="both"/>
      </w:pPr>
      <w:r>
        <w:rPr>
          <w:rFonts w:ascii="仿宋_GB2312" w:hAnsi="仿宋_GB2312" w:eastAsia="仿宋_GB2312"/>
          <w:b w:val="0"/>
          <w:sz w:val="32"/>
        </w:rPr>
        <w:t>四、《财政拨款收入支出决算总表》</w:t>
      </w:r>
    </w:p>
    <w:p w14:paraId="26210131">
      <w:pPr>
        <w:spacing w:line="240" w:lineRule="auto"/>
        <w:ind w:firstLine="640"/>
        <w:jc w:val="both"/>
      </w:pPr>
      <w:r>
        <w:rPr>
          <w:rFonts w:ascii="仿宋_GB2312" w:hAnsi="仿宋_GB2312" w:eastAsia="仿宋_GB2312"/>
          <w:b w:val="0"/>
          <w:sz w:val="32"/>
        </w:rPr>
        <w:t>五、《一般公共预算财政拨款支出决算表》</w:t>
      </w:r>
    </w:p>
    <w:p w14:paraId="1EF6CF7B">
      <w:pPr>
        <w:spacing w:line="240" w:lineRule="auto"/>
        <w:ind w:firstLine="640"/>
        <w:jc w:val="both"/>
      </w:pPr>
      <w:r>
        <w:rPr>
          <w:rFonts w:ascii="仿宋_GB2312" w:hAnsi="仿宋_GB2312" w:eastAsia="仿宋_GB2312"/>
          <w:b w:val="0"/>
          <w:sz w:val="32"/>
        </w:rPr>
        <w:t>六、《一般公共预算财政拨款基本支出决算表》</w:t>
      </w:r>
    </w:p>
    <w:p w14:paraId="13724F01">
      <w:pPr>
        <w:spacing w:line="240" w:lineRule="auto"/>
        <w:ind w:firstLine="640"/>
        <w:jc w:val="both"/>
      </w:pPr>
      <w:r>
        <w:rPr>
          <w:rFonts w:ascii="仿宋_GB2312" w:hAnsi="仿宋_GB2312" w:eastAsia="仿宋_GB2312"/>
          <w:b w:val="0"/>
          <w:sz w:val="32"/>
        </w:rPr>
        <w:t>七、《政府性基金预算财政拨款收入支出决算表》</w:t>
      </w:r>
    </w:p>
    <w:p w14:paraId="6D0C0AB6">
      <w:pPr>
        <w:spacing w:line="240" w:lineRule="auto"/>
        <w:ind w:firstLine="640"/>
        <w:jc w:val="both"/>
      </w:pPr>
      <w:r>
        <w:rPr>
          <w:rFonts w:ascii="仿宋_GB2312" w:hAnsi="仿宋_GB2312" w:eastAsia="仿宋_GB2312"/>
          <w:b w:val="0"/>
          <w:sz w:val="32"/>
        </w:rPr>
        <w:t>八、《国有资本经营预算财政拨款收入支出决算表》</w:t>
      </w:r>
    </w:p>
    <w:p w14:paraId="2DBCF0EE">
      <w:pPr>
        <w:spacing w:line="240" w:lineRule="auto"/>
        <w:ind w:firstLine="640"/>
        <w:jc w:val="both"/>
      </w:pPr>
      <w:r>
        <w:rPr>
          <w:rFonts w:ascii="仿宋_GB2312" w:hAnsi="仿宋_GB2312" w:eastAsia="仿宋_GB2312"/>
          <w:b w:val="0"/>
          <w:sz w:val="32"/>
        </w:rPr>
        <w:t>九、《财政拨款“三公”经费支出决算表》</w:t>
      </w:r>
    </w:p>
    <w:p w14:paraId="7D043F52">
      <w:pPr>
        <w:spacing w:line="240" w:lineRule="auto"/>
        <w:ind w:firstLine="640"/>
        <w:jc w:val="both"/>
      </w:pPr>
    </w:p>
    <w:p w14:paraId="710D2D04">
      <w:pPr>
        <w:spacing w:line="240" w:lineRule="auto"/>
        <w:ind w:firstLine="640"/>
        <w:jc w:val="both"/>
      </w:pPr>
    </w:p>
    <w:p w14:paraId="72E95D92">
      <w:pPr>
        <w:spacing w:line="240" w:lineRule="auto"/>
        <w:ind w:firstLine="640"/>
        <w:jc w:val="both"/>
      </w:pPr>
    </w:p>
    <w:p w14:paraId="5B93D320">
      <w:pPr>
        <w:spacing w:line="240" w:lineRule="auto"/>
        <w:ind w:firstLine="640"/>
        <w:jc w:val="both"/>
      </w:pPr>
    </w:p>
    <w:p w14:paraId="451C612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663FDA4-2742-4353-AF6B-A190166C7C9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DF95EDEE-6ACA-4C63-8439-E3F5A9F5F3E4}"/>
  </w:font>
  <w:font w:name="方正小标宋_GBK">
    <w:panose1 w:val="02000000000000000000"/>
    <w:charset w:val="86"/>
    <w:family w:val="script"/>
    <w:pitch w:val="default"/>
    <w:sig w:usb0="A00002BF" w:usb1="38CF7CFA" w:usb2="00082016" w:usb3="00000000" w:csb0="00040001" w:csb1="00000000"/>
    <w:embedRegular r:id="rId3" w:fontKey="{85198B23-8BBC-434D-8615-7D27C4E87B1F}"/>
  </w:font>
  <w:font w:name="楷体_GB2312">
    <w:panose1 w:val="02010609030101010101"/>
    <w:charset w:val="86"/>
    <w:family w:val="auto"/>
    <w:pitch w:val="default"/>
    <w:sig w:usb0="00000001" w:usb1="080E0000" w:usb2="00000000" w:usb3="00000000" w:csb0="00040000" w:csb1="00000000"/>
    <w:embedRegular r:id="rId4" w:fontKey="{936E8246-572F-4A49-98EE-891F0C0174C2}"/>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94B613B"/>
    <w:rsid w:val="2A053397"/>
    <w:rsid w:val="2A444FB1"/>
    <w:rsid w:val="2A6064E2"/>
    <w:rsid w:val="2C1965E9"/>
    <w:rsid w:val="2D1136DF"/>
    <w:rsid w:val="2DAE0E44"/>
    <w:rsid w:val="2FD27414"/>
    <w:rsid w:val="30DD3B77"/>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E944C60"/>
    <w:rsid w:val="4F3F074E"/>
    <w:rsid w:val="50DB5F45"/>
    <w:rsid w:val="527D7419"/>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9EB68C8"/>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10100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6465</Words>
  <Characters>7565</Characters>
  <Lines>0</Lines>
  <Paragraphs>0</Paragraphs>
  <TotalTime>4</TotalTime>
  <ScaleCrop>false</ScaleCrop>
  <LinksUpToDate>false</LinksUpToDate>
  <CharactersWithSpaces>7576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2025-09-29T03:37:45Z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