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英吉沙县人民检察院2024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5CEB78B">
      <w:r>
        <w:br w:type="page"/>
      </w:r>
    </w:p>
    <w:p w14:paraId="3A4E8649">
      <w:pPr>
        <w:spacing w:line="640" w:lineRule="exact"/>
        <w:jc w:val="center"/>
        <w:outlineLvl w:val="1"/>
      </w:pPr>
      <w:r>
        <w:rPr>
          <w:rFonts w:ascii="黑体" w:hAnsi="黑体" w:eastAsia="黑体"/>
          <w:sz w:val="32"/>
        </w:rPr>
        <w:t>第一部分 部门概况</w:t>
      </w:r>
    </w:p>
    <w:p w14:paraId="5F2CB817">
      <w:pPr>
        <w:spacing w:line="640" w:lineRule="exact"/>
        <w:ind w:firstLine="640"/>
        <w:jc w:val="both"/>
        <w:outlineLvl w:val="2"/>
      </w:pPr>
      <w:r>
        <w:rPr>
          <w:rFonts w:ascii="黑体" w:hAnsi="黑体" w:eastAsia="黑体"/>
          <w:sz w:val="32"/>
        </w:rPr>
        <w:t>一、主要职能</w:t>
      </w:r>
    </w:p>
    <w:p w14:paraId="76315E82">
      <w:pPr>
        <w:spacing w:line="580" w:lineRule="exact"/>
        <w:ind w:firstLine="640"/>
        <w:jc w:val="both"/>
      </w:pPr>
      <w:r>
        <w:rPr>
          <w:rFonts w:ascii="仿宋_GB2312" w:hAnsi="仿宋_GB2312" w:eastAsia="仿宋_GB2312"/>
          <w:sz w:val="32"/>
        </w:rPr>
        <w:t>英吉沙县人民检察院是国家的法律监督机关，主要任务是依照宪法和法律，履行法律监督职能，保证国家</w:t>
      </w:r>
      <w:bookmarkStart w:id="0" w:name="_GoBack"/>
      <w:bookmarkEnd w:id="0"/>
      <w:r>
        <w:rPr>
          <w:rFonts w:ascii="仿宋_GB2312" w:hAnsi="仿宋_GB2312" w:eastAsia="仿宋_GB2312"/>
          <w:sz w:val="32"/>
        </w:rPr>
        <w:t>法律的统一和正确实施，自觉接受上级业务主管部门和当地党委的领导。</w:t>
      </w:r>
    </w:p>
    <w:p w14:paraId="47739D00">
      <w:pPr>
        <w:spacing w:line="580" w:lineRule="exact"/>
        <w:ind w:firstLine="640"/>
        <w:jc w:val="both"/>
      </w:pPr>
      <w:r>
        <w:rPr>
          <w:rFonts w:ascii="仿宋_GB2312" w:hAnsi="仿宋_GB2312" w:eastAsia="仿宋_GB2312"/>
          <w:sz w:val="32"/>
        </w:rPr>
        <w:t>（一）充分发挥检察职能，全力维护社会安定。</w:t>
      </w:r>
    </w:p>
    <w:p w14:paraId="789D14DD">
      <w:pPr>
        <w:spacing w:line="580" w:lineRule="exact"/>
        <w:ind w:firstLine="640"/>
        <w:jc w:val="both"/>
      </w:pPr>
      <w:r>
        <w:rPr>
          <w:rFonts w:ascii="仿宋_GB2312" w:hAnsi="仿宋_GB2312" w:eastAsia="仿宋_GB2312"/>
          <w:sz w:val="32"/>
        </w:rPr>
        <w:t>（二）依法向英吉沙县人民代表大会及其常务委员会提出议案。</w:t>
      </w:r>
    </w:p>
    <w:p w14:paraId="5DF4E68B">
      <w:pPr>
        <w:spacing w:line="580" w:lineRule="exact"/>
        <w:ind w:firstLine="640"/>
        <w:jc w:val="both"/>
      </w:pPr>
      <w:r>
        <w:rPr>
          <w:rFonts w:ascii="仿宋_GB2312" w:hAnsi="仿宋_GB2312" w:eastAsia="仿宋_GB2312"/>
          <w:sz w:val="32"/>
        </w:rPr>
        <w:t>（三）贯彻落实检察工作方针、总体规划，完成检察工作任务。</w:t>
      </w:r>
    </w:p>
    <w:p w14:paraId="78860647">
      <w:pPr>
        <w:spacing w:line="580" w:lineRule="exact"/>
        <w:ind w:firstLine="640"/>
        <w:jc w:val="both"/>
      </w:pPr>
      <w:r>
        <w:rPr>
          <w:rFonts w:ascii="仿宋_GB2312" w:hAnsi="仿宋_GB2312" w:eastAsia="仿宋_GB2312"/>
          <w:sz w:val="32"/>
        </w:rPr>
        <w:t>（四）依法开展对刑事犯罪案件的审查批准逮捕、决定逮捕、审查起诉工作。</w:t>
      </w:r>
    </w:p>
    <w:p w14:paraId="41940FA3">
      <w:pPr>
        <w:spacing w:line="580" w:lineRule="exact"/>
        <w:ind w:firstLine="640"/>
        <w:jc w:val="both"/>
      </w:pPr>
      <w:r>
        <w:rPr>
          <w:rFonts w:ascii="仿宋_GB2312" w:hAnsi="仿宋_GB2312" w:eastAsia="仿宋_GB2312"/>
          <w:sz w:val="32"/>
        </w:rPr>
        <w:t>（五）负责应由英吉沙县人民检察院承办的刑事、民事、行政诉讼活动及刑事、民事、行政判决和裁定等生效法律文书执行的法律监督工作。</w:t>
      </w:r>
    </w:p>
    <w:p w14:paraId="090FDC15">
      <w:pPr>
        <w:spacing w:line="580" w:lineRule="exact"/>
        <w:ind w:firstLine="640"/>
        <w:jc w:val="both"/>
      </w:pPr>
      <w:r>
        <w:rPr>
          <w:rFonts w:ascii="仿宋_GB2312" w:hAnsi="仿宋_GB2312" w:eastAsia="仿宋_GB2312"/>
          <w:sz w:val="32"/>
        </w:rPr>
        <w:t>（六）负责对英吉沙县基层人民法院已发生法律效力、确有错误的判决和裁定，依法提请喀什地区检察分院向喀什地区中级人民法院提出抗诉。</w:t>
      </w:r>
    </w:p>
    <w:p w14:paraId="1F4595CC">
      <w:pPr>
        <w:spacing w:line="580" w:lineRule="exact"/>
        <w:ind w:firstLine="640"/>
        <w:jc w:val="both"/>
      </w:pPr>
      <w:r>
        <w:rPr>
          <w:rFonts w:ascii="仿宋_GB2312" w:hAnsi="仿宋_GB2312" w:eastAsia="仿宋_GB2312"/>
          <w:sz w:val="32"/>
        </w:rPr>
        <w:t>（七）负责应由英吉沙县人民检察院承办的提起公益诉讼工作。</w:t>
      </w:r>
    </w:p>
    <w:p w14:paraId="4766B8C3">
      <w:pPr>
        <w:spacing w:line="580" w:lineRule="exact"/>
        <w:ind w:firstLine="640"/>
        <w:jc w:val="both"/>
      </w:pPr>
      <w:r>
        <w:rPr>
          <w:rFonts w:ascii="仿宋_GB2312" w:hAnsi="仿宋_GB2312" w:eastAsia="仿宋_GB2312"/>
          <w:sz w:val="32"/>
        </w:rPr>
        <w:t>（八）</w:t>
      </w:r>
      <w:r>
        <w:rPr>
          <w:rFonts w:hint="eastAsia" w:ascii="仿宋_GB2312" w:hAnsi="仿宋_GB2312" w:eastAsia="仿宋_GB2312"/>
          <w:sz w:val="32"/>
          <w:lang w:eastAsia="zh-CN"/>
        </w:rPr>
        <w:t>负责</w:t>
      </w:r>
      <w:r>
        <w:rPr>
          <w:rFonts w:ascii="仿宋_GB2312" w:hAnsi="仿宋_GB2312" w:eastAsia="仿宋_GB2312"/>
          <w:sz w:val="32"/>
        </w:rPr>
        <w:t>由英吉沙县人民检察院承办的对安置教育机构、看守所、社区矫正机构等执法活动的法律监督工作。</w:t>
      </w:r>
    </w:p>
    <w:p w14:paraId="20E125C5">
      <w:pPr>
        <w:spacing w:line="580" w:lineRule="exact"/>
        <w:ind w:firstLine="640"/>
        <w:jc w:val="both"/>
      </w:pPr>
      <w:r>
        <w:rPr>
          <w:rFonts w:ascii="仿宋_GB2312" w:hAnsi="仿宋_GB2312" w:eastAsia="仿宋_GB2312"/>
          <w:sz w:val="32"/>
        </w:rPr>
        <w:t>（九）受理向英吉沙县人民检察院的控告申诉，开展控告申诉检察工作。</w:t>
      </w:r>
    </w:p>
    <w:p w14:paraId="5BD99360">
      <w:pPr>
        <w:spacing w:line="580" w:lineRule="exact"/>
        <w:ind w:firstLine="640"/>
        <w:jc w:val="both"/>
      </w:pPr>
      <w:r>
        <w:rPr>
          <w:rFonts w:ascii="仿宋_GB2312" w:hAnsi="仿宋_GB2312" w:eastAsia="仿宋_GB2312"/>
          <w:sz w:val="32"/>
        </w:rPr>
        <w:t>（十）开展检察应用和理论研究工作。</w:t>
      </w:r>
    </w:p>
    <w:p w14:paraId="0902F083">
      <w:pPr>
        <w:spacing w:line="580" w:lineRule="exact"/>
        <w:ind w:firstLine="640"/>
        <w:jc w:val="both"/>
      </w:pPr>
      <w:r>
        <w:rPr>
          <w:rFonts w:ascii="仿宋_GB2312" w:hAnsi="仿宋_GB2312" w:eastAsia="仿宋_GB2312"/>
          <w:sz w:val="32"/>
        </w:rPr>
        <w:t>（十一）负责本院队伍建设和思想政治工作。依法管理检察官及其他检察人员的工作，开展检察机关教育培训工作。</w:t>
      </w:r>
    </w:p>
    <w:p w14:paraId="50789095">
      <w:pPr>
        <w:spacing w:line="580" w:lineRule="exact"/>
        <w:ind w:firstLine="640"/>
        <w:jc w:val="both"/>
      </w:pPr>
      <w:r>
        <w:rPr>
          <w:rFonts w:ascii="仿宋_GB2312" w:hAnsi="仿宋_GB2312" w:eastAsia="仿宋_GB2312"/>
          <w:sz w:val="32"/>
        </w:rPr>
        <w:t>（十二）开展本院检务督察工作。</w:t>
      </w:r>
    </w:p>
    <w:p w14:paraId="79EEF035">
      <w:pPr>
        <w:spacing w:line="580" w:lineRule="exact"/>
        <w:ind w:firstLine="640"/>
        <w:jc w:val="both"/>
      </w:pPr>
      <w:r>
        <w:rPr>
          <w:rFonts w:ascii="仿宋_GB2312" w:hAnsi="仿宋_GB2312" w:eastAsia="仿宋_GB2312"/>
          <w:sz w:val="32"/>
        </w:rPr>
        <w:t>（十三）开展检察机关的财务装备工作，检察技术信息工作。</w:t>
      </w:r>
    </w:p>
    <w:p w14:paraId="526815E4">
      <w:pPr>
        <w:spacing w:line="580" w:lineRule="exact"/>
        <w:ind w:firstLine="640"/>
        <w:jc w:val="both"/>
      </w:pPr>
      <w:r>
        <w:rPr>
          <w:rFonts w:ascii="仿宋_GB2312" w:hAnsi="仿宋_GB2312" w:eastAsia="仿宋_GB2312"/>
          <w:sz w:val="32"/>
        </w:rPr>
        <w:t>（十四）负责其他应当由英吉沙县人民检察院承办的事项。</w:t>
      </w:r>
    </w:p>
    <w:p w14:paraId="2C1839F7">
      <w:pPr>
        <w:spacing w:line="640" w:lineRule="exact"/>
        <w:ind w:firstLine="640"/>
        <w:jc w:val="both"/>
        <w:outlineLvl w:val="2"/>
      </w:pPr>
      <w:r>
        <w:rPr>
          <w:rFonts w:ascii="黑体" w:hAnsi="黑体" w:eastAsia="黑体"/>
          <w:sz w:val="32"/>
        </w:rPr>
        <w:t>二、机构设置及人员情况</w:t>
      </w:r>
    </w:p>
    <w:p w14:paraId="55583CBE">
      <w:pPr>
        <w:spacing w:line="580" w:lineRule="exact"/>
        <w:ind w:firstLine="640"/>
        <w:jc w:val="both"/>
      </w:pPr>
      <w:r>
        <w:rPr>
          <w:rFonts w:ascii="仿宋_GB2312" w:hAnsi="仿宋_GB2312" w:eastAsia="仿宋_GB2312"/>
          <w:sz w:val="32"/>
        </w:rPr>
        <w:t>英吉沙县人民检察院2024年度，实有人数51人，其中：在职人员32人，减少4人；离休人员0人，增加0人；退休人员19人,增加3人。</w:t>
      </w:r>
    </w:p>
    <w:p w14:paraId="1D9A0E84">
      <w:pPr>
        <w:spacing w:line="580" w:lineRule="exact"/>
        <w:ind w:firstLine="640"/>
        <w:jc w:val="both"/>
      </w:pPr>
      <w:r>
        <w:rPr>
          <w:rFonts w:ascii="仿宋_GB2312" w:hAnsi="仿宋_GB2312" w:eastAsia="仿宋_GB2312"/>
          <w:sz w:val="32"/>
        </w:rPr>
        <w:t>英吉沙县人民检察院无下属预算单位，下设5个科室，分别是：办公室（法警大队）、政治部、第一检察部、第二检察部、第三检察部。</w:t>
      </w:r>
    </w:p>
    <w:p w14:paraId="1D3AFAE4">
      <w:r>
        <w:br w:type="page"/>
      </w:r>
    </w:p>
    <w:p w14:paraId="1F7DDD99">
      <w:pPr>
        <w:spacing w:line="240" w:lineRule="auto"/>
        <w:jc w:val="center"/>
        <w:outlineLvl w:val="1"/>
      </w:pPr>
      <w:r>
        <w:rPr>
          <w:rFonts w:ascii="黑体" w:hAnsi="黑体" w:eastAsia="黑体"/>
          <w:sz w:val="32"/>
        </w:rPr>
        <w:t>第二部分 部门决算情况说明</w:t>
      </w:r>
    </w:p>
    <w:p w14:paraId="05ADE5CD">
      <w:pPr>
        <w:spacing w:line="640" w:lineRule="exact"/>
        <w:ind w:firstLine="640"/>
        <w:jc w:val="both"/>
        <w:outlineLvl w:val="2"/>
      </w:pPr>
      <w:r>
        <w:rPr>
          <w:rFonts w:ascii="黑体" w:hAnsi="黑体" w:eastAsia="黑体"/>
          <w:sz w:val="32"/>
        </w:rPr>
        <w:t>一、收入支出决算总体情况说明</w:t>
      </w:r>
    </w:p>
    <w:p w14:paraId="34C407B0">
      <w:pPr>
        <w:spacing w:line="580" w:lineRule="exact"/>
        <w:ind w:firstLine="640"/>
        <w:jc w:val="both"/>
      </w:pPr>
      <w:r>
        <w:rPr>
          <w:rFonts w:ascii="仿宋_GB2312" w:hAnsi="仿宋_GB2312" w:eastAsia="仿宋_GB2312"/>
          <w:b/>
          <w:sz w:val="32"/>
        </w:rPr>
        <w:t>2024年度收入总计1,126.61万元，</w:t>
      </w:r>
      <w:r>
        <w:rPr>
          <w:rFonts w:ascii="仿宋_GB2312" w:hAnsi="仿宋_GB2312" w:eastAsia="仿宋_GB2312"/>
          <w:b w:val="0"/>
          <w:sz w:val="32"/>
        </w:rPr>
        <w:t>其中：本年收入合计1,126.61万元，使用非财政拨款结余（含专用结余）0.00万元，年初结转和结余0.00万元。</w:t>
      </w:r>
    </w:p>
    <w:p w14:paraId="1248B33A">
      <w:pPr>
        <w:spacing w:line="580" w:lineRule="exact"/>
        <w:ind w:firstLine="640"/>
        <w:jc w:val="both"/>
      </w:pPr>
      <w:r>
        <w:rPr>
          <w:rFonts w:ascii="仿宋_GB2312" w:hAnsi="仿宋_GB2312" w:eastAsia="仿宋_GB2312"/>
          <w:b/>
          <w:sz w:val="32"/>
        </w:rPr>
        <w:t>2024年度支出总计1,126.61万元，</w:t>
      </w:r>
      <w:r>
        <w:rPr>
          <w:rFonts w:ascii="仿宋_GB2312" w:hAnsi="仿宋_GB2312" w:eastAsia="仿宋_GB2312"/>
          <w:b w:val="0"/>
          <w:sz w:val="32"/>
        </w:rPr>
        <w:t>其中：本年支出合计1,116.26万元，结余分配0.00万元，年末结转和结余10.35万元。</w:t>
      </w:r>
    </w:p>
    <w:p w14:paraId="339757DA">
      <w:pPr>
        <w:spacing w:line="580" w:lineRule="exact"/>
        <w:ind w:firstLine="640"/>
        <w:jc w:val="both"/>
      </w:pPr>
      <w:r>
        <w:rPr>
          <w:rFonts w:ascii="仿宋_GB2312" w:hAnsi="仿宋_GB2312" w:eastAsia="仿宋_GB2312"/>
          <w:b w:val="0"/>
          <w:sz w:val="32"/>
        </w:rPr>
        <w:t>收入支出总体与上年相比，增加38.79万元，增长3.57%，主要原因是：本年在职人员工资调薪，工资、社保、公积金等相关人员经费增加。本年增加档案数字化项目，导致经费较上年增加。</w:t>
      </w:r>
    </w:p>
    <w:p w14:paraId="0A8CA65D">
      <w:pPr>
        <w:spacing w:line="640" w:lineRule="exact"/>
        <w:ind w:firstLine="640"/>
        <w:jc w:val="both"/>
        <w:outlineLvl w:val="2"/>
      </w:pPr>
      <w:r>
        <w:rPr>
          <w:rFonts w:ascii="黑体" w:hAnsi="黑体" w:eastAsia="黑体"/>
          <w:sz w:val="32"/>
        </w:rPr>
        <w:t>二、收入决算情况说明</w:t>
      </w:r>
    </w:p>
    <w:p w14:paraId="7E13D89E">
      <w:pPr>
        <w:spacing w:line="580" w:lineRule="exact"/>
        <w:ind w:firstLine="640"/>
        <w:jc w:val="both"/>
      </w:pPr>
      <w:r>
        <w:rPr>
          <w:rFonts w:ascii="仿宋_GB2312" w:hAnsi="仿宋_GB2312" w:eastAsia="仿宋_GB2312"/>
          <w:b/>
          <w:sz w:val="32"/>
        </w:rPr>
        <w:t>本年收入1,126.61万元，</w:t>
      </w:r>
      <w:r>
        <w:rPr>
          <w:rFonts w:ascii="仿宋_GB2312" w:hAnsi="仿宋_GB2312" w:eastAsia="仿宋_GB2312"/>
          <w:b w:val="0"/>
          <w:sz w:val="32"/>
        </w:rPr>
        <w:t>其中：财政拨款收入1,104.19万元，占98.</w:t>
      </w:r>
      <w:r>
        <w:rPr>
          <w:rFonts w:hint="eastAsia" w:ascii="仿宋_GB2312" w:hAnsi="仿宋_GB2312" w:eastAsia="仿宋_GB2312"/>
          <w:b w:val="0"/>
          <w:sz w:val="32"/>
          <w:lang w:eastAsia="zh-CN"/>
        </w:rPr>
        <w:t>01</w:t>
      </w:r>
      <w:r>
        <w:rPr>
          <w:rFonts w:ascii="仿宋_GB2312" w:hAnsi="仿宋_GB2312" w:eastAsia="仿宋_GB2312"/>
          <w:b w:val="0"/>
          <w:sz w:val="32"/>
        </w:rPr>
        <w:t>%；上级补助收入0.00万元，占0.00%；事业收入0.00万元，占0.00%；经营收入0.00万元，占0.00%；附属单位上缴收入0.00万元，占0.00%；其他收入22.42万元，占1.99%。</w:t>
      </w:r>
    </w:p>
    <w:p w14:paraId="116D857B">
      <w:pPr>
        <w:spacing w:line="640" w:lineRule="exact"/>
        <w:ind w:firstLine="640"/>
        <w:jc w:val="both"/>
        <w:outlineLvl w:val="2"/>
      </w:pPr>
      <w:r>
        <w:rPr>
          <w:rFonts w:ascii="黑体" w:hAnsi="黑体" w:eastAsia="黑体"/>
          <w:sz w:val="32"/>
        </w:rPr>
        <w:t>三、支出决算情况说明</w:t>
      </w:r>
    </w:p>
    <w:p w14:paraId="7C7FB7ED">
      <w:pPr>
        <w:spacing w:line="580" w:lineRule="exact"/>
        <w:ind w:firstLine="640"/>
        <w:jc w:val="both"/>
      </w:pPr>
      <w:r>
        <w:rPr>
          <w:rFonts w:ascii="仿宋_GB2312" w:hAnsi="仿宋_GB2312" w:eastAsia="仿宋_GB2312"/>
          <w:b/>
          <w:sz w:val="32"/>
        </w:rPr>
        <w:t>本年支出1,116.26万元，</w:t>
      </w:r>
      <w:r>
        <w:rPr>
          <w:rFonts w:ascii="仿宋_GB2312" w:hAnsi="仿宋_GB2312" w:eastAsia="仿宋_GB2312"/>
          <w:b w:val="0"/>
          <w:sz w:val="32"/>
        </w:rPr>
        <w:t>其中：基本支出875.98万元，占78.47%；项目支出240.28万元，占21.53%；上缴上级支出0.00万元，占0.00%；经营支出0.00万元，占0.00%；对附属单位补助支出0.00万元，占0.00%。</w:t>
      </w:r>
    </w:p>
    <w:p w14:paraId="7D0CEDE2">
      <w:pPr>
        <w:spacing w:line="640" w:lineRule="exact"/>
        <w:ind w:firstLine="640"/>
        <w:jc w:val="both"/>
        <w:outlineLvl w:val="2"/>
      </w:pPr>
      <w:r>
        <w:rPr>
          <w:rFonts w:ascii="黑体" w:hAnsi="黑体" w:eastAsia="黑体"/>
          <w:sz w:val="32"/>
        </w:rPr>
        <w:t>四、财政拨款收入支出决算总体情况说明</w:t>
      </w:r>
    </w:p>
    <w:p w14:paraId="0B2345D3">
      <w:pPr>
        <w:spacing w:line="580" w:lineRule="exact"/>
        <w:ind w:firstLine="640"/>
        <w:jc w:val="both"/>
      </w:pPr>
      <w:r>
        <w:rPr>
          <w:rFonts w:ascii="仿宋_GB2312" w:hAnsi="仿宋_GB2312" w:eastAsia="仿宋_GB2312"/>
          <w:b/>
          <w:sz w:val="32"/>
        </w:rPr>
        <w:t>2024年度财政拨款收入总计1,104.19万元，</w:t>
      </w:r>
      <w:r>
        <w:rPr>
          <w:rFonts w:ascii="仿宋_GB2312" w:hAnsi="仿宋_GB2312" w:eastAsia="仿宋_GB2312"/>
          <w:b w:val="0"/>
          <w:sz w:val="32"/>
        </w:rPr>
        <w:t>其中：年初财政拨款结转和结余0.00万元，本年财政拨款收入1,104.19万元。</w:t>
      </w:r>
      <w:r>
        <w:rPr>
          <w:rFonts w:ascii="仿宋_GB2312" w:hAnsi="仿宋_GB2312" w:eastAsia="仿宋_GB2312"/>
          <w:b/>
          <w:sz w:val="32"/>
        </w:rPr>
        <w:t>财政拨款支出总计1,104.19万元，</w:t>
      </w:r>
      <w:r>
        <w:rPr>
          <w:rFonts w:ascii="仿宋_GB2312" w:hAnsi="仿宋_GB2312" w:eastAsia="仿宋_GB2312"/>
          <w:b w:val="0"/>
          <w:sz w:val="32"/>
        </w:rPr>
        <w:t>其中：年末财政拨款结转和结余0.00万元，本年财政拨款支出1,104.19万元。</w:t>
      </w:r>
    </w:p>
    <w:p w14:paraId="527EBBE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增加16.37万元，增长1.50%，主要原因是：本年在职人员工资调薪，工资、社保、公积金等相关人员经费增加。本年增加档案数字化项目，导致经费较上年增加。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年初预算数1,114.82万元，决算数1,104.19万元，预决算差异率-0.95%，主要原因是：严格落实中央八项规定精神，厉行节约，减少不必要的开支。</w:t>
      </w:r>
    </w:p>
    <w:p w14:paraId="5ABC7284">
      <w:pPr>
        <w:spacing w:line="640" w:lineRule="exact"/>
        <w:ind w:firstLine="640"/>
        <w:jc w:val="both"/>
        <w:outlineLvl w:val="2"/>
      </w:pPr>
      <w:r>
        <w:rPr>
          <w:rFonts w:ascii="黑体" w:hAnsi="黑体" w:eastAsia="黑体"/>
          <w:sz w:val="32"/>
        </w:rPr>
        <w:t>五、一般公共预算财政拨款支出决算情况说明</w:t>
      </w:r>
    </w:p>
    <w:p w14:paraId="16F46608">
      <w:pPr>
        <w:spacing w:line="640" w:lineRule="exact"/>
        <w:ind w:firstLine="640"/>
        <w:jc w:val="both"/>
        <w:outlineLvl w:val="3"/>
      </w:pPr>
      <w:r>
        <w:rPr>
          <w:rFonts w:ascii="楷体_GB2312" w:hAnsi="楷体_GB2312" w:eastAsia="楷体_GB2312"/>
          <w:b/>
          <w:sz w:val="32"/>
        </w:rPr>
        <w:t>（一）一般公共预算财政拨款支出决算总体情况</w:t>
      </w:r>
    </w:p>
    <w:p w14:paraId="0E57E38C">
      <w:pPr>
        <w:spacing w:line="580" w:lineRule="exact"/>
        <w:ind w:firstLine="640"/>
        <w:jc w:val="both"/>
      </w:pPr>
      <w:r>
        <w:rPr>
          <w:rFonts w:ascii="仿宋_GB2312" w:hAnsi="仿宋_GB2312" w:eastAsia="仿宋_GB2312"/>
          <w:b/>
          <w:sz w:val="32"/>
        </w:rPr>
        <w:t>2024年度一般公共预算财政拨款支出1,104.19万元，</w:t>
      </w:r>
      <w:r>
        <w:rPr>
          <w:rFonts w:ascii="仿宋_GB2312" w:hAnsi="仿宋_GB2312" w:eastAsia="仿宋_GB2312"/>
          <w:b w:val="0"/>
          <w:sz w:val="32"/>
        </w:rPr>
        <w:t>占本年支出合计的98.92%。</w:t>
      </w:r>
      <w:r>
        <w:rPr>
          <w:rFonts w:ascii="仿宋_GB2312" w:hAnsi="仿宋_GB2312" w:eastAsia="仿宋_GB2312"/>
          <w:b/>
          <w:sz w:val="32"/>
        </w:rPr>
        <w:t>与上年相比，</w:t>
      </w:r>
      <w:r>
        <w:rPr>
          <w:rFonts w:ascii="仿宋_GB2312" w:hAnsi="仿宋_GB2312" w:eastAsia="仿宋_GB2312"/>
          <w:b w:val="0"/>
          <w:sz w:val="32"/>
        </w:rPr>
        <w:t>增加16.37万元，增长1.50%，主要原因是：本年在职人员工资调薪，工资、社保、公积金等相关人员经费增加。本年增加档案数字化项目，导致经费较上年增加。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年初预算数1,114.82万元，决算数1,104.19万元，预决算差异率-0.95%，主要原因是：严格落实中央八项规定精神，厉行节约，减少不必要的开支。</w:t>
      </w:r>
    </w:p>
    <w:p w14:paraId="2FB6905F">
      <w:pPr>
        <w:spacing w:line="640" w:lineRule="exact"/>
        <w:ind w:firstLine="640"/>
        <w:jc w:val="both"/>
        <w:outlineLvl w:val="3"/>
      </w:pPr>
      <w:r>
        <w:rPr>
          <w:rFonts w:ascii="楷体_GB2312" w:hAnsi="楷体_GB2312" w:eastAsia="楷体_GB2312"/>
          <w:b/>
          <w:sz w:val="32"/>
        </w:rPr>
        <w:t>（二）一般公共预算财政拨款支出决算结构情况</w:t>
      </w:r>
    </w:p>
    <w:p w14:paraId="4BEB952E">
      <w:pPr>
        <w:spacing w:line="580" w:lineRule="exact"/>
        <w:ind w:firstLine="640"/>
        <w:jc w:val="both"/>
      </w:pPr>
      <w:r>
        <w:rPr>
          <w:rFonts w:ascii="仿宋_GB2312" w:hAnsi="仿宋_GB2312" w:eastAsia="仿宋_GB2312"/>
          <w:b w:val="0"/>
          <w:sz w:val="32"/>
        </w:rPr>
        <w:t>1.公共安全支出(类)918.06万元,占83.14%。</w:t>
      </w:r>
    </w:p>
    <w:p w14:paraId="089C38CF">
      <w:pPr>
        <w:spacing w:line="580" w:lineRule="exact"/>
        <w:ind w:firstLine="640"/>
        <w:jc w:val="both"/>
      </w:pPr>
      <w:r>
        <w:rPr>
          <w:rFonts w:ascii="仿宋_GB2312" w:hAnsi="仿宋_GB2312" w:eastAsia="仿宋_GB2312"/>
          <w:b w:val="0"/>
          <w:sz w:val="32"/>
        </w:rPr>
        <w:t>2.社会保障和就业支出(类)99.15万元,占8.98%。</w:t>
      </w:r>
    </w:p>
    <w:p w14:paraId="3B597E78">
      <w:pPr>
        <w:spacing w:line="580" w:lineRule="exact"/>
        <w:ind w:firstLine="640"/>
        <w:jc w:val="both"/>
      </w:pPr>
      <w:r>
        <w:rPr>
          <w:rFonts w:ascii="仿宋_GB2312" w:hAnsi="仿宋_GB2312" w:eastAsia="仿宋_GB2312"/>
          <w:b w:val="0"/>
          <w:sz w:val="32"/>
        </w:rPr>
        <w:t>3.卫生健康支出(类)34.90万元,占3.16%。</w:t>
      </w:r>
    </w:p>
    <w:p w14:paraId="1F449B10">
      <w:pPr>
        <w:spacing w:line="580" w:lineRule="exact"/>
        <w:ind w:firstLine="640"/>
        <w:jc w:val="both"/>
      </w:pPr>
      <w:r>
        <w:rPr>
          <w:rFonts w:ascii="仿宋_GB2312" w:hAnsi="仿宋_GB2312" w:eastAsia="仿宋_GB2312"/>
          <w:b w:val="0"/>
          <w:sz w:val="32"/>
        </w:rPr>
        <w:t>4.住房保障支出(类)52.08万元,占4.72%。</w:t>
      </w:r>
    </w:p>
    <w:p w14:paraId="1A18DDBE">
      <w:pPr>
        <w:spacing w:line="640" w:lineRule="exact"/>
        <w:ind w:firstLine="640"/>
        <w:jc w:val="both"/>
        <w:outlineLvl w:val="3"/>
      </w:pPr>
      <w:r>
        <w:rPr>
          <w:rFonts w:ascii="楷体_GB2312" w:hAnsi="楷体_GB2312" w:eastAsia="楷体_GB2312"/>
          <w:b/>
          <w:sz w:val="32"/>
        </w:rPr>
        <w:t>（三）一般公共预算财政拨款支出决算具体情况</w:t>
      </w:r>
    </w:p>
    <w:p w14:paraId="4C2BF6D9">
      <w:pPr>
        <w:spacing w:line="580" w:lineRule="exact"/>
        <w:ind w:firstLine="640"/>
        <w:jc w:val="both"/>
      </w:pPr>
      <w:r>
        <w:rPr>
          <w:rFonts w:ascii="仿宋_GB2312" w:hAnsi="仿宋_GB2312" w:eastAsia="仿宋_GB2312"/>
          <w:b w:val="0"/>
          <w:sz w:val="32"/>
        </w:rPr>
        <w:t>1.公共安全支出(类)检察(款)行政运行(项):支出决算数为689.85万元，比上年决算增加28.88万元，增长4.37%,主要原因是：本年在职人员工资调增，导致相关人员经费较上年有所增加。</w:t>
      </w:r>
    </w:p>
    <w:p w14:paraId="6B6AB7D1">
      <w:pPr>
        <w:spacing w:line="580" w:lineRule="exact"/>
        <w:ind w:firstLine="640"/>
        <w:jc w:val="both"/>
      </w:pPr>
      <w:r>
        <w:rPr>
          <w:rFonts w:ascii="仿宋_GB2312" w:hAnsi="仿宋_GB2312" w:eastAsia="仿宋_GB2312"/>
          <w:b w:val="0"/>
          <w:sz w:val="32"/>
        </w:rPr>
        <w:t>2.公共安全支出(类)检察(款)一般行政管理事务(项):支出决算数为70.15万元，比上年决算减少15.82万元，下降18.40%,主要原因是：本年度本级保障项目、自治区检察院下达司法绩效考核经费减少。</w:t>
      </w:r>
    </w:p>
    <w:p w14:paraId="2A1AE416">
      <w:pPr>
        <w:spacing w:line="580" w:lineRule="exact"/>
        <w:ind w:firstLine="640"/>
        <w:jc w:val="both"/>
      </w:pPr>
      <w:r>
        <w:rPr>
          <w:rFonts w:ascii="仿宋_GB2312" w:hAnsi="仿宋_GB2312" w:eastAsia="仿宋_GB2312"/>
          <w:b w:val="0"/>
          <w:sz w:val="32"/>
        </w:rPr>
        <w:t>3.公共安全支出(类)检察(款)其他检察支出(项):支出决算数为158.06万元，比上年决算减少27.53万元，下降14.83%,主要原因是：本年科目调整，司法绩效项目经费上年在其他检察支出列支，本年在一般行政管理事务列支，导致经费较上年减少。</w:t>
      </w:r>
    </w:p>
    <w:p w14:paraId="3F9D15C3">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22.74万元，比上年决算增加5.51万元，增长31.98%,主要原因是：本年补发退休人员绩效，新增退休人员3人，导致退休费较上年增加。</w:t>
      </w:r>
    </w:p>
    <w:p w14:paraId="208BBE8B">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64.15万元，比上年决算增加7.98万元，增长14.21%,主要原因是：本年在职人员工资基数调增，养老缴费基数上涨，相应支出增加。</w:t>
      </w:r>
    </w:p>
    <w:p w14:paraId="5A52C404">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6.社会保障和就业支出(类)行政事业单位养老支出(款)机关事业单位职业年金缴费支出(项):支出决算数为12.26万元，比上年决算增加10.24万元，增长506.93%,主要原因是：本年新增退休人员，职业年金缴费支出增加。</w:t>
      </w:r>
    </w:p>
    <w:p w14:paraId="18C7FB38">
      <w:pPr>
        <w:spacing w:line="580" w:lineRule="exact"/>
        <w:ind w:firstLine="640"/>
        <w:jc w:val="both"/>
      </w:pPr>
      <w:r>
        <w:rPr>
          <w:rFonts w:ascii="仿宋_GB2312" w:hAnsi="仿宋_GB2312" w:eastAsia="仿宋_GB2312"/>
          <w:b w:val="0"/>
          <w:sz w:val="32"/>
        </w:rPr>
        <w:t>7.卫生健康支出(类)行政事业单位医疗(款)行政单位医疗(项):支出决算数为27.27万元，比上年决算增加3.40万元，增长14.24%,主要原因是：本年在职人员工资基数调增，医疗缴费基数上涨，相应支出增加。</w:t>
      </w:r>
    </w:p>
    <w:p w14:paraId="49C02BF5">
      <w:pPr>
        <w:spacing w:line="580" w:lineRule="exact"/>
        <w:ind w:firstLine="640"/>
        <w:jc w:val="both"/>
      </w:pPr>
      <w:r>
        <w:rPr>
          <w:rFonts w:ascii="仿宋_GB2312" w:hAnsi="仿宋_GB2312" w:eastAsia="仿宋_GB2312"/>
          <w:b w:val="0"/>
          <w:sz w:val="32"/>
        </w:rPr>
        <w:t>8.卫生健康支出(类)行政事业单位医疗(款)公务员医疗补助(项):支出决算数为7.64万元，比上年决算增加0.95万元，增长14.20%,主要原因是：本年在职人员工资基数调增，医疗缴费基数上涨，相应支出增加。</w:t>
      </w:r>
    </w:p>
    <w:p w14:paraId="19998721">
      <w:pPr>
        <w:spacing w:line="580" w:lineRule="exact"/>
        <w:ind w:firstLine="640"/>
        <w:jc w:val="both"/>
      </w:pPr>
      <w:r>
        <w:rPr>
          <w:rFonts w:ascii="仿宋_GB2312" w:hAnsi="仿宋_GB2312" w:eastAsia="仿宋_GB2312"/>
          <w:b w:val="0"/>
          <w:sz w:val="32"/>
        </w:rPr>
        <w:t>9.住房保障支出(类)住房改革支出(款)住房公积金(项):支出决算数为52.08万元，比上年决算增加2.77万元，增长5.62%,主要原因是：本年在职人员工资基数调增，公积金缴费基数上涨，相应支出增加。</w:t>
      </w:r>
    </w:p>
    <w:p w14:paraId="47504664">
      <w:pPr>
        <w:spacing w:line="640" w:lineRule="exact"/>
        <w:ind w:firstLine="640"/>
        <w:jc w:val="both"/>
        <w:outlineLvl w:val="2"/>
      </w:pPr>
      <w:r>
        <w:rPr>
          <w:rFonts w:ascii="黑体" w:hAnsi="黑体" w:eastAsia="黑体"/>
          <w:sz w:val="32"/>
        </w:rPr>
        <w:t>六、一般公共预算财政拨款基本支出决算情况说明</w:t>
      </w:r>
    </w:p>
    <w:p w14:paraId="3CC74598">
      <w:pPr>
        <w:spacing w:line="580" w:lineRule="exact"/>
        <w:ind w:firstLine="640"/>
        <w:jc w:val="both"/>
      </w:pPr>
      <w:r>
        <w:rPr>
          <w:rFonts w:ascii="仿宋_GB2312" w:hAnsi="仿宋_GB2312" w:eastAsia="仿宋_GB2312"/>
          <w:b w:val="0"/>
          <w:sz w:val="32"/>
        </w:rPr>
        <w:t>2024年度一般公共预算财政拨款基本支出875.98万元，其中：</w:t>
      </w:r>
      <w:r>
        <w:rPr>
          <w:rFonts w:ascii="仿宋_GB2312" w:hAnsi="仿宋_GB2312" w:eastAsia="仿宋_GB2312"/>
          <w:b/>
          <w:sz w:val="32"/>
        </w:rPr>
        <w:t>人员经费800.15万元，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w:t>
      </w:r>
    </w:p>
    <w:p w14:paraId="0BDC79FF">
      <w:pPr>
        <w:spacing w:line="580" w:lineRule="exact"/>
        <w:ind w:firstLine="640"/>
        <w:jc w:val="both"/>
      </w:pPr>
      <w:r>
        <w:rPr>
          <w:rFonts w:ascii="仿宋_GB2312" w:hAnsi="仿宋_GB2312" w:eastAsia="仿宋_GB2312"/>
          <w:b/>
          <w:sz w:val="32"/>
        </w:rPr>
        <w:t>公用经费75.83万元，</w:t>
      </w:r>
      <w:r>
        <w:rPr>
          <w:rFonts w:ascii="仿宋_GB2312" w:hAnsi="仿宋_GB2312" w:eastAsia="仿宋_GB2312"/>
          <w:b w:val="0"/>
          <w:sz w:val="32"/>
        </w:rPr>
        <w:t>包括：手续费、水费、电费、取暖费、物业管理费、专用材料费、工会经费、公务用车运行维护费、其他商品和服务支出。</w:t>
      </w:r>
    </w:p>
    <w:p w14:paraId="799795F5">
      <w:pPr>
        <w:spacing w:line="640" w:lineRule="exact"/>
        <w:ind w:firstLine="640"/>
        <w:jc w:val="both"/>
        <w:outlineLvl w:val="2"/>
      </w:pPr>
      <w:r>
        <w:rPr>
          <w:rFonts w:ascii="黑体" w:hAnsi="黑体" w:eastAsia="黑体"/>
          <w:sz w:val="32"/>
        </w:rPr>
        <w:t>七、政府性基金预算财政拨款收入支出决算情况说明</w:t>
      </w:r>
    </w:p>
    <w:p w14:paraId="1F5F6F99">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7501D1EE">
      <w:pPr>
        <w:spacing w:line="640" w:lineRule="exact"/>
        <w:ind w:firstLine="640"/>
        <w:jc w:val="both"/>
        <w:outlineLvl w:val="2"/>
      </w:pPr>
      <w:r>
        <w:rPr>
          <w:rFonts w:ascii="黑体" w:hAnsi="黑体" w:eastAsia="黑体"/>
          <w:sz w:val="32"/>
        </w:rPr>
        <w:t>八、国有资本经营预算财政拨款收入支出决算情况说明</w:t>
      </w:r>
    </w:p>
    <w:p w14:paraId="71942FE4">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4E27F55C">
      <w:pPr>
        <w:spacing w:line="640" w:lineRule="exact"/>
        <w:ind w:firstLine="640"/>
        <w:jc w:val="both"/>
        <w:outlineLvl w:val="2"/>
      </w:pPr>
      <w:r>
        <w:rPr>
          <w:rFonts w:ascii="黑体" w:hAnsi="黑体" w:eastAsia="黑体"/>
          <w:sz w:val="32"/>
        </w:rPr>
        <w:t>九、财政拨款“三公”经费支出决算情况说明</w:t>
      </w:r>
    </w:p>
    <w:p w14:paraId="1739DB73">
      <w:pPr>
        <w:spacing w:line="580" w:lineRule="exact"/>
        <w:ind w:firstLine="640"/>
        <w:jc w:val="both"/>
      </w:pPr>
      <w:r>
        <w:rPr>
          <w:rFonts w:ascii="仿宋_GB2312" w:hAnsi="仿宋_GB2312" w:eastAsia="仿宋_GB2312"/>
          <w:b/>
          <w:sz w:val="32"/>
        </w:rPr>
        <w:t>2024年度财政拨款“三公”经费支出23.00万元，</w:t>
      </w:r>
      <w:r>
        <w:rPr>
          <w:rFonts w:ascii="仿宋_GB2312" w:hAnsi="仿宋_GB2312" w:eastAsia="仿宋_GB2312"/>
          <w:b w:val="0"/>
          <w:sz w:val="32"/>
        </w:rPr>
        <w:t>比上年增加0.00万元，增长0.00%，主要原因是：本部门“三公”经费与上年一致无变化。其中：因公出国（境）费支出0.00万元，占0.00%，比上年增加0.00万元，增长0.00%，主要原因是：2023年与2024年均未安排因公出国（境）费支出。公务用车购置及运行维护费支出23.00万元，占100.00%，比上年增加0.00万元，增长0.00%，主要原因是：本部门公务用车运行维护费与上年一致无变化。公务接待费支出0.00万元，占0.00%，比上年增加0.00万元，增长0.00%，主要原因是：2023年与2024年均未安排公务接待费支出。</w:t>
      </w:r>
    </w:p>
    <w:p w14:paraId="63F8ABAE">
      <w:pPr>
        <w:spacing w:line="580" w:lineRule="exact"/>
        <w:ind w:firstLine="640"/>
        <w:jc w:val="both"/>
      </w:pPr>
      <w:r>
        <w:rPr>
          <w:rFonts w:ascii="仿宋_GB2312" w:hAnsi="仿宋_GB2312" w:eastAsia="仿宋_GB2312"/>
          <w:b/>
          <w:sz w:val="32"/>
        </w:rPr>
        <w:t>具体情况如下：</w:t>
      </w:r>
    </w:p>
    <w:p w14:paraId="12E1C4A1">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20E099B3">
      <w:pPr>
        <w:spacing w:line="580" w:lineRule="exact"/>
        <w:ind w:firstLine="640"/>
        <w:jc w:val="both"/>
      </w:pPr>
      <w:r>
        <w:rPr>
          <w:rFonts w:ascii="仿宋_GB2312" w:hAnsi="仿宋_GB2312" w:eastAsia="仿宋_GB2312"/>
          <w:b w:val="0"/>
          <w:sz w:val="32"/>
        </w:rPr>
        <w:t>公务用车购置及运行维护费23.00万元，其中：公务用车购置费0.00万元，公务用车运行维护费23.00万元。公务用车运行维护费开支内容包括车辆加油费、维修费、保险费、审车费、过路费等。公务用车购置数0辆，公务用车保有量9辆。国有资产占用情况中固定资产车辆9辆，与公务用车保有量差异原因是：本部门固定资产车辆与公务用车保有量一致无差异。</w:t>
      </w:r>
    </w:p>
    <w:p w14:paraId="2A620607">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009E7E2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23.00万元，决算数23.00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23.00万元，决算数23.00万元，预决算差异率0.00%，主要原因是：严格按照预算执行，预决算无差异。公务接待费全年预算数0.00万元，决算数0.00万元，预决算差异率0.00%，主要原因是：本部门无公务接待费。</w:t>
      </w:r>
    </w:p>
    <w:p w14:paraId="5870C852">
      <w:pPr>
        <w:spacing w:line="640" w:lineRule="exact"/>
        <w:ind w:firstLine="640"/>
        <w:jc w:val="both"/>
        <w:outlineLvl w:val="2"/>
      </w:pPr>
      <w:r>
        <w:rPr>
          <w:rFonts w:ascii="黑体" w:hAnsi="黑体" w:eastAsia="黑体"/>
          <w:sz w:val="32"/>
        </w:rPr>
        <w:t>十、其他重要事项的情况说明</w:t>
      </w:r>
    </w:p>
    <w:p w14:paraId="21A85520">
      <w:pPr>
        <w:spacing w:line="640" w:lineRule="exact"/>
        <w:ind w:firstLine="640"/>
        <w:jc w:val="both"/>
        <w:outlineLvl w:val="3"/>
      </w:pPr>
      <w:r>
        <w:rPr>
          <w:rFonts w:ascii="楷体_GB2312" w:hAnsi="楷体_GB2312" w:eastAsia="楷体_GB2312"/>
          <w:b/>
          <w:sz w:val="32"/>
        </w:rPr>
        <w:t>（一）机关运行经费及公用经费支出情况</w:t>
      </w:r>
    </w:p>
    <w:p w14:paraId="2B27D49B">
      <w:pPr>
        <w:spacing w:line="580" w:lineRule="exact"/>
        <w:ind w:firstLine="640"/>
        <w:jc w:val="both"/>
      </w:pPr>
      <w:r>
        <w:rPr>
          <w:rFonts w:ascii="仿宋_GB2312" w:hAnsi="仿宋_GB2312" w:eastAsia="仿宋_GB2312"/>
          <w:b w:val="0"/>
          <w:sz w:val="32"/>
        </w:rPr>
        <w:t>2024年度英吉沙县人民检察院（行政单位和参照公务员法管理事业单位）机关运行经费支出75.83万元，比上年增加7.27万元，增长10.60%，主要原因是：本年增加办公用房取暖费、联谊经费、工会经费等机关运行经费支出，导致经费较上年增加。</w:t>
      </w:r>
    </w:p>
    <w:p w14:paraId="490C2225">
      <w:pPr>
        <w:spacing w:line="640" w:lineRule="exact"/>
        <w:ind w:firstLine="640"/>
        <w:jc w:val="both"/>
        <w:outlineLvl w:val="3"/>
      </w:pPr>
      <w:r>
        <w:rPr>
          <w:rFonts w:ascii="楷体_GB2312" w:hAnsi="楷体_GB2312" w:eastAsia="楷体_GB2312"/>
          <w:b/>
          <w:sz w:val="32"/>
        </w:rPr>
        <w:t>（二）政府采购情况</w:t>
      </w:r>
    </w:p>
    <w:p w14:paraId="7C1927B5">
      <w:pPr>
        <w:spacing w:line="580" w:lineRule="exact"/>
        <w:ind w:firstLine="640"/>
        <w:jc w:val="both"/>
      </w:pPr>
      <w:r>
        <w:rPr>
          <w:rFonts w:ascii="仿宋_GB2312" w:hAnsi="仿宋_GB2312" w:eastAsia="仿宋_GB2312"/>
          <w:b w:val="0"/>
          <w:sz w:val="32"/>
        </w:rPr>
        <w:t>2024年度政府采购支出总额65.73万元，其中：政府采购货物支出51.91万元、政府采购工程支出2.21万元、政府采购服务支出11.61万元。</w:t>
      </w:r>
    </w:p>
    <w:p w14:paraId="21EDEACD">
      <w:pPr>
        <w:spacing w:line="580" w:lineRule="exact"/>
        <w:ind w:firstLine="640"/>
        <w:jc w:val="both"/>
      </w:pPr>
      <w:r>
        <w:rPr>
          <w:rFonts w:ascii="仿宋_GB2312" w:hAnsi="仿宋_GB2312" w:eastAsia="仿宋_GB2312"/>
          <w:b w:val="0"/>
          <w:sz w:val="32"/>
        </w:rPr>
        <w:t>授予中小企业合同金额65.73万元，占政府采购支出总额的100.00%，其中：授予小微企业合同金额65.73万元，占政府采购支出总额的100.00%。</w:t>
      </w:r>
    </w:p>
    <w:p w14:paraId="55A93842">
      <w:pPr>
        <w:spacing w:line="640" w:lineRule="exact"/>
        <w:ind w:firstLine="640"/>
        <w:jc w:val="both"/>
        <w:outlineLvl w:val="3"/>
      </w:pPr>
      <w:r>
        <w:rPr>
          <w:rFonts w:ascii="楷体_GB2312" w:hAnsi="楷体_GB2312" w:eastAsia="楷体_GB2312"/>
          <w:b/>
          <w:sz w:val="32"/>
        </w:rPr>
        <w:t>（三）国有资产占用情况说明</w:t>
      </w:r>
    </w:p>
    <w:p w14:paraId="56F4CDC7">
      <w:pPr>
        <w:spacing w:line="580" w:lineRule="exact"/>
        <w:ind w:firstLine="640"/>
        <w:jc w:val="both"/>
      </w:pPr>
      <w:r>
        <w:rPr>
          <w:rFonts w:ascii="仿宋_GB2312" w:hAnsi="仿宋_GB2312" w:eastAsia="仿宋_GB2312"/>
          <w:b w:val="0"/>
          <w:sz w:val="32"/>
        </w:rPr>
        <w:t>截至2024年12月31日，房屋4,586.08平方米，价值1,061.16万元。车辆9辆，价值174.41万元，其中：副部（省）级及以上领导用车0辆、主要负责人用车0辆、机要通信用车0辆、应急保障用车0辆、执法执勤用车7辆、特种专业技术用车2辆、离退休干部服务用车0辆、其他用车0辆，其他用车主要是：本部门无其他用车。单价100万元（含）以上设备（不含车辆）0台（套）。</w:t>
      </w:r>
    </w:p>
    <w:p w14:paraId="49C56118">
      <w:pPr>
        <w:spacing w:line="640" w:lineRule="exact"/>
        <w:ind w:firstLine="640"/>
        <w:jc w:val="both"/>
        <w:outlineLvl w:val="2"/>
      </w:pPr>
      <w:r>
        <w:rPr>
          <w:rFonts w:ascii="黑体" w:hAnsi="黑体" w:eastAsia="黑体"/>
          <w:sz w:val="32"/>
        </w:rPr>
        <w:t>十一、预算绩效的情况说明</w:t>
      </w:r>
    </w:p>
    <w:p w14:paraId="3FD16D4C">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根据预算绩效管理要求，本部门2024年度预算绩效管理形成整体支出绩效自评表1个，全年预算总额1,140.57万元，实际执行总额1,116.26万元；预算绩效评价项目</w:t>
      </w:r>
      <w:r>
        <w:rPr>
          <w:rFonts w:hint="eastAsia" w:ascii="仿宋_GB2312" w:hAnsi="仿宋_GB2312" w:eastAsia="仿宋_GB2312"/>
          <w:b w:val="0"/>
          <w:sz w:val="32"/>
          <w:lang w:val="en-US" w:eastAsia="zh-CN"/>
        </w:rPr>
        <w:t>8</w:t>
      </w:r>
      <w:r>
        <w:rPr>
          <w:rFonts w:ascii="仿宋_GB2312" w:hAnsi="仿宋_GB2312" w:eastAsia="仿宋_GB2312"/>
          <w:b w:val="0"/>
          <w:sz w:val="32"/>
        </w:rPr>
        <w:t>个，全年预算数250.63万元，全年执行数228.21万元。预算绩效管理取得的成效：本部门预算绩效项目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不予公开。发现的问题及原因：本部门预算绩效项目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不予公开。下一步改进措施：本部门预算绩效项目</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不予公开。具体附部门整体支出绩效自评表。</w:t>
      </w:r>
    </w:p>
    <w:p w14:paraId="00EF873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0442F48">
        <w:tc>
          <w:tcPr>
            <w:tcW w:w="8847" w:type="dxa"/>
            <w:gridSpan w:val="9"/>
            <w:vAlign w:val="center"/>
          </w:tcPr>
          <w:p w14:paraId="054C06FD">
            <w:pPr>
              <w:jc w:val="center"/>
            </w:pPr>
            <w:r>
              <w:rPr>
                <w:rFonts w:ascii="宋体" w:hAnsi="宋体" w:eastAsia="宋体"/>
                <w:sz w:val="24"/>
              </w:rPr>
              <w:t>部门整体支出绩效自评表</w:t>
            </w:r>
          </w:p>
        </w:tc>
      </w:tr>
      <w:tr w14:paraId="63C00E0B">
        <w:tblPrEx>
          <w:tblCellMar>
            <w:top w:w="0" w:type="dxa"/>
            <w:left w:w="108" w:type="dxa"/>
            <w:bottom w:w="0" w:type="dxa"/>
            <w:right w:w="108" w:type="dxa"/>
          </w:tblCellMar>
        </w:tblPrEx>
        <w:tc>
          <w:tcPr>
            <w:tcW w:w="8847" w:type="dxa"/>
            <w:gridSpan w:val="9"/>
            <w:vAlign w:val="center"/>
          </w:tcPr>
          <w:p w14:paraId="4BC1B3AC">
            <w:pPr>
              <w:jc w:val="center"/>
            </w:pPr>
            <w:r>
              <w:rPr>
                <w:rFonts w:ascii="宋体" w:hAnsi="宋体" w:eastAsia="宋体"/>
                <w:sz w:val="24"/>
              </w:rPr>
              <w:t>（2024年度）</w:t>
            </w:r>
          </w:p>
        </w:tc>
      </w:tr>
      <w:tr w14:paraId="68BCA40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81829">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5E5E351">
            <w:pPr>
              <w:jc w:val="center"/>
            </w:pPr>
            <w:r>
              <w:rPr>
                <w:rFonts w:ascii="宋体" w:hAnsi="宋体" w:eastAsia="宋体"/>
                <w:sz w:val="16"/>
              </w:rPr>
              <w:t>英吉沙县人民检察院</w:t>
            </w:r>
          </w:p>
        </w:tc>
      </w:tr>
      <w:tr w14:paraId="0828C23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BC47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A7AD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D932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49233">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EEC02">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8459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3F815">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68083">
            <w:pPr>
              <w:jc w:val="center"/>
            </w:pPr>
            <w:r>
              <w:rPr>
                <w:rFonts w:ascii="宋体" w:hAnsi="宋体" w:eastAsia="宋体"/>
                <w:sz w:val="16"/>
              </w:rPr>
              <w:t>得分</w:t>
            </w:r>
          </w:p>
        </w:tc>
      </w:tr>
      <w:tr w14:paraId="761BDE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D7F2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F23C0">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C05E0">
            <w:pPr>
              <w:jc w:val="center"/>
            </w:pPr>
            <w:r>
              <w:rPr>
                <w:rFonts w:ascii="宋体" w:hAnsi="宋体" w:eastAsia="宋体"/>
                <w:sz w:val="16"/>
              </w:rPr>
              <w:t>1,122.24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030C1">
            <w:pPr>
              <w:jc w:val="center"/>
            </w:pPr>
            <w:r>
              <w:rPr>
                <w:rFonts w:ascii="宋体" w:hAnsi="宋体" w:eastAsia="宋体"/>
                <w:sz w:val="16"/>
              </w:rPr>
              <w:t>1,140.57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F8E7E">
            <w:pPr>
              <w:jc w:val="center"/>
            </w:pPr>
            <w:r>
              <w:rPr>
                <w:rFonts w:ascii="宋体" w:hAnsi="宋体" w:eastAsia="宋体"/>
                <w:sz w:val="16"/>
              </w:rPr>
              <w:t>1,116.26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EF4A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0144B">
            <w:pPr>
              <w:jc w:val="center"/>
            </w:pPr>
            <w:r>
              <w:rPr>
                <w:rFonts w:ascii="宋体" w:hAnsi="宋体" w:eastAsia="宋体"/>
                <w:sz w:val="16"/>
              </w:rPr>
              <w:t>97.87%</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D33E8">
            <w:pPr>
              <w:jc w:val="center"/>
            </w:pPr>
            <w:r>
              <w:rPr>
                <w:rFonts w:ascii="宋体" w:hAnsi="宋体" w:eastAsia="宋体"/>
                <w:sz w:val="16"/>
              </w:rPr>
              <w:t>9.79</w:t>
            </w:r>
          </w:p>
        </w:tc>
      </w:tr>
      <w:tr w14:paraId="15DAF0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DDEC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4F6A0">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88D61">
            <w:pPr>
              <w:jc w:val="center"/>
            </w:pPr>
            <w:r>
              <w:rPr>
                <w:rFonts w:ascii="宋体" w:hAnsi="宋体" w:eastAsia="宋体"/>
                <w:sz w:val="16"/>
              </w:rPr>
              <w:t>229.56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21C0C">
            <w:pPr>
              <w:jc w:val="center"/>
            </w:pPr>
            <w:r>
              <w:rPr>
                <w:rFonts w:ascii="宋体" w:hAnsi="宋体" w:eastAsia="宋体"/>
                <w:sz w:val="16"/>
              </w:rPr>
              <w:t>233.85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DD0C1">
            <w:pPr>
              <w:jc w:val="center"/>
            </w:pPr>
            <w:r>
              <w:rPr>
                <w:rFonts w:ascii="宋体" w:hAnsi="宋体" w:eastAsia="宋体"/>
                <w:sz w:val="16"/>
              </w:rPr>
              <w:t>219.89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B4D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ED2B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FE4C4">
            <w:pPr>
              <w:jc w:val="center"/>
            </w:pPr>
            <w:r>
              <w:rPr>
                <w:rFonts w:ascii="宋体" w:hAnsi="宋体" w:eastAsia="宋体"/>
                <w:sz w:val="16"/>
              </w:rPr>
              <w:t>—</w:t>
            </w:r>
          </w:p>
        </w:tc>
      </w:tr>
      <w:tr w14:paraId="37B218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92D7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9BE6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D9A01">
            <w:pPr>
              <w:jc w:val="center"/>
            </w:pPr>
            <w:r>
              <w:rPr>
                <w:rFonts w:ascii="宋体" w:hAnsi="宋体" w:eastAsia="宋体"/>
                <w:sz w:val="16"/>
              </w:rPr>
              <w:t>885.26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F1714">
            <w:pPr>
              <w:jc w:val="center"/>
            </w:pPr>
            <w:r>
              <w:rPr>
                <w:rFonts w:ascii="宋体" w:hAnsi="宋体" w:eastAsia="宋体"/>
                <w:sz w:val="16"/>
              </w:rPr>
              <w:t>884.30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420AE">
            <w:pPr>
              <w:jc w:val="center"/>
            </w:pPr>
            <w:r>
              <w:rPr>
                <w:rFonts w:ascii="宋体" w:hAnsi="宋体" w:eastAsia="宋体"/>
                <w:sz w:val="16"/>
              </w:rPr>
              <w:t>884.30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5C9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2ECE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8C9EB">
            <w:pPr>
              <w:jc w:val="center"/>
            </w:pPr>
            <w:r>
              <w:rPr>
                <w:rFonts w:ascii="宋体" w:hAnsi="宋体" w:eastAsia="宋体"/>
                <w:sz w:val="16"/>
              </w:rPr>
              <w:t>—</w:t>
            </w:r>
          </w:p>
        </w:tc>
      </w:tr>
      <w:tr w14:paraId="14FCB0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86A4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D68CC">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B3801">
            <w:pPr>
              <w:jc w:val="center"/>
            </w:pPr>
            <w:r>
              <w:rPr>
                <w:rFonts w:ascii="宋体" w:hAnsi="宋体" w:eastAsia="宋体"/>
                <w:sz w:val="16"/>
              </w:rPr>
              <w:t>7.42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2D968">
            <w:pPr>
              <w:jc w:val="center"/>
            </w:pPr>
            <w:r>
              <w:rPr>
                <w:rFonts w:ascii="宋体" w:hAnsi="宋体" w:eastAsia="宋体"/>
                <w:sz w:val="16"/>
              </w:rPr>
              <w:t>22.42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5E352">
            <w:pPr>
              <w:jc w:val="center"/>
            </w:pPr>
            <w:r>
              <w:rPr>
                <w:rFonts w:ascii="宋体" w:hAnsi="宋体" w:eastAsia="宋体"/>
                <w:sz w:val="16"/>
              </w:rPr>
              <w:t>12.07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CBB8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B2DE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96512">
            <w:pPr>
              <w:jc w:val="center"/>
            </w:pPr>
            <w:r>
              <w:rPr>
                <w:rFonts w:ascii="宋体" w:hAnsi="宋体" w:eastAsia="宋体"/>
                <w:sz w:val="16"/>
              </w:rPr>
              <w:t>—</w:t>
            </w:r>
          </w:p>
        </w:tc>
      </w:tr>
      <w:tr w14:paraId="7F79ED4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FC93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3BEC2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387B62">
            <w:pPr>
              <w:jc w:val="center"/>
            </w:pPr>
            <w:r>
              <w:rPr>
                <w:rFonts w:ascii="宋体" w:hAnsi="宋体" w:eastAsia="宋体"/>
                <w:sz w:val="16"/>
              </w:rPr>
              <w:t>实际完成情况</w:t>
            </w:r>
          </w:p>
        </w:tc>
      </w:tr>
      <w:tr w14:paraId="7CC9D0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2559D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496C74">
            <w:pPr>
              <w:jc w:val="both"/>
            </w:pPr>
            <w:r>
              <w:rPr>
                <w:rFonts w:ascii="宋体" w:hAnsi="宋体" w:eastAsia="宋体"/>
                <w:sz w:val="16"/>
              </w:rPr>
              <w:t>2024年全年</w:t>
            </w:r>
            <w:r>
              <w:rPr>
                <w:rFonts w:hint="eastAsia" w:ascii="宋体" w:hAnsi="宋体"/>
                <w:sz w:val="16"/>
                <w:lang w:eastAsia="zh-CN"/>
              </w:rPr>
              <w:t>预算外资金</w:t>
            </w:r>
            <w:r>
              <w:rPr>
                <w:rFonts w:ascii="宋体" w:hAnsi="宋体" w:eastAsia="宋体"/>
                <w:sz w:val="16"/>
              </w:rPr>
              <w:t>，主要用于全面优化刑事检察监督，保障被监管人的合法权益，持续推进公益诉讼检察，不断深化信访工作，提升依法履职能力，推动“四大</w:t>
            </w:r>
            <w:r>
              <w:rPr>
                <w:rFonts w:hint="eastAsia" w:ascii="宋体" w:hAnsi="宋体"/>
                <w:sz w:val="16"/>
                <w:lang w:eastAsia="zh-CN"/>
              </w:rPr>
              <w:t>检察</w:t>
            </w:r>
            <w:r>
              <w:rPr>
                <w:rFonts w:ascii="宋体" w:hAnsi="宋体" w:eastAsia="宋体"/>
                <w:sz w:val="16"/>
              </w:rPr>
              <w:t>”协调发展，打造忠诚干净担当的过硬检察队伍，维护社会治安和维护社会公平正义。全院全年受理刑事案件数为382件，受理行政公益诉讼案件数59件，受理信访案件数37件，认罪认罚适用率达到94%，确定性量刑提出率达到99%，使群众信访案件满意度预计能达到95%。</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7561CF">
            <w:pPr>
              <w:jc w:val="both"/>
            </w:pPr>
            <w:r>
              <w:rPr>
                <w:rFonts w:ascii="宋体" w:hAnsi="宋体" w:eastAsia="宋体"/>
                <w:sz w:val="16"/>
              </w:rPr>
              <w:t>始终坚持党对检察工作的绝对领导，紧紧围绕党的治疆方略，坚持按照“务本、求实、提质、增效”的工作目标，以高度的政治自觉、法治自觉、检察自觉依法全面履行法律监督职责和“一个统领、五个始终、八个坚持不懈”工作思路，忠诚履行各项检察职能，强化法律监督实效，全力服务发展大局。本年受理案件刑事案件数量为382件，受理立案公益诉讼案件数量59件，认罪认罚适用率94.86%，确定性量刑提出率99.06%。</w:t>
            </w:r>
          </w:p>
        </w:tc>
      </w:tr>
      <w:tr w14:paraId="0DAED69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5F63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15DD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F8FA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60F4C">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265B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173B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756E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3B547">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6FA24">
            <w:pPr>
              <w:jc w:val="center"/>
            </w:pPr>
            <w:r>
              <w:rPr>
                <w:rFonts w:ascii="宋体" w:hAnsi="宋体" w:eastAsia="宋体"/>
                <w:sz w:val="16"/>
              </w:rPr>
              <w:t>得分</w:t>
            </w:r>
          </w:p>
        </w:tc>
      </w:tr>
      <w:tr w14:paraId="72C975C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B823C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DCCF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35066">
            <w:pPr>
              <w:jc w:val="center"/>
            </w:pPr>
            <w:r>
              <w:rPr>
                <w:rFonts w:ascii="宋体" w:hAnsi="宋体" w:eastAsia="宋体"/>
                <w:sz w:val="16"/>
              </w:rPr>
              <w:t>办理刑事案件数量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119FE">
            <w:pPr>
              <w:jc w:val="center"/>
            </w:pPr>
            <w:r>
              <w:rPr>
                <w:rFonts w:ascii="宋体" w:hAnsi="宋体" w:eastAsia="宋体"/>
                <w:sz w:val="16"/>
              </w:rPr>
              <w:t>&gt;=382件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8F212">
            <w:pPr>
              <w:jc w:val="center"/>
            </w:pPr>
            <w:r>
              <w:rPr>
                <w:rFonts w:ascii="宋体" w:hAnsi="宋体" w:eastAsia="宋体"/>
                <w:sz w:val="16"/>
              </w:rPr>
              <w:t>英吉沙县人民检察院2023年工作总结、英吉沙县人民检察院2024年工作计划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5F60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D37E3">
            <w:pPr>
              <w:jc w:val="center"/>
            </w:pPr>
            <w:r>
              <w:rPr>
                <w:rFonts w:ascii="宋体" w:hAnsi="宋体" w:eastAsia="宋体"/>
                <w:sz w:val="16"/>
              </w:rPr>
              <w:t>382件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FFCB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C7CBE">
            <w:pPr>
              <w:jc w:val="center"/>
            </w:pPr>
            <w:r>
              <w:rPr>
                <w:rFonts w:ascii="宋体" w:hAnsi="宋体" w:eastAsia="宋体"/>
                <w:sz w:val="16"/>
              </w:rPr>
              <w:t>20</w:t>
            </w:r>
          </w:p>
        </w:tc>
      </w:tr>
      <w:tr w14:paraId="124A79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EC7E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D2E0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F96E2">
            <w:pPr>
              <w:jc w:val="center"/>
            </w:pPr>
            <w:r>
              <w:rPr>
                <w:rFonts w:ascii="宋体" w:hAnsi="宋体" w:eastAsia="宋体"/>
                <w:sz w:val="16"/>
              </w:rPr>
              <w:t>受理行政公益诉讼案件数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F53BD">
            <w:pPr>
              <w:jc w:val="center"/>
            </w:pPr>
            <w:r>
              <w:rPr>
                <w:rFonts w:ascii="宋体" w:hAnsi="宋体" w:eastAsia="宋体"/>
                <w:sz w:val="16"/>
              </w:rPr>
              <w:t>&gt;=59件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6DF90">
            <w:pPr>
              <w:jc w:val="center"/>
            </w:pPr>
            <w:r>
              <w:rPr>
                <w:rFonts w:ascii="宋体" w:hAnsi="宋体" w:eastAsia="宋体"/>
                <w:sz w:val="16"/>
              </w:rPr>
              <w:t>英吉沙县人民检察院2023年工作总结、英吉沙县人民检察院2024年工作计划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1454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579B7">
            <w:pPr>
              <w:jc w:val="center"/>
            </w:pPr>
            <w:r>
              <w:rPr>
                <w:rFonts w:ascii="宋体" w:hAnsi="宋体" w:eastAsia="宋体"/>
                <w:sz w:val="16"/>
              </w:rPr>
              <w:t>59件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EB0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55691">
            <w:pPr>
              <w:jc w:val="center"/>
            </w:pPr>
            <w:r>
              <w:rPr>
                <w:rFonts w:ascii="宋体" w:hAnsi="宋体" w:eastAsia="宋体"/>
                <w:sz w:val="16"/>
              </w:rPr>
              <w:t>20</w:t>
            </w:r>
          </w:p>
        </w:tc>
      </w:tr>
      <w:tr w14:paraId="6D618B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25E0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097A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9B555">
            <w:pPr>
              <w:jc w:val="center"/>
            </w:pPr>
            <w:r>
              <w:rPr>
                <w:rFonts w:ascii="宋体" w:hAnsi="宋体" w:eastAsia="宋体"/>
                <w:sz w:val="16"/>
              </w:rPr>
              <w:t>办理信访案件数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C54A5">
            <w:pPr>
              <w:jc w:val="center"/>
            </w:pPr>
            <w:r>
              <w:rPr>
                <w:rFonts w:ascii="宋体" w:hAnsi="宋体" w:eastAsia="宋体"/>
                <w:sz w:val="16"/>
              </w:rPr>
              <w:t>&gt;=37件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16BD9">
            <w:pPr>
              <w:jc w:val="center"/>
            </w:pPr>
            <w:r>
              <w:rPr>
                <w:rFonts w:ascii="宋体" w:hAnsi="宋体" w:eastAsia="宋体"/>
                <w:sz w:val="16"/>
              </w:rPr>
              <w:t>英吉沙县人民检察院2023年工作总结、英吉沙县人民检察院2024年工作计划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8511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6B702">
            <w:pPr>
              <w:jc w:val="center"/>
            </w:pPr>
            <w:r>
              <w:rPr>
                <w:rFonts w:ascii="宋体" w:hAnsi="宋体" w:eastAsia="宋体"/>
                <w:sz w:val="16"/>
              </w:rPr>
              <w:t>37件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B4A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B149E">
            <w:pPr>
              <w:jc w:val="center"/>
            </w:pPr>
            <w:r>
              <w:rPr>
                <w:rFonts w:ascii="宋体" w:hAnsi="宋体" w:eastAsia="宋体"/>
                <w:sz w:val="16"/>
              </w:rPr>
              <w:t>20</w:t>
            </w:r>
          </w:p>
        </w:tc>
      </w:tr>
      <w:tr w14:paraId="2E009C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489C7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3AF5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DB6AC">
            <w:pPr>
              <w:jc w:val="center"/>
            </w:pPr>
            <w:r>
              <w:rPr>
                <w:rFonts w:ascii="宋体" w:hAnsi="宋体" w:eastAsia="宋体"/>
                <w:sz w:val="16"/>
              </w:rPr>
              <w:t>认罪认罚适用率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143FA">
            <w:pPr>
              <w:jc w:val="center"/>
            </w:pPr>
            <w:r>
              <w:rPr>
                <w:rFonts w:ascii="宋体" w:hAnsi="宋体" w:eastAsia="宋体"/>
                <w:sz w:val="16"/>
              </w:rPr>
              <w:t>&gt;=94%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FCE22">
            <w:pPr>
              <w:jc w:val="center"/>
            </w:pPr>
            <w:r>
              <w:rPr>
                <w:rFonts w:ascii="宋体" w:hAnsi="宋体" w:eastAsia="宋体"/>
                <w:sz w:val="16"/>
              </w:rPr>
              <w:t>英吉沙县人民检察院2023年工作总结、英吉沙县人民检察院2024年工作计划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E25F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AA85F">
            <w:pPr>
              <w:jc w:val="center"/>
            </w:pPr>
            <w:r>
              <w:rPr>
                <w:rFonts w:ascii="宋体" w:hAnsi="宋体" w:eastAsia="宋体"/>
                <w:sz w:val="16"/>
              </w:rPr>
              <w:t>94.86%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F9D8D">
            <w:pPr>
              <w:jc w:val="center"/>
            </w:pPr>
            <w:r>
              <w:rPr>
                <w:rFonts w:ascii="宋体" w:hAnsi="宋体" w:eastAsia="宋体"/>
                <w:sz w:val="16"/>
              </w:rPr>
              <w:t>100.91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8B962">
            <w:pPr>
              <w:jc w:val="center"/>
            </w:pPr>
            <w:r>
              <w:rPr>
                <w:rFonts w:ascii="宋体" w:hAnsi="宋体" w:eastAsia="宋体"/>
                <w:sz w:val="16"/>
              </w:rPr>
              <w:t>15</w:t>
            </w:r>
          </w:p>
        </w:tc>
      </w:tr>
      <w:tr w14:paraId="2D5C0D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61B2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DE70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25830">
            <w:pPr>
              <w:jc w:val="center"/>
            </w:pPr>
            <w:r>
              <w:rPr>
                <w:rFonts w:ascii="宋体" w:hAnsi="宋体" w:eastAsia="宋体"/>
                <w:sz w:val="16"/>
              </w:rPr>
              <w:t>定刑量刑提出率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069D6">
            <w:pPr>
              <w:jc w:val="center"/>
            </w:pPr>
            <w:r>
              <w:rPr>
                <w:rFonts w:ascii="宋体" w:hAnsi="宋体" w:eastAsia="宋体"/>
                <w:sz w:val="16"/>
              </w:rPr>
              <w:t>&gt;=99%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3A32A">
            <w:pPr>
              <w:jc w:val="center"/>
            </w:pPr>
            <w:r>
              <w:rPr>
                <w:rFonts w:ascii="宋体" w:hAnsi="宋体" w:eastAsia="宋体"/>
                <w:sz w:val="16"/>
              </w:rPr>
              <w:t>英吉沙县人民检察院2023年工作总结、英吉沙县人民检察院2024年工作计划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DB66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835AD">
            <w:pPr>
              <w:jc w:val="center"/>
            </w:pPr>
            <w:r>
              <w:rPr>
                <w:rFonts w:ascii="宋体" w:hAnsi="宋体" w:eastAsia="宋体"/>
                <w:sz w:val="16"/>
              </w:rPr>
              <w:t>99.06%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92BD0">
            <w:pPr>
              <w:jc w:val="center"/>
            </w:pPr>
            <w:r>
              <w:rPr>
                <w:rFonts w:ascii="宋体" w:hAnsi="宋体" w:eastAsia="宋体"/>
                <w:sz w:val="16"/>
              </w:rPr>
              <w:t>100.06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94674">
            <w:pPr>
              <w:jc w:val="center"/>
            </w:pPr>
            <w:r>
              <w:rPr>
                <w:rFonts w:ascii="宋体" w:hAnsi="宋体" w:eastAsia="宋体"/>
                <w:sz w:val="16"/>
              </w:rPr>
              <w:t>15</w:t>
            </w:r>
          </w:p>
        </w:tc>
      </w:tr>
    </w:tbl>
    <w:p w14:paraId="72AD7058">
      <w:r>
        <w:br w:type="page"/>
      </w:r>
    </w:p>
    <w:p w14:paraId="216DA1C5">
      <w:pPr>
        <w:spacing w:line="640" w:lineRule="exact"/>
        <w:ind w:firstLine="640"/>
        <w:jc w:val="both"/>
        <w:outlineLvl w:val="2"/>
      </w:pPr>
      <w:r>
        <w:rPr>
          <w:rFonts w:ascii="黑体" w:hAnsi="黑体" w:eastAsia="黑体"/>
          <w:sz w:val="32"/>
        </w:rPr>
        <w:t>十二、其他需说明的事项</w:t>
      </w:r>
    </w:p>
    <w:p w14:paraId="61051578">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项目8个，全年预算数250.63万元，全年执行数228.21万元。</w:t>
      </w:r>
    </w:p>
    <w:p w14:paraId="4AFB62EA">
      <w:r>
        <w:br w:type="page"/>
      </w:r>
    </w:p>
    <w:p w14:paraId="37096181">
      <w:pPr>
        <w:spacing w:line="240" w:lineRule="auto"/>
        <w:jc w:val="center"/>
        <w:outlineLvl w:val="1"/>
      </w:pPr>
      <w:r>
        <w:rPr>
          <w:rFonts w:ascii="黑体" w:hAnsi="黑体" w:eastAsia="黑体"/>
          <w:sz w:val="32"/>
        </w:rPr>
        <w:t>第三部分 专业名词解释</w:t>
      </w:r>
    </w:p>
    <w:p w14:paraId="6DBA710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7921E7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E56D62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664EDF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F20995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6E713A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04BD56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7A4879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8F4B69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6AB701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FE87FF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C740C3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8F7AB8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356493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CBA6778">
      <w:r>
        <w:br w:type="page"/>
      </w:r>
    </w:p>
    <w:p w14:paraId="70D7E2FE">
      <w:pPr>
        <w:spacing w:line="240" w:lineRule="auto"/>
        <w:jc w:val="center"/>
        <w:outlineLvl w:val="1"/>
      </w:pPr>
      <w:r>
        <w:rPr>
          <w:rFonts w:ascii="黑体" w:hAnsi="黑体" w:eastAsia="黑体"/>
          <w:sz w:val="32"/>
        </w:rPr>
        <w:t>第四部分 部门决算报表（见附表）</w:t>
      </w:r>
    </w:p>
    <w:p w14:paraId="5AD03542">
      <w:pPr>
        <w:spacing w:line="240" w:lineRule="auto"/>
        <w:ind w:firstLine="640"/>
        <w:jc w:val="both"/>
      </w:pPr>
      <w:r>
        <w:rPr>
          <w:rFonts w:ascii="仿宋_GB2312" w:hAnsi="仿宋_GB2312" w:eastAsia="仿宋_GB2312"/>
          <w:b w:val="0"/>
          <w:sz w:val="32"/>
        </w:rPr>
        <w:t>一、《收入支出决算总表》</w:t>
      </w:r>
    </w:p>
    <w:p w14:paraId="4D0E1D05">
      <w:pPr>
        <w:spacing w:line="240" w:lineRule="auto"/>
        <w:ind w:firstLine="640"/>
        <w:jc w:val="both"/>
      </w:pPr>
      <w:r>
        <w:rPr>
          <w:rFonts w:ascii="仿宋_GB2312" w:hAnsi="仿宋_GB2312" w:eastAsia="仿宋_GB2312"/>
          <w:b w:val="0"/>
          <w:sz w:val="32"/>
        </w:rPr>
        <w:t>二、《收入决算表》</w:t>
      </w:r>
    </w:p>
    <w:p w14:paraId="7D569E20">
      <w:pPr>
        <w:spacing w:line="240" w:lineRule="auto"/>
        <w:ind w:firstLine="640"/>
        <w:jc w:val="both"/>
      </w:pPr>
      <w:r>
        <w:rPr>
          <w:rFonts w:ascii="仿宋_GB2312" w:hAnsi="仿宋_GB2312" w:eastAsia="仿宋_GB2312"/>
          <w:b w:val="0"/>
          <w:sz w:val="32"/>
        </w:rPr>
        <w:t>三、《支出决算表》</w:t>
      </w:r>
    </w:p>
    <w:p w14:paraId="16905E9F">
      <w:pPr>
        <w:spacing w:line="240" w:lineRule="auto"/>
        <w:ind w:firstLine="640"/>
        <w:jc w:val="both"/>
      </w:pPr>
      <w:r>
        <w:rPr>
          <w:rFonts w:ascii="仿宋_GB2312" w:hAnsi="仿宋_GB2312" w:eastAsia="仿宋_GB2312"/>
          <w:b w:val="0"/>
          <w:sz w:val="32"/>
        </w:rPr>
        <w:t>四、《财政拨款收入支出决算总表》</w:t>
      </w:r>
    </w:p>
    <w:p w14:paraId="1773869C">
      <w:pPr>
        <w:spacing w:line="240" w:lineRule="auto"/>
        <w:ind w:firstLine="640"/>
        <w:jc w:val="both"/>
      </w:pPr>
      <w:r>
        <w:rPr>
          <w:rFonts w:ascii="仿宋_GB2312" w:hAnsi="仿宋_GB2312" w:eastAsia="仿宋_GB2312"/>
          <w:b w:val="0"/>
          <w:sz w:val="32"/>
        </w:rPr>
        <w:t>五、《一般公共预算财政拨款支出决算表》</w:t>
      </w:r>
    </w:p>
    <w:p w14:paraId="7E41D7DF">
      <w:pPr>
        <w:spacing w:line="240" w:lineRule="auto"/>
        <w:ind w:firstLine="640"/>
        <w:jc w:val="both"/>
      </w:pPr>
      <w:r>
        <w:rPr>
          <w:rFonts w:ascii="仿宋_GB2312" w:hAnsi="仿宋_GB2312" w:eastAsia="仿宋_GB2312"/>
          <w:b w:val="0"/>
          <w:sz w:val="32"/>
        </w:rPr>
        <w:t>六、《一般公共预算财政拨款基本支出决算表》</w:t>
      </w:r>
    </w:p>
    <w:p w14:paraId="4C099161">
      <w:pPr>
        <w:spacing w:line="240" w:lineRule="auto"/>
        <w:ind w:firstLine="640"/>
        <w:jc w:val="both"/>
      </w:pPr>
      <w:r>
        <w:rPr>
          <w:rFonts w:ascii="仿宋_GB2312" w:hAnsi="仿宋_GB2312" w:eastAsia="仿宋_GB2312"/>
          <w:b w:val="0"/>
          <w:sz w:val="32"/>
        </w:rPr>
        <w:t>七、《政府性基金预算财政拨款收入支出决算表》</w:t>
      </w:r>
    </w:p>
    <w:p w14:paraId="695CB2B2">
      <w:pPr>
        <w:spacing w:line="240" w:lineRule="auto"/>
        <w:ind w:firstLine="640"/>
        <w:jc w:val="both"/>
      </w:pPr>
      <w:r>
        <w:rPr>
          <w:rFonts w:ascii="仿宋_GB2312" w:hAnsi="仿宋_GB2312" w:eastAsia="仿宋_GB2312"/>
          <w:b w:val="0"/>
          <w:sz w:val="32"/>
        </w:rPr>
        <w:t>八、《国有资本经营预算财政拨款收入支出决算表》</w:t>
      </w:r>
    </w:p>
    <w:p w14:paraId="63D7738A">
      <w:pPr>
        <w:spacing w:line="240" w:lineRule="auto"/>
        <w:ind w:firstLine="640"/>
        <w:jc w:val="both"/>
      </w:pPr>
      <w:r>
        <w:rPr>
          <w:rFonts w:ascii="仿宋_GB2312" w:hAnsi="仿宋_GB2312" w:eastAsia="仿宋_GB2312"/>
          <w:b w:val="0"/>
          <w:sz w:val="32"/>
        </w:rPr>
        <w:t>九、《财政拨款“三公”经费支出决算表》</w:t>
      </w:r>
    </w:p>
    <w:p w14:paraId="7ED6B27A">
      <w:pPr>
        <w:spacing w:line="240" w:lineRule="auto"/>
        <w:ind w:firstLine="640"/>
        <w:jc w:val="both"/>
      </w:pPr>
    </w:p>
    <w:p w14:paraId="22744CE6">
      <w:pPr>
        <w:spacing w:line="240" w:lineRule="auto"/>
        <w:ind w:firstLine="640"/>
        <w:jc w:val="both"/>
      </w:pPr>
    </w:p>
    <w:p w14:paraId="2DD0F951">
      <w:pPr>
        <w:spacing w:line="240" w:lineRule="auto"/>
        <w:ind w:firstLine="640"/>
        <w:jc w:val="both"/>
      </w:pPr>
    </w:p>
    <w:p w14:paraId="55B004DE">
      <w:pPr>
        <w:spacing w:line="240" w:lineRule="auto"/>
        <w:ind w:firstLine="640"/>
        <w:jc w:val="both"/>
      </w:pPr>
    </w:p>
    <w:p w14:paraId="32CC9C1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D69922-651C-45B0-B117-3629AE38B0A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1B1F275F-645E-4206-8E09-D9A483ABA4D4}"/>
  </w:font>
  <w:font w:name="方正小标宋_GBK">
    <w:panose1 w:val="02000000000000000000"/>
    <w:charset w:val="86"/>
    <w:family w:val="script"/>
    <w:pitch w:val="default"/>
    <w:sig w:usb0="A00002BF" w:usb1="38CF7CFA" w:usb2="00082016" w:usb3="00000000" w:csb0="00040001" w:csb1="00000000"/>
    <w:embedRegular r:id="rId3" w:fontKey="{F51C8E17-B9A4-4A44-AA3C-E68155670522}"/>
  </w:font>
  <w:font w:name="楷体_GB2312">
    <w:panose1 w:val="02010609030101010101"/>
    <w:charset w:val="86"/>
    <w:family w:val="auto"/>
    <w:pitch w:val="default"/>
    <w:sig w:usb0="00000001" w:usb1="080E0000" w:usb2="00000000" w:usb3="00000000" w:csb0="00040000" w:csb1="00000000"/>
    <w:embedRegular r:id="rId4" w:fontKey="{531B3574-4A90-45A4-9D72-6F39E17403A4}"/>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047396"/>
    <w:rsid w:val="11E15093"/>
    <w:rsid w:val="120E0809"/>
    <w:rsid w:val="19071D6C"/>
    <w:rsid w:val="19B5554D"/>
    <w:rsid w:val="1B8F2D19"/>
    <w:rsid w:val="1C317E4F"/>
    <w:rsid w:val="1C472464"/>
    <w:rsid w:val="1DAF458D"/>
    <w:rsid w:val="1E086ACE"/>
    <w:rsid w:val="1E4B5CA5"/>
    <w:rsid w:val="1EAA4A5F"/>
    <w:rsid w:val="1F587A0B"/>
    <w:rsid w:val="1FAE732D"/>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0724C"/>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0D2433"/>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6601</Words>
  <Characters>7522</Characters>
  <Lines>0</Lines>
  <Paragraphs>0</Paragraphs>
  <TotalTime>4</TotalTime>
  <ScaleCrop>false</ScaleCrop>
  <LinksUpToDate>false</LinksUpToDate>
  <CharactersWithSpaces>7532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