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莎车县人民检察院2024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041305">
      <w:r>
        <w:br w:type="page"/>
      </w:r>
    </w:p>
    <w:p w14:paraId="78EB9B0A">
      <w:pPr>
        <w:spacing w:line="640" w:lineRule="exact"/>
        <w:jc w:val="center"/>
        <w:outlineLvl w:val="1"/>
      </w:pPr>
      <w:r>
        <w:rPr>
          <w:rFonts w:ascii="黑体" w:hAnsi="黑体" w:eastAsia="黑体"/>
          <w:sz w:val="32"/>
        </w:rPr>
        <w:t>第一部分 部门概况</w:t>
      </w:r>
    </w:p>
    <w:p w14:paraId="1FC436E3">
      <w:pPr>
        <w:spacing w:line="640" w:lineRule="exact"/>
        <w:ind w:firstLine="640"/>
        <w:jc w:val="both"/>
        <w:outlineLvl w:val="2"/>
      </w:pPr>
      <w:r>
        <w:rPr>
          <w:rFonts w:ascii="黑体" w:hAnsi="黑体" w:eastAsia="黑体"/>
          <w:sz w:val="32"/>
        </w:rPr>
        <w:t>一、主要职能</w:t>
      </w:r>
    </w:p>
    <w:p w14:paraId="39E57652">
      <w:pPr>
        <w:spacing w:line="580" w:lineRule="exact"/>
        <w:ind w:firstLine="640"/>
        <w:jc w:val="both"/>
      </w:pPr>
      <w:r>
        <w:rPr>
          <w:rFonts w:ascii="仿宋_GB2312" w:hAnsi="仿宋_GB2312" w:eastAsia="仿宋_GB2312"/>
          <w:sz w:val="32"/>
        </w:rPr>
        <w:t>（一）深入贯彻习近平新时代中国特色社会主义思想，深入贯彻党的路线方针政策和决策部署，统一全院检察人员思想和行动，坚持党对检察工作的绝对领导，坚决维护习近平总书记党中央的核心、全党的核心地位</w:t>
      </w:r>
      <w:r>
        <w:rPr>
          <w:rFonts w:hint="eastAsia" w:ascii="仿宋_GB2312" w:hAnsi="仿宋_GB2312" w:eastAsia="仿宋_GB2312"/>
          <w:sz w:val="32"/>
          <w:lang w:eastAsia="zh-CN"/>
        </w:rPr>
        <w:t>，坚决</w:t>
      </w:r>
      <w:r>
        <w:rPr>
          <w:rFonts w:ascii="仿宋_GB2312" w:hAnsi="仿宋_GB2312" w:eastAsia="仿宋_GB2312"/>
          <w:sz w:val="32"/>
        </w:rPr>
        <w:t>维护党中</w:t>
      </w:r>
      <w:bookmarkStart w:id="0" w:name="_GoBack"/>
      <w:bookmarkEnd w:id="0"/>
      <w:r>
        <w:rPr>
          <w:rFonts w:ascii="仿宋_GB2312" w:hAnsi="仿宋_GB2312" w:eastAsia="仿宋_GB2312"/>
          <w:sz w:val="32"/>
        </w:rPr>
        <w:t>央权威和集中统一领导。</w:t>
      </w:r>
    </w:p>
    <w:p w14:paraId="34A597C0">
      <w:pPr>
        <w:spacing w:line="580" w:lineRule="exact"/>
        <w:ind w:firstLine="640"/>
        <w:jc w:val="both"/>
      </w:pPr>
      <w:r>
        <w:rPr>
          <w:rFonts w:ascii="仿宋_GB2312" w:hAnsi="仿宋_GB2312" w:eastAsia="仿宋_GB2312"/>
          <w:sz w:val="32"/>
        </w:rPr>
        <w:t>（二）依法向莎车县人民代表大会及其常务委员会提出议案。</w:t>
      </w:r>
    </w:p>
    <w:p w14:paraId="6C9B9239">
      <w:pPr>
        <w:spacing w:line="580" w:lineRule="exact"/>
        <w:ind w:firstLine="640"/>
        <w:jc w:val="both"/>
      </w:pPr>
      <w:r>
        <w:rPr>
          <w:rFonts w:ascii="仿宋_GB2312" w:hAnsi="仿宋_GB2312" w:eastAsia="仿宋_GB2312"/>
          <w:sz w:val="32"/>
        </w:rPr>
        <w:t>（三）贯彻落实检察工作方针、总体规划，完成检察工作任务。</w:t>
      </w:r>
    </w:p>
    <w:p w14:paraId="387F62AD">
      <w:pPr>
        <w:spacing w:line="580" w:lineRule="exact"/>
        <w:ind w:firstLine="640"/>
        <w:jc w:val="both"/>
      </w:pPr>
      <w:r>
        <w:rPr>
          <w:rFonts w:ascii="仿宋_GB2312" w:hAnsi="仿宋_GB2312" w:eastAsia="仿宋_GB2312"/>
          <w:sz w:val="32"/>
        </w:rPr>
        <w:t>（四）依法开展对刑事犯罪案件的审查批准逮捕、决定逮捕、审查起诉工作。</w:t>
      </w:r>
    </w:p>
    <w:p w14:paraId="444B51AE">
      <w:pPr>
        <w:spacing w:line="580" w:lineRule="exact"/>
        <w:ind w:firstLine="640"/>
        <w:jc w:val="both"/>
      </w:pPr>
      <w:r>
        <w:rPr>
          <w:rFonts w:ascii="仿宋_GB2312" w:hAnsi="仿宋_GB2312" w:eastAsia="仿宋_GB2312"/>
          <w:sz w:val="32"/>
        </w:rPr>
        <w:t>（五）负责应由莎车县人民检察院承办的刑事、民事、</w:t>
      </w:r>
      <w:r>
        <w:rPr>
          <w:rFonts w:hint="eastAsia" w:ascii="仿宋_GB2312" w:hAnsi="仿宋_GB2312" w:eastAsia="仿宋_GB2312"/>
          <w:sz w:val="32"/>
          <w:lang w:eastAsia="zh-CN"/>
        </w:rPr>
        <w:t>行政诉讼</w:t>
      </w:r>
      <w:r>
        <w:rPr>
          <w:rFonts w:ascii="仿宋_GB2312" w:hAnsi="仿宋_GB2312" w:eastAsia="仿宋_GB2312"/>
          <w:sz w:val="32"/>
        </w:rPr>
        <w:t>活动及刑事、民事、行政判决和裁定等生效法律文书执行的法律监督工作。</w:t>
      </w:r>
    </w:p>
    <w:p w14:paraId="1E9AECD1">
      <w:pPr>
        <w:spacing w:line="580" w:lineRule="exact"/>
        <w:ind w:firstLine="640"/>
        <w:jc w:val="both"/>
      </w:pPr>
      <w:r>
        <w:rPr>
          <w:rFonts w:ascii="仿宋_GB2312" w:hAnsi="仿宋_GB2312" w:eastAsia="仿宋_GB2312"/>
          <w:sz w:val="32"/>
        </w:rPr>
        <w:t>（六）负责对莎车县人民法院已发生法律效力、确有错误的判决和裁定，依法提请新疆维吾尔自治区人民检察院喀什检察分院向喀什地区中级人民法院提出抗诉。</w:t>
      </w:r>
    </w:p>
    <w:p w14:paraId="7F31A4D4">
      <w:pPr>
        <w:spacing w:line="580" w:lineRule="exact"/>
        <w:ind w:firstLine="640"/>
        <w:jc w:val="both"/>
      </w:pPr>
      <w:r>
        <w:rPr>
          <w:rFonts w:ascii="仿宋_GB2312" w:hAnsi="仿宋_GB2312" w:eastAsia="仿宋_GB2312"/>
          <w:sz w:val="32"/>
        </w:rPr>
        <w:t>（七）负责应由莎车县人民检察院承办的公益诉讼工作。</w:t>
      </w:r>
    </w:p>
    <w:p w14:paraId="2247ABDD">
      <w:pPr>
        <w:spacing w:line="580" w:lineRule="exact"/>
        <w:ind w:firstLine="640"/>
        <w:jc w:val="both"/>
      </w:pPr>
      <w:r>
        <w:rPr>
          <w:rFonts w:ascii="仿宋_GB2312" w:hAnsi="仿宋_GB2312" w:eastAsia="仿宋_GB2312"/>
          <w:sz w:val="32"/>
        </w:rPr>
        <w:t>（八）负责应由莎车县人民检察院承办的对安置教育机构、看守所、社区矫正机构等执法活动的法律监督工作。</w:t>
      </w:r>
    </w:p>
    <w:p w14:paraId="6AFF8AD5">
      <w:pPr>
        <w:spacing w:line="580" w:lineRule="exact"/>
        <w:ind w:firstLine="640"/>
        <w:jc w:val="both"/>
      </w:pPr>
      <w:r>
        <w:rPr>
          <w:rFonts w:ascii="仿宋_GB2312" w:hAnsi="仿宋_GB2312" w:eastAsia="仿宋_GB2312"/>
          <w:sz w:val="32"/>
        </w:rPr>
        <w:t>（九）受理向莎车县人民检察院的控告申诉，开展控告申诉检察工作。</w:t>
      </w:r>
    </w:p>
    <w:p w14:paraId="74AAA1E9">
      <w:pPr>
        <w:spacing w:line="580" w:lineRule="exact"/>
        <w:ind w:firstLine="640"/>
        <w:jc w:val="both"/>
      </w:pPr>
      <w:r>
        <w:rPr>
          <w:rFonts w:ascii="仿宋_GB2312" w:hAnsi="仿宋_GB2312" w:eastAsia="仿宋_GB2312"/>
          <w:sz w:val="32"/>
        </w:rPr>
        <w:t>（十）开展检察应用和理论研究工作。</w:t>
      </w:r>
    </w:p>
    <w:p w14:paraId="57FC4DE7">
      <w:pPr>
        <w:spacing w:line="580" w:lineRule="exact"/>
        <w:ind w:firstLine="640"/>
        <w:jc w:val="both"/>
      </w:pPr>
      <w:r>
        <w:rPr>
          <w:rFonts w:ascii="仿宋_GB2312" w:hAnsi="仿宋_GB2312" w:eastAsia="仿宋_GB2312"/>
          <w:sz w:val="32"/>
        </w:rPr>
        <w:t>（十一）负责本院队伍建设和思想政治工作。依法管理检察官及其他检察人员的工作，开展检察机关教育培训工作。</w:t>
      </w:r>
    </w:p>
    <w:p w14:paraId="6D8FCD32">
      <w:pPr>
        <w:spacing w:line="580" w:lineRule="exact"/>
        <w:ind w:firstLine="640"/>
        <w:jc w:val="both"/>
      </w:pPr>
      <w:r>
        <w:rPr>
          <w:rFonts w:ascii="仿宋_GB2312" w:hAnsi="仿宋_GB2312" w:eastAsia="仿宋_GB2312"/>
          <w:sz w:val="32"/>
        </w:rPr>
        <w:t>（十二）开展本院检务督察工作。</w:t>
      </w:r>
    </w:p>
    <w:p w14:paraId="6D967FAF">
      <w:pPr>
        <w:spacing w:line="640" w:lineRule="exact"/>
        <w:ind w:firstLine="640"/>
        <w:jc w:val="both"/>
        <w:outlineLvl w:val="2"/>
      </w:pPr>
      <w:r>
        <w:rPr>
          <w:rFonts w:ascii="黑体" w:hAnsi="黑体" w:eastAsia="黑体"/>
          <w:sz w:val="32"/>
        </w:rPr>
        <w:t>二、机构设置及人员情况</w:t>
      </w:r>
    </w:p>
    <w:p w14:paraId="03D0194D">
      <w:pPr>
        <w:spacing w:line="580" w:lineRule="exact"/>
        <w:ind w:firstLine="640"/>
        <w:jc w:val="both"/>
      </w:pPr>
      <w:r>
        <w:rPr>
          <w:rFonts w:ascii="仿宋_GB2312" w:hAnsi="仿宋_GB2312" w:eastAsia="仿宋_GB2312"/>
          <w:sz w:val="32"/>
        </w:rPr>
        <w:t>莎车县人民检察院2024年度，实有人数113人，其中：在职人员74人，减少5人；离休人员0人，增加0人；退休人员39人,增加3人。</w:t>
      </w:r>
    </w:p>
    <w:p w14:paraId="72B8C439">
      <w:pPr>
        <w:spacing w:line="580" w:lineRule="exact"/>
        <w:ind w:firstLine="640"/>
        <w:jc w:val="both"/>
      </w:pPr>
      <w:r>
        <w:rPr>
          <w:rFonts w:ascii="仿宋_GB2312" w:hAnsi="仿宋_GB2312" w:eastAsia="仿宋_GB2312"/>
          <w:sz w:val="32"/>
        </w:rPr>
        <w:t>莎车县人民检察院无下属预算单位，下设8个科室，分别是：莎车县人民检察院无下属预算单位，下设8个股室，分别是：办公室、政治部、第一检察部、第二检察部、第三检察部、第四检察部、第五检察部、综合业务部。</w:t>
      </w:r>
    </w:p>
    <w:p w14:paraId="489FE09B">
      <w:r>
        <w:br w:type="page"/>
      </w:r>
    </w:p>
    <w:p w14:paraId="50E5AFEF">
      <w:pPr>
        <w:spacing w:line="240" w:lineRule="auto"/>
        <w:jc w:val="center"/>
        <w:outlineLvl w:val="1"/>
      </w:pPr>
      <w:r>
        <w:rPr>
          <w:rFonts w:ascii="黑体" w:hAnsi="黑体" w:eastAsia="黑体"/>
          <w:sz w:val="32"/>
        </w:rPr>
        <w:t>第二部分 部门决算情况说明</w:t>
      </w:r>
    </w:p>
    <w:p w14:paraId="74EA41E6">
      <w:pPr>
        <w:spacing w:line="640" w:lineRule="exact"/>
        <w:ind w:firstLine="640"/>
        <w:jc w:val="both"/>
        <w:outlineLvl w:val="2"/>
      </w:pPr>
      <w:r>
        <w:rPr>
          <w:rFonts w:ascii="黑体" w:hAnsi="黑体" w:eastAsia="黑体"/>
          <w:sz w:val="32"/>
        </w:rPr>
        <w:t>一、收入支出决算总体情况说明</w:t>
      </w:r>
    </w:p>
    <w:p w14:paraId="2F7BF483">
      <w:pPr>
        <w:spacing w:line="580" w:lineRule="exact"/>
        <w:ind w:firstLine="640"/>
        <w:jc w:val="both"/>
      </w:pPr>
      <w:r>
        <w:rPr>
          <w:rFonts w:ascii="仿宋_GB2312" w:hAnsi="仿宋_GB2312" w:eastAsia="仿宋_GB2312"/>
          <w:b/>
          <w:sz w:val="32"/>
        </w:rPr>
        <w:t>2024年度收入总计2,831.21万元，</w:t>
      </w:r>
      <w:r>
        <w:rPr>
          <w:rFonts w:ascii="仿宋_GB2312" w:hAnsi="仿宋_GB2312" w:eastAsia="仿宋_GB2312"/>
          <w:b w:val="0"/>
          <w:sz w:val="32"/>
        </w:rPr>
        <w:t>其中：本年收入合计2,831.21万元，使用非财政拨款结余（含专用结余）0.00万元，年初结转和结余0.00万元。</w:t>
      </w:r>
    </w:p>
    <w:p w14:paraId="52A00D29">
      <w:pPr>
        <w:spacing w:line="580" w:lineRule="exact"/>
        <w:ind w:firstLine="640"/>
        <w:jc w:val="both"/>
      </w:pPr>
      <w:r>
        <w:rPr>
          <w:rFonts w:ascii="仿宋_GB2312" w:hAnsi="仿宋_GB2312" w:eastAsia="仿宋_GB2312"/>
          <w:b/>
          <w:sz w:val="32"/>
        </w:rPr>
        <w:t>2024年度支出总计2,831.21万元，</w:t>
      </w:r>
      <w:r>
        <w:rPr>
          <w:rFonts w:ascii="仿宋_GB2312" w:hAnsi="仿宋_GB2312" w:eastAsia="仿宋_GB2312"/>
          <w:b w:val="0"/>
          <w:sz w:val="32"/>
        </w:rPr>
        <w:t>其中：本年支出合计2,831.21万元，结余分配0.00万元，年末结转和结余0.00万元。</w:t>
      </w:r>
    </w:p>
    <w:p w14:paraId="37B528F5">
      <w:pPr>
        <w:spacing w:line="580" w:lineRule="exact"/>
        <w:ind w:firstLine="640"/>
        <w:jc w:val="both"/>
      </w:pPr>
      <w:r>
        <w:rPr>
          <w:rFonts w:ascii="仿宋_GB2312" w:hAnsi="仿宋_GB2312" w:eastAsia="仿宋_GB2312"/>
          <w:b w:val="0"/>
          <w:sz w:val="32"/>
        </w:rPr>
        <w:t>收入支出总体与上年相比，增加58.50万元，增长2.11%，主要原因是：本年在职人员工资调薪，工资、社保、公积金等相关人员经费增加。</w:t>
      </w:r>
    </w:p>
    <w:p w14:paraId="7FCB6445">
      <w:pPr>
        <w:spacing w:line="640" w:lineRule="exact"/>
        <w:ind w:firstLine="640"/>
        <w:jc w:val="both"/>
        <w:outlineLvl w:val="2"/>
      </w:pPr>
      <w:r>
        <w:rPr>
          <w:rFonts w:ascii="黑体" w:hAnsi="黑体" w:eastAsia="黑体"/>
          <w:sz w:val="32"/>
        </w:rPr>
        <w:t>二、收入决算情况说明</w:t>
      </w:r>
    </w:p>
    <w:p w14:paraId="6E154D43">
      <w:pPr>
        <w:spacing w:line="580" w:lineRule="exact"/>
        <w:ind w:firstLine="640"/>
        <w:jc w:val="both"/>
      </w:pPr>
      <w:r>
        <w:rPr>
          <w:rFonts w:ascii="仿宋_GB2312" w:hAnsi="仿宋_GB2312" w:eastAsia="仿宋_GB2312"/>
          <w:b/>
          <w:sz w:val="32"/>
        </w:rPr>
        <w:t>本年收入2,831.21万元，</w:t>
      </w:r>
      <w:r>
        <w:rPr>
          <w:rFonts w:ascii="仿宋_GB2312" w:hAnsi="仿宋_GB2312" w:eastAsia="仿宋_GB2312"/>
          <w:b w:val="0"/>
          <w:sz w:val="32"/>
        </w:rPr>
        <w:t>其中：财政拨款收入2,831.21万元，占100.00%；上级补助收入0.00万元，占0.00%；事业收入0.00万元，占0.00%；经营收入0.00万元，占0.00%；附属单位上缴收入0.00万元，占0.00%；其他收入0.00万元，占0.00%。</w:t>
      </w:r>
    </w:p>
    <w:p w14:paraId="77292336">
      <w:pPr>
        <w:spacing w:line="640" w:lineRule="exact"/>
        <w:ind w:firstLine="640"/>
        <w:jc w:val="both"/>
        <w:outlineLvl w:val="2"/>
      </w:pPr>
      <w:r>
        <w:rPr>
          <w:rFonts w:ascii="黑体" w:hAnsi="黑体" w:eastAsia="黑体"/>
          <w:sz w:val="32"/>
        </w:rPr>
        <w:t>三、支出决算情况说明</w:t>
      </w:r>
    </w:p>
    <w:p w14:paraId="1772B126">
      <w:pPr>
        <w:spacing w:line="580" w:lineRule="exact"/>
        <w:ind w:firstLine="640"/>
        <w:jc w:val="both"/>
      </w:pPr>
      <w:r>
        <w:rPr>
          <w:rFonts w:ascii="仿宋_GB2312" w:hAnsi="仿宋_GB2312" w:eastAsia="仿宋_GB2312"/>
          <w:b/>
          <w:sz w:val="32"/>
        </w:rPr>
        <w:t>本年支出2,831.21万元，</w:t>
      </w:r>
      <w:r>
        <w:rPr>
          <w:rFonts w:ascii="仿宋_GB2312" w:hAnsi="仿宋_GB2312" w:eastAsia="仿宋_GB2312"/>
          <w:b w:val="0"/>
          <w:sz w:val="32"/>
        </w:rPr>
        <w:t>其中：基本支出2,189.65万元，占77.34%；项目支出641.56万元，占22.66%；上缴上级支出0.00万元，占0.00%；经营支出0.00万元，占0.00%；对附属单位补助支出0.00万元，占0.00%。</w:t>
      </w:r>
    </w:p>
    <w:p w14:paraId="5CE42C77">
      <w:pPr>
        <w:spacing w:line="640" w:lineRule="exact"/>
        <w:ind w:firstLine="640"/>
        <w:jc w:val="both"/>
        <w:outlineLvl w:val="2"/>
      </w:pPr>
      <w:r>
        <w:rPr>
          <w:rFonts w:ascii="黑体" w:hAnsi="黑体" w:eastAsia="黑体"/>
          <w:sz w:val="32"/>
        </w:rPr>
        <w:t>四、财政拨款收入支出决算总体情况说明</w:t>
      </w:r>
    </w:p>
    <w:p w14:paraId="06137ABA">
      <w:pPr>
        <w:spacing w:line="580" w:lineRule="exact"/>
        <w:ind w:firstLine="640"/>
        <w:jc w:val="both"/>
      </w:pPr>
      <w:r>
        <w:rPr>
          <w:rFonts w:ascii="仿宋_GB2312" w:hAnsi="仿宋_GB2312" w:eastAsia="仿宋_GB2312"/>
          <w:b/>
          <w:sz w:val="32"/>
        </w:rPr>
        <w:t>2024年度财政拨款收入总计2,831.21万元，</w:t>
      </w:r>
      <w:r>
        <w:rPr>
          <w:rFonts w:ascii="仿宋_GB2312" w:hAnsi="仿宋_GB2312" w:eastAsia="仿宋_GB2312"/>
          <w:b w:val="0"/>
          <w:sz w:val="32"/>
        </w:rPr>
        <w:t>其中：年初财政拨款结转和结余0.00万元，本年财政拨款收入2,831.21万元。</w:t>
      </w:r>
      <w:r>
        <w:rPr>
          <w:rFonts w:ascii="仿宋_GB2312" w:hAnsi="仿宋_GB2312" w:eastAsia="仿宋_GB2312"/>
          <w:b/>
          <w:sz w:val="32"/>
        </w:rPr>
        <w:t>财政拨款支出总计2,831.21万元，</w:t>
      </w:r>
      <w:r>
        <w:rPr>
          <w:rFonts w:ascii="仿宋_GB2312" w:hAnsi="仿宋_GB2312" w:eastAsia="仿宋_GB2312"/>
          <w:b w:val="0"/>
          <w:sz w:val="32"/>
        </w:rPr>
        <w:t>其中：年末财政拨款结转和结余0.00万元，本年财政拨款支出2,831.21万元。</w:t>
      </w:r>
    </w:p>
    <w:p w14:paraId="3F5922B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增加58.50万元，增长2.11%，主要原因是：本年在职人员工资调薪，工资、社保、公积金等相关人员经费增加。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年初预算数2,778.70万元，决算数2,831.21万元，预决算差异率1.89%，主要原因是：年中追加人员工资、社保、公积金基数调增部分资金，导致预决算存在差异。</w:t>
      </w:r>
    </w:p>
    <w:p w14:paraId="77689D84">
      <w:pPr>
        <w:spacing w:line="640" w:lineRule="exact"/>
        <w:ind w:firstLine="640"/>
        <w:jc w:val="both"/>
        <w:outlineLvl w:val="2"/>
      </w:pPr>
      <w:r>
        <w:rPr>
          <w:rFonts w:ascii="黑体" w:hAnsi="黑体" w:eastAsia="黑体"/>
          <w:sz w:val="32"/>
        </w:rPr>
        <w:t>五、一般公共预算财政拨款支出决算情况说明</w:t>
      </w:r>
    </w:p>
    <w:p w14:paraId="57F1EBD4">
      <w:pPr>
        <w:spacing w:line="640" w:lineRule="exact"/>
        <w:ind w:firstLine="640"/>
        <w:jc w:val="both"/>
        <w:outlineLvl w:val="3"/>
      </w:pPr>
      <w:r>
        <w:rPr>
          <w:rFonts w:ascii="楷体_GB2312" w:hAnsi="楷体_GB2312" w:eastAsia="楷体_GB2312"/>
          <w:b/>
          <w:sz w:val="32"/>
        </w:rPr>
        <w:t>（一）一般公共预算财政拨款支出决算总体情况</w:t>
      </w:r>
    </w:p>
    <w:p w14:paraId="47E807E5">
      <w:pPr>
        <w:spacing w:line="580" w:lineRule="exact"/>
        <w:ind w:firstLine="640"/>
        <w:jc w:val="both"/>
      </w:pPr>
      <w:r>
        <w:rPr>
          <w:rFonts w:ascii="仿宋_GB2312" w:hAnsi="仿宋_GB2312" w:eastAsia="仿宋_GB2312"/>
          <w:b/>
          <w:sz w:val="32"/>
        </w:rPr>
        <w:t>2024年度一般公共预算财政拨款支出2,831.21万元，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增加58.50万元，增长2.11%，主要原因是：本年在职人员工资调薪，工资、社保、公积金等相关人员经费增加。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年初预算数2,778.70万元，决算数2,831.21万元，预决算差异率1.89%，主要原因是：年中追加人员工资、社保、公积金基数调增部分资金，导致预决算存在差异。</w:t>
      </w:r>
    </w:p>
    <w:p w14:paraId="4F1F7C04">
      <w:pPr>
        <w:spacing w:line="640" w:lineRule="exact"/>
        <w:ind w:firstLine="640"/>
        <w:jc w:val="both"/>
        <w:outlineLvl w:val="3"/>
      </w:pPr>
      <w:r>
        <w:rPr>
          <w:rFonts w:ascii="楷体_GB2312" w:hAnsi="楷体_GB2312" w:eastAsia="楷体_GB2312"/>
          <w:b/>
          <w:sz w:val="32"/>
        </w:rPr>
        <w:t>（二）一般公共预算财政拨款支出决算结构情况</w:t>
      </w:r>
    </w:p>
    <w:p w14:paraId="26FF0CAE">
      <w:pPr>
        <w:spacing w:line="580" w:lineRule="exact"/>
        <w:ind w:firstLine="640"/>
        <w:jc w:val="both"/>
      </w:pPr>
      <w:r>
        <w:rPr>
          <w:rFonts w:ascii="仿宋_GB2312" w:hAnsi="仿宋_GB2312" w:eastAsia="仿宋_GB2312"/>
          <w:b w:val="0"/>
          <w:sz w:val="32"/>
        </w:rPr>
        <w:t>1.公共安全支出(类)2,328.67万元,占82.25%。</w:t>
      </w:r>
    </w:p>
    <w:p w14:paraId="3ACF2BC6">
      <w:pPr>
        <w:spacing w:line="580" w:lineRule="exact"/>
        <w:ind w:firstLine="640"/>
        <w:jc w:val="both"/>
      </w:pPr>
      <w:r>
        <w:rPr>
          <w:rFonts w:ascii="仿宋_GB2312" w:hAnsi="仿宋_GB2312" w:eastAsia="仿宋_GB2312"/>
          <w:b w:val="0"/>
          <w:sz w:val="32"/>
        </w:rPr>
        <w:t>2.社会保障和就业支出(类)275.30万元,占9.72%。</w:t>
      </w:r>
    </w:p>
    <w:p w14:paraId="15B6FDBE">
      <w:pPr>
        <w:spacing w:line="580" w:lineRule="exact"/>
        <w:ind w:firstLine="640"/>
        <w:jc w:val="both"/>
      </w:pPr>
      <w:r>
        <w:rPr>
          <w:rFonts w:ascii="仿宋_GB2312" w:hAnsi="仿宋_GB2312" w:eastAsia="仿宋_GB2312"/>
          <w:b w:val="0"/>
          <w:sz w:val="32"/>
        </w:rPr>
        <w:t>3.卫生健康支出(类)89.78万元,占3.17%。</w:t>
      </w:r>
    </w:p>
    <w:p w14:paraId="4C1D141C">
      <w:pPr>
        <w:spacing w:line="580" w:lineRule="exact"/>
        <w:ind w:firstLine="640"/>
        <w:jc w:val="both"/>
      </w:pPr>
      <w:r>
        <w:rPr>
          <w:rFonts w:ascii="仿宋_GB2312" w:hAnsi="仿宋_GB2312" w:eastAsia="仿宋_GB2312"/>
          <w:b w:val="0"/>
          <w:sz w:val="32"/>
        </w:rPr>
        <w:t>4.住房保障支出(类)137.46万元,占4.86%。</w:t>
      </w:r>
    </w:p>
    <w:p w14:paraId="4FA0C345">
      <w:pPr>
        <w:spacing w:line="640" w:lineRule="exact"/>
        <w:ind w:firstLine="640"/>
        <w:jc w:val="both"/>
        <w:outlineLvl w:val="3"/>
      </w:pPr>
      <w:r>
        <w:rPr>
          <w:rFonts w:ascii="楷体_GB2312" w:hAnsi="楷体_GB2312" w:eastAsia="楷体_GB2312"/>
          <w:b/>
          <w:sz w:val="32"/>
        </w:rPr>
        <w:t>（三）一般公共预算财政拨款支出决算具体情况</w:t>
      </w:r>
    </w:p>
    <w:p w14:paraId="78B5CB51">
      <w:pPr>
        <w:spacing w:line="580" w:lineRule="exact"/>
        <w:ind w:firstLine="640"/>
        <w:jc w:val="both"/>
      </w:pPr>
      <w:r>
        <w:rPr>
          <w:rFonts w:ascii="仿宋_GB2312" w:hAnsi="仿宋_GB2312" w:eastAsia="仿宋_GB2312"/>
          <w:b w:val="0"/>
          <w:sz w:val="32"/>
        </w:rPr>
        <w:t>1.公共安全支出(类)检察(款)行政运行(项):支出决算数为1,687.11万元，比上年决算增加73.28万元，增长4.54%,主要原因是：本年在职人员工资调薪，工资等相关人员经费增加，导致较上年增长。</w:t>
      </w:r>
    </w:p>
    <w:p w14:paraId="4D7C7EC4">
      <w:pPr>
        <w:spacing w:line="580" w:lineRule="exact"/>
        <w:ind w:firstLine="640"/>
        <w:jc w:val="both"/>
      </w:pPr>
      <w:r>
        <w:rPr>
          <w:rFonts w:ascii="仿宋_GB2312" w:hAnsi="仿宋_GB2312" w:eastAsia="仿宋_GB2312"/>
          <w:b w:val="0"/>
          <w:sz w:val="32"/>
        </w:rPr>
        <w:t>2.公共安全支出(类)检察(款)一般行政管理事务(项):支出决算数为165.05万元，比上年决算减少174.77万元，下降51.43%,主要原因是：一是本年度司法绩效考核项目，按照人事组织部门批复测算金额发放，实际发放金额比上年度减少；二是本年综合业务保障项目资金相比上年度减少。</w:t>
      </w:r>
    </w:p>
    <w:p w14:paraId="5359DDF5">
      <w:pPr>
        <w:spacing w:line="580" w:lineRule="exact"/>
        <w:ind w:firstLine="640"/>
        <w:jc w:val="both"/>
      </w:pPr>
      <w:r>
        <w:rPr>
          <w:rFonts w:ascii="仿宋_GB2312" w:hAnsi="仿宋_GB2312" w:eastAsia="仿宋_GB2312"/>
          <w:b w:val="0"/>
          <w:sz w:val="32"/>
        </w:rPr>
        <w:t>3.公共安全支出(类)检察(款)检察监督(项):支出决算数为0.21万元，比上年决算增加0.21万元，增长100.00%,主要原因是：本年在职人员工资调薪，增加2024年绩效考核奖金项目，导致经费支出较上年增长。</w:t>
      </w:r>
    </w:p>
    <w:p w14:paraId="758E8095">
      <w:pPr>
        <w:spacing w:line="580" w:lineRule="exact"/>
        <w:ind w:firstLine="640"/>
        <w:jc w:val="both"/>
      </w:pPr>
      <w:r>
        <w:rPr>
          <w:rFonts w:ascii="仿宋_GB2312" w:hAnsi="仿宋_GB2312" w:eastAsia="仿宋_GB2312"/>
          <w:b w:val="0"/>
          <w:sz w:val="32"/>
        </w:rPr>
        <w:t>4.公共安全支出(类)检察(款)其他检察支出(项):支出决算数为476.29万元，比上年决算增加59.22万元，增长14.20%,主要原因是：本年度转移支付项目增加，导致较上年增长。</w:t>
      </w:r>
    </w:p>
    <w:p w14:paraId="725ECA9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5.社会保障和就业支出(类)行政事业单位养老支出(款)行政单位离退休(项):支出决算数为55.44万元，比上年决算增加8.44万元，增长17.96%,主要原因是：本年度新增退休人员，导致退休费较上年增加。</w:t>
      </w:r>
    </w:p>
    <w:p w14:paraId="3B208C36">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164.36万元，比上年决算增加30.31万元，增长22.61%,主要原因是：本年在职人员调薪，导致养老保险缴费增加。</w:t>
      </w:r>
    </w:p>
    <w:p w14:paraId="3421D7D9">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6.27万元，比上年决算增加5.20万元，增长485.98%,主要原因是：本年新增退休人员补缴职业年金，导致职业年金缴费增加。</w:t>
      </w:r>
    </w:p>
    <w:p w14:paraId="643DDED5">
      <w:pPr>
        <w:spacing w:line="580" w:lineRule="exact"/>
        <w:ind w:firstLine="640"/>
        <w:jc w:val="both"/>
      </w:pPr>
      <w:r>
        <w:rPr>
          <w:rFonts w:ascii="仿宋_GB2312" w:hAnsi="仿宋_GB2312" w:eastAsia="仿宋_GB2312"/>
          <w:b w:val="0"/>
          <w:sz w:val="32"/>
        </w:rPr>
        <w:t>8.社会保障和就业支出(类)抚恤(款)死亡抚恤(项):支出决算数为49.23万元，比上年决算增加26.34万元，增长115.07%,主要原因是：本年度新增死亡人员，死亡抚恤支出较上年增加。</w:t>
      </w:r>
    </w:p>
    <w:p w14:paraId="095BD3A3">
      <w:pPr>
        <w:spacing w:line="580" w:lineRule="exact"/>
        <w:ind w:firstLine="640"/>
        <w:jc w:val="both"/>
      </w:pPr>
      <w:r>
        <w:rPr>
          <w:rFonts w:ascii="仿宋_GB2312" w:hAnsi="仿宋_GB2312" w:eastAsia="仿宋_GB2312"/>
          <w:b w:val="0"/>
          <w:sz w:val="32"/>
        </w:rPr>
        <w:t>9.卫生健康支出(类)行政事业单位医疗(款)行政单位医疗(项):支出决算数为69.85万元，比上年决算增加12.88万元，增长22.61%,主要原因是：本年在职人员工资基数调增，医疗缴费基数上涨，相应支出增加。</w:t>
      </w:r>
    </w:p>
    <w:p w14:paraId="48A22F8A">
      <w:pPr>
        <w:spacing w:line="580" w:lineRule="exact"/>
        <w:ind w:firstLine="640"/>
        <w:jc w:val="both"/>
      </w:pPr>
      <w:r>
        <w:rPr>
          <w:rFonts w:ascii="仿宋_GB2312" w:hAnsi="仿宋_GB2312" w:eastAsia="仿宋_GB2312"/>
          <w:b w:val="0"/>
          <w:sz w:val="32"/>
        </w:rPr>
        <w:t>10.卫生健康支出(类)行政事业单位医疗(款)公务员医疗补助(项):支出决算数为19.93万元，比上年决算增加3.77万元，增长23.33%,主要原因是：本年在职人员工资基数调增，医疗缴费基数上涨，相应支出增加。</w:t>
      </w:r>
    </w:p>
    <w:p w14:paraId="54ECC9C6">
      <w:pPr>
        <w:spacing w:line="580" w:lineRule="exact"/>
        <w:ind w:firstLine="640"/>
        <w:jc w:val="both"/>
      </w:pPr>
      <w:r>
        <w:rPr>
          <w:rFonts w:ascii="仿宋_GB2312" w:hAnsi="仿宋_GB2312" w:eastAsia="仿宋_GB2312"/>
          <w:b w:val="0"/>
          <w:sz w:val="32"/>
        </w:rPr>
        <w:t>11.住房保障支出(类)住房改革支出(款)住房公积金(项):支出决算数为137.46万元，比上年决算增加13.61万元，增长10.99%,主要原因是：本年在职人员工资基数调增，公积金缴费基数上涨，相应支出增加。</w:t>
      </w:r>
    </w:p>
    <w:p w14:paraId="275D9721">
      <w:pPr>
        <w:spacing w:line="640" w:lineRule="exact"/>
        <w:ind w:firstLine="640"/>
        <w:jc w:val="both"/>
        <w:outlineLvl w:val="2"/>
      </w:pPr>
      <w:r>
        <w:rPr>
          <w:rFonts w:ascii="黑体" w:hAnsi="黑体" w:eastAsia="黑体"/>
          <w:sz w:val="32"/>
        </w:rPr>
        <w:t>六、一般公共预算财政拨款基本支出决算情况说明</w:t>
      </w:r>
    </w:p>
    <w:p w14:paraId="34F471A3">
      <w:pPr>
        <w:spacing w:line="580" w:lineRule="exact"/>
        <w:ind w:firstLine="640"/>
        <w:jc w:val="both"/>
      </w:pPr>
      <w:r>
        <w:rPr>
          <w:rFonts w:ascii="仿宋_GB2312" w:hAnsi="仿宋_GB2312" w:eastAsia="仿宋_GB2312"/>
          <w:b w:val="0"/>
          <w:sz w:val="32"/>
        </w:rPr>
        <w:t>2024年度一般公共预算财政拨款基本支出2,189.65万元，其中：</w:t>
      </w:r>
      <w:r>
        <w:rPr>
          <w:rFonts w:ascii="仿宋_GB2312" w:hAnsi="仿宋_GB2312" w:eastAsia="仿宋_GB2312"/>
          <w:b/>
          <w:sz w:val="32"/>
        </w:rPr>
        <w:t>人员经费2,055.37万元，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6CE723A0">
      <w:pPr>
        <w:spacing w:line="580" w:lineRule="exact"/>
        <w:ind w:firstLine="640"/>
        <w:jc w:val="both"/>
      </w:pPr>
      <w:r>
        <w:rPr>
          <w:rFonts w:ascii="仿宋_GB2312" w:hAnsi="仿宋_GB2312" w:eastAsia="仿宋_GB2312"/>
          <w:b/>
          <w:sz w:val="32"/>
        </w:rPr>
        <w:t>公用经费134.28万元，</w:t>
      </w:r>
      <w:r>
        <w:rPr>
          <w:rFonts w:ascii="仿宋_GB2312" w:hAnsi="仿宋_GB2312" w:eastAsia="仿宋_GB2312"/>
          <w:b w:val="0"/>
          <w:sz w:val="32"/>
        </w:rPr>
        <w:t>包括：水费、电费、取暖费、物业管理费、维修（护）费、租赁费、专用材料费、工会经费、公务用车运行维护费、其他商品和服务支出。</w:t>
      </w:r>
    </w:p>
    <w:p w14:paraId="2A79834F">
      <w:pPr>
        <w:spacing w:line="640" w:lineRule="exact"/>
        <w:ind w:firstLine="640"/>
        <w:jc w:val="both"/>
        <w:outlineLvl w:val="2"/>
      </w:pPr>
      <w:r>
        <w:rPr>
          <w:rFonts w:ascii="黑体" w:hAnsi="黑体" w:eastAsia="黑体"/>
          <w:sz w:val="32"/>
        </w:rPr>
        <w:t>七、政府性基金预算财政拨款收入支出决算情况说明</w:t>
      </w:r>
    </w:p>
    <w:p w14:paraId="72D5B4B5">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7896DB7">
      <w:pPr>
        <w:spacing w:line="640" w:lineRule="exact"/>
        <w:ind w:firstLine="640"/>
        <w:jc w:val="both"/>
        <w:outlineLvl w:val="2"/>
      </w:pPr>
      <w:r>
        <w:rPr>
          <w:rFonts w:ascii="黑体" w:hAnsi="黑体" w:eastAsia="黑体"/>
          <w:sz w:val="32"/>
        </w:rPr>
        <w:t>八、国有资本经营预算财政拨款收入支出决算情况说明</w:t>
      </w:r>
    </w:p>
    <w:p w14:paraId="02DDDAD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438ED4F">
      <w:pPr>
        <w:spacing w:line="640" w:lineRule="exact"/>
        <w:ind w:firstLine="640"/>
        <w:jc w:val="both"/>
        <w:outlineLvl w:val="2"/>
      </w:pPr>
      <w:r>
        <w:rPr>
          <w:rFonts w:ascii="黑体" w:hAnsi="黑体" w:eastAsia="黑体"/>
          <w:sz w:val="32"/>
        </w:rPr>
        <w:t>九、财政拨款“三公”经费支出决算情况说明</w:t>
      </w:r>
    </w:p>
    <w:p w14:paraId="749E6E46">
      <w:pPr>
        <w:spacing w:line="580" w:lineRule="exact"/>
        <w:ind w:firstLine="640"/>
        <w:jc w:val="both"/>
      </w:pPr>
      <w:r>
        <w:rPr>
          <w:rFonts w:ascii="仿宋_GB2312" w:hAnsi="仿宋_GB2312" w:eastAsia="仿宋_GB2312"/>
          <w:b/>
          <w:sz w:val="32"/>
        </w:rPr>
        <w:t>2024年度财政拨款“三公”经费支出37.46万元，</w:t>
      </w:r>
      <w:r>
        <w:rPr>
          <w:rFonts w:ascii="仿宋_GB2312" w:hAnsi="仿宋_GB2312" w:eastAsia="仿宋_GB2312"/>
          <w:b w:val="0"/>
          <w:sz w:val="32"/>
        </w:rPr>
        <w:t>比上年减少7.18万元，下降16.08%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37.46万元，占100.00%，比上年减少7.18万元，下降16.08%，主要原因是：严格落实中央八项规定精神，厉行节约，减少公务用车运行维护费。公务接待费支出0.00万元，占0.00%，比上年增加0.00万元，增长0.00%，主要原因是：2023年与2024年均未安排公务接待费支出。</w:t>
      </w:r>
    </w:p>
    <w:p w14:paraId="39E94C63">
      <w:pPr>
        <w:spacing w:line="580" w:lineRule="exact"/>
        <w:ind w:firstLine="640"/>
        <w:jc w:val="both"/>
      </w:pPr>
      <w:r>
        <w:rPr>
          <w:rFonts w:ascii="仿宋_GB2312" w:hAnsi="仿宋_GB2312" w:eastAsia="仿宋_GB2312"/>
          <w:b/>
          <w:sz w:val="32"/>
        </w:rPr>
        <w:t>具体情况如下：</w:t>
      </w:r>
    </w:p>
    <w:p w14:paraId="285813A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73A7DEF">
      <w:pPr>
        <w:spacing w:line="580" w:lineRule="exact"/>
        <w:ind w:firstLine="640"/>
        <w:jc w:val="both"/>
      </w:pPr>
      <w:r>
        <w:rPr>
          <w:rFonts w:ascii="仿宋_GB2312" w:hAnsi="仿宋_GB2312" w:eastAsia="仿宋_GB2312"/>
          <w:b w:val="0"/>
          <w:sz w:val="32"/>
        </w:rPr>
        <w:t>公务用车购置及运行维护费37.46万元，其中：公务用车购置费0.00万元，公务用车运行维护费37.46万元。公务用车运行维护费开支内容包括车辆燃油费、保险费、维修维护费、过路费等。公务用车购置数0辆，公务用车保有量20辆。国有资产占用情况中固定资产车辆20辆，与公务用车保有量差异原因是：本部门固定资产车辆与公务用车保有量一致无差异。</w:t>
      </w:r>
    </w:p>
    <w:p w14:paraId="58455AF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BFDF9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37.46万元，决算数37.46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37.46万元，决算数37.46万元，预决算差异率0.00%，主要原因是：严格按照预算执行，预决算无差异。公务接待费全年预算数0.00万元，决算数0.00万元，预决算差异率0.00%，主要原因是：本部门无公务接待费。</w:t>
      </w:r>
    </w:p>
    <w:p w14:paraId="362BCC27">
      <w:pPr>
        <w:spacing w:line="640" w:lineRule="exact"/>
        <w:ind w:firstLine="640"/>
        <w:jc w:val="both"/>
        <w:outlineLvl w:val="2"/>
      </w:pPr>
      <w:r>
        <w:rPr>
          <w:rFonts w:ascii="黑体" w:hAnsi="黑体" w:eastAsia="黑体"/>
          <w:sz w:val="32"/>
        </w:rPr>
        <w:t>十、其他重要事项的情况说明</w:t>
      </w:r>
    </w:p>
    <w:p w14:paraId="15F31923">
      <w:pPr>
        <w:spacing w:line="640" w:lineRule="exact"/>
        <w:ind w:firstLine="640"/>
        <w:jc w:val="both"/>
        <w:outlineLvl w:val="3"/>
      </w:pPr>
      <w:r>
        <w:rPr>
          <w:rFonts w:ascii="楷体_GB2312" w:hAnsi="楷体_GB2312" w:eastAsia="楷体_GB2312"/>
          <w:b/>
          <w:sz w:val="32"/>
        </w:rPr>
        <w:t>（一）机关运行经费及公用经费支出情况</w:t>
      </w:r>
    </w:p>
    <w:p w14:paraId="51C3FFE9">
      <w:pPr>
        <w:spacing w:line="580" w:lineRule="exact"/>
        <w:ind w:firstLine="640"/>
        <w:jc w:val="both"/>
      </w:pPr>
      <w:r>
        <w:rPr>
          <w:rFonts w:ascii="仿宋_GB2312" w:hAnsi="仿宋_GB2312" w:eastAsia="仿宋_GB2312"/>
          <w:b w:val="0"/>
          <w:sz w:val="32"/>
        </w:rPr>
        <w:t>2024年度莎车县人民检察院（行政单位和参照公务员法管理事业单位）机关运行经费支出134.28万元，比上年增加5.19万元，增长4.02%，主要原因是：本年更新、维护补充办公用品，导致机关运行经费较上年增加。</w:t>
      </w:r>
    </w:p>
    <w:p w14:paraId="24135ED9">
      <w:pPr>
        <w:spacing w:line="640" w:lineRule="exact"/>
        <w:ind w:firstLine="640"/>
        <w:jc w:val="both"/>
        <w:outlineLvl w:val="3"/>
      </w:pPr>
      <w:r>
        <w:rPr>
          <w:rFonts w:ascii="楷体_GB2312" w:hAnsi="楷体_GB2312" w:eastAsia="楷体_GB2312"/>
          <w:b/>
          <w:sz w:val="32"/>
        </w:rPr>
        <w:t>（二）政府采购情况</w:t>
      </w:r>
    </w:p>
    <w:p w14:paraId="7CF3F654">
      <w:pPr>
        <w:spacing w:line="580" w:lineRule="exact"/>
        <w:ind w:firstLine="640"/>
        <w:jc w:val="both"/>
      </w:pPr>
      <w:r>
        <w:rPr>
          <w:rFonts w:ascii="仿宋_GB2312" w:hAnsi="仿宋_GB2312" w:eastAsia="仿宋_GB2312"/>
          <w:b w:val="0"/>
          <w:sz w:val="32"/>
        </w:rPr>
        <w:t>2024年度政府采购支出总额336.20万元，其中：政府采购货物支出178.97万元、政府采购工程支出12.30万元、政府采购服务支出144.93万元。</w:t>
      </w:r>
    </w:p>
    <w:p w14:paraId="1A23F4DD">
      <w:pPr>
        <w:spacing w:line="580" w:lineRule="exact"/>
        <w:ind w:firstLine="640"/>
        <w:jc w:val="both"/>
      </w:pPr>
      <w:r>
        <w:rPr>
          <w:rFonts w:ascii="仿宋_GB2312" w:hAnsi="仿宋_GB2312" w:eastAsia="仿宋_GB2312"/>
          <w:b w:val="0"/>
          <w:sz w:val="32"/>
        </w:rPr>
        <w:t>授予中小企业合同金额233.53万元，占政府采购支出总额的69.46%，其中：授予小微企业合同金额173.70万元，占政府采购支出总额的51.67%。</w:t>
      </w:r>
    </w:p>
    <w:p w14:paraId="52C88934">
      <w:pPr>
        <w:spacing w:line="640" w:lineRule="exact"/>
        <w:ind w:firstLine="640"/>
        <w:jc w:val="both"/>
        <w:outlineLvl w:val="3"/>
      </w:pPr>
      <w:r>
        <w:rPr>
          <w:rFonts w:ascii="楷体_GB2312" w:hAnsi="楷体_GB2312" w:eastAsia="楷体_GB2312"/>
          <w:b/>
          <w:sz w:val="32"/>
        </w:rPr>
        <w:t>（三）国有资产占用情况说明</w:t>
      </w:r>
    </w:p>
    <w:p w14:paraId="4A6CBEC1">
      <w:pPr>
        <w:spacing w:line="580" w:lineRule="exact"/>
        <w:ind w:firstLine="640"/>
        <w:jc w:val="both"/>
      </w:pPr>
      <w:r>
        <w:rPr>
          <w:rFonts w:ascii="仿宋_GB2312" w:hAnsi="仿宋_GB2312" w:eastAsia="仿宋_GB2312"/>
          <w:b w:val="0"/>
          <w:sz w:val="32"/>
        </w:rPr>
        <w:t>截至2024年12月31日，房屋8,981.00平方米，价值2,829.74万元。车辆20辆，价值344.55万元，其中：副部（省）级及以上领导用车0辆、主要负责人用车0辆、机要通信用车0辆、应急保障用车0辆、执法执勤用车14辆、特种专业技术用车6辆、离退休干部服务用车0辆、其他用车0辆，其他用车主要是：本部门无其他用车。单价100万元（含）以上设备（不含车辆）1台（套）。</w:t>
      </w:r>
    </w:p>
    <w:p w14:paraId="71C8EBE8">
      <w:pPr>
        <w:spacing w:line="640" w:lineRule="exact"/>
        <w:ind w:firstLine="640"/>
        <w:jc w:val="both"/>
        <w:outlineLvl w:val="2"/>
      </w:pPr>
      <w:r>
        <w:rPr>
          <w:rFonts w:ascii="黑体" w:hAnsi="黑体" w:eastAsia="黑体"/>
          <w:sz w:val="32"/>
        </w:rPr>
        <w:t>十一、预算绩效的情况说明</w:t>
      </w:r>
    </w:p>
    <w:p w14:paraId="562BB9D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2,960.93万元，实际执行总额2,831.21万元；预算绩效评价项目1个，全年预算数40.75万元，全年执行数19.24万元。预算绩效管理取得的成效：一是健全监督机制，强化绩效管理约束力。充分发挥检查督导作用，对绩效目标、绩效运行及时跟踪、监督，确保资金使用规范高效。二是细化绩效目标，实现全覆盖管理。扎实开展绩效目标管理工作，细化目标，结合工作业务，从源头上保障目标精准。三是加强运行监督，优化资金使用效率。按月对资金支付进度进行监督分析，充分发挥事中监督的纠偏作用，对未达节点的项目及时分析原因并整改。发现的问题及原因：一是绩效目标设定不够合理。二是相关负责人员对政策理解不深、不透。下一步改进措施：一是强化绩效管理意识，提高相关人员对绩效管理重要性和必要性的认识，增强相关人员责任心，推动绩效工作落实。二是增加相关负责人员对绩效管理的业务培训，增强业务能力。具体附部门整体支出绩效自评表，项目支出绩效自评表。</w:t>
      </w:r>
    </w:p>
    <w:p w14:paraId="59A7B21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9BEFC1">
        <w:tc>
          <w:tcPr>
            <w:tcW w:w="8847" w:type="dxa"/>
            <w:gridSpan w:val="9"/>
            <w:vAlign w:val="center"/>
          </w:tcPr>
          <w:p w14:paraId="78281575">
            <w:pPr>
              <w:jc w:val="center"/>
            </w:pPr>
            <w:r>
              <w:rPr>
                <w:rFonts w:ascii="宋体" w:hAnsi="宋体" w:eastAsia="宋体"/>
                <w:sz w:val="24"/>
              </w:rPr>
              <w:t>部门整体支出绩效自评表</w:t>
            </w:r>
          </w:p>
        </w:tc>
      </w:tr>
      <w:tr w14:paraId="22F0D69E">
        <w:tblPrEx>
          <w:tblCellMar>
            <w:top w:w="0" w:type="dxa"/>
            <w:left w:w="108" w:type="dxa"/>
            <w:bottom w:w="0" w:type="dxa"/>
            <w:right w:w="108" w:type="dxa"/>
          </w:tblCellMar>
        </w:tblPrEx>
        <w:tc>
          <w:tcPr>
            <w:tcW w:w="8847" w:type="dxa"/>
            <w:gridSpan w:val="9"/>
            <w:vAlign w:val="center"/>
          </w:tcPr>
          <w:p w14:paraId="730BAF19">
            <w:pPr>
              <w:jc w:val="center"/>
            </w:pPr>
            <w:r>
              <w:rPr>
                <w:rFonts w:ascii="宋体" w:hAnsi="宋体" w:eastAsia="宋体"/>
                <w:sz w:val="24"/>
              </w:rPr>
              <w:t>（2024年度）</w:t>
            </w:r>
          </w:p>
        </w:tc>
      </w:tr>
      <w:tr w14:paraId="4DFABF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5730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B3CE33">
            <w:pPr>
              <w:jc w:val="center"/>
            </w:pPr>
            <w:r>
              <w:rPr>
                <w:rFonts w:ascii="宋体" w:hAnsi="宋体" w:eastAsia="宋体"/>
                <w:sz w:val="16"/>
              </w:rPr>
              <w:t>莎车县人民检察院</w:t>
            </w:r>
          </w:p>
        </w:tc>
      </w:tr>
      <w:tr w14:paraId="5A2DE8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E0F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9E19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3C4C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C08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29F3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E9FA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D432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3A0F">
            <w:pPr>
              <w:jc w:val="center"/>
            </w:pPr>
            <w:r>
              <w:rPr>
                <w:rFonts w:ascii="宋体" w:hAnsi="宋体" w:eastAsia="宋体"/>
                <w:sz w:val="16"/>
              </w:rPr>
              <w:t>得分</w:t>
            </w:r>
          </w:p>
        </w:tc>
      </w:tr>
      <w:tr w14:paraId="763712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961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4F3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6264C">
            <w:pPr>
              <w:jc w:val="center"/>
            </w:pPr>
            <w:r>
              <w:rPr>
                <w:rFonts w:ascii="宋体" w:hAnsi="宋体" w:eastAsia="宋体"/>
                <w:sz w:val="16"/>
              </w:rPr>
              <w:t>2,778.70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60652">
            <w:pPr>
              <w:jc w:val="center"/>
            </w:pPr>
            <w:r>
              <w:rPr>
                <w:rFonts w:ascii="宋体" w:hAnsi="宋体" w:eastAsia="宋体"/>
                <w:sz w:val="16"/>
              </w:rPr>
              <w:t>2,960.93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A9EE3">
            <w:pPr>
              <w:jc w:val="center"/>
            </w:pPr>
            <w:r>
              <w:rPr>
                <w:rFonts w:ascii="宋体" w:hAnsi="宋体" w:eastAsia="宋体"/>
                <w:sz w:val="16"/>
              </w:rPr>
              <w:t>2,831.21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E01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FC5F8">
            <w:pPr>
              <w:jc w:val="center"/>
            </w:pPr>
            <w:r>
              <w:rPr>
                <w:rFonts w:ascii="宋体" w:hAnsi="宋体" w:eastAsia="宋体"/>
                <w:sz w:val="16"/>
              </w:rPr>
              <w:t>95.62%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B695">
            <w:pPr>
              <w:jc w:val="center"/>
            </w:pPr>
            <w:r>
              <w:rPr>
                <w:rFonts w:ascii="宋体" w:hAnsi="宋体" w:eastAsia="宋体"/>
                <w:sz w:val="16"/>
              </w:rPr>
              <w:t>9.56</w:t>
            </w:r>
          </w:p>
        </w:tc>
      </w:tr>
      <w:tr w14:paraId="151333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D0F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35C3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01687">
            <w:pPr>
              <w:jc w:val="center"/>
            </w:pPr>
            <w:r>
              <w:rPr>
                <w:rFonts w:ascii="宋体" w:hAnsi="宋体" w:eastAsia="宋体"/>
                <w:sz w:val="16"/>
              </w:rPr>
              <w:t>594.46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36588">
            <w:pPr>
              <w:jc w:val="center"/>
            </w:pPr>
            <w:r>
              <w:rPr>
                <w:rFonts w:ascii="宋体" w:hAnsi="宋体" w:eastAsia="宋体"/>
                <w:sz w:val="16"/>
              </w:rPr>
              <w:t>742.63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12623">
            <w:pPr>
              <w:jc w:val="center"/>
            </w:pPr>
            <w:r>
              <w:rPr>
                <w:rFonts w:ascii="宋体" w:hAnsi="宋体" w:eastAsia="宋体"/>
                <w:sz w:val="16"/>
              </w:rPr>
              <w:t>634.41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40B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DD8B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9506">
            <w:pPr>
              <w:jc w:val="center"/>
            </w:pPr>
            <w:r>
              <w:rPr>
                <w:rFonts w:ascii="宋体" w:hAnsi="宋体" w:eastAsia="宋体"/>
                <w:sz w:val="16"/>
              </w:rPr>
              <w:t>—</w:t>
            </w:r>
          </w:p>
        </w:tc>
      </w:tr>
      <w:tr w14:paraId="77B036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560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E878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BBAF9">
            <w:pPr>
              <w:jc w:val="center"/>
            </w:pPr>
            <w:r>
              <w:rPr>
                <w:rFonts w:ascii="宋体" w:hAnsi="宋体" w:eastAsia="宋体"/>
                <w:sz w:val="16"/>
              </w:rPr>
              <w:t>2,184.24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08F93">
            <w:pPr>
              <w:jc w:val="center"/>
            </w:pPr>
            <w:r>
              <w:rPr>
                <w:rFonts w:ascii="宋体" w:hAnsi="宋体" w:eastAsia="宋体"/>
                <w:sz w:val="16"/>
              </w:rPr>
              <w:t>2,218.30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F159C">
            <w:pPr>
              <w:jc w:val="center"/>
            </w:pPr>
            <w:r>
              <w:rPr>
                <w:rFonts w:ascii="宋体" w:hAnsi="宋体" w:eastAsia="宋体"/>
                <w:sz w:val="16"/>
              </w:rPr>
              <w:t>2,196.80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5DE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622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517F4">
            <w:pPr>
              <w:jc w:val="center"/>
            </w:pPr>
            <w:r>
              <w:rPr>
                <w:rFonts w:ascii="宋体" w:hAnsi="宋体" w:eastAsia="宋体"/>
                <w:sz w:val="16"/>
              </w:rPr>
              <w:t>—</w:t>
            </w:r>
          </w:p>
        </w:tc>
      </w:tr>
      <w:tr w14:paraId="204289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497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5D5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159A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61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57B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B8D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2A7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888AC">
            <w:pPr>
              <w:jc w:val="center"/>
            </w:pPr>
            <w:r>
              <w:rPr>
                <w:rFonts w:ascii="宋体" w:hAnsi="宋体" w:eastAsia="宋体"/>
                <w:sz w:val="16"/>
              </w:rPr>
              <w:t>—</w:t>
            </w:r>
          </w:p>
        </w:tc>
      </w:tr>
      <w:tr w14:paraId="533A21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26B8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3403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46F900">
            <w:pPr>
              <w:jc w:val="center"/>
            </w:pPr>
            <w:r>
              <w:rPr>
                <w:rFonts w:ascii="宋体" w:hAnsi="宋体" w:eastAsia="宋体"/>
                <w:sz w:val="16"/>
              </w:rPr>
              <w:t>实际完成情况</w:t>
            </w:r>
          </w:p>
        </w:tc>
      </w:tr>
      <w:tr w14:paraId="1BD874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B03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F4507">
            <w:pPr>
              <w:jc w:val="both"/>
            </w:pPr>
            <w:r>
              <w:rPr>
                <w:rFonts w:ascii="宋体" w:hAnsi="宋体" w:eastAsia="宋体"/>
                <w:sz w:val="16"/>
              </w:rPr>
              <w:t>2024年我院全面优化刑事检察监督，保障当事人的合法权益，持续推进公益诉讼、信访工作、“法治进校园”等检察工作，强化当事人合法权益，维护社会公平正义。全年受理案件数为2243件，案件办结率达到95%以上，检察建议采纳率达到100%，法律援助案件办结率达95%以上，刑事案件认罪认罚适用率达到90%以上，切实提升依法履职能力，推动“四大检察的”协调发展，打造忠诚干净担当的过硬检察队伍，维护社会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B04887">
            <w:pPr>
              <w:jc w:val="both"/>
            </w:pPr>
            <w:r>
              <w:rPr>
                <w:rFonts w:ascii="宋体" w:hAnsi="宋体" w:eastAsia="宋体"/>
                <w:sz w:val="16"/>
              </w:rPr>
              <w:t>2024年我院牢牢把握新时代检察机关中心主题，服务保障长治久安和高质量发展，完整准确全面贯彻新时代党的治疆方略，优化法治化营商环境护航经济发展，坚持以诉源治理促进社会治理。依法受理案件数2213件，其中办理刑事检察案件1379件，民事检察案件154件，行政检察案件166件，公益诉讼案件85件，综合类案件429件，审结案件数量2107件，法制进校园536次。全面履行“四大检察”职能，坚持司法为民，公正司法，2024年以来我院认罪认罚率90%，案件办结率95%，通过各项经费的保障，提升我院依法办案质量，提高我院装备配备标准，发放司法绩效奖金提高干警工作积极性等，充分发挥检察机关法治规范引领保障作用，立足检察职能，助力经济社会全面高质量发展。我们在全面推进“四大检察”的同时，更加注重人民司法，在积极解决群众急难愁盼中践行检察使命，促进社会安定和谐。</w:t>
            </w:r>
          </w:p>
        </w:tc>
      </w:tr>
      <w:tr w14:paraId="4ADEEF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2A88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03CC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A3A8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46E1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4536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5395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E5CF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EE15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6E680">
            <w:pPr>
              <w:jc w:val="center"/>
            </w:pPr>
            <w:r>
              <w:rPr>
                <w:rFonts w:ascii="宋体" w:hAnsi="宋体" w:eastAsia="宋体"/>
                <w:sz w:val="16"/>
              </w:rPr>
              <w:t>得分</w:t>
            </w:r>
          </w:p>
        </w:tc>
      </w:tr>
      <w:tr w14:paraId="0E9E0B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6A46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4DED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B9686">
            <w:pPr>
              <w:jc w:val="center"/>
            </w:pPr>
            <w:r>
              <w:rPr>
                <w:rFonts w:ascii="宋体" w:hAnsi="宋体" w:eastAsia="宋体"/>
                <w:sz w:val="16"/>
              </w:rPr>
              <w:t>受理案件数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13054">
            <w:pPr>
              <w:jc w:val="center"/>
            </w:pPr>
            <w:r>
              <w:rPr>
                <w:rFonts w:ascii="宋体" w:hAnsi="宋体" w:eastAsia="宋体"/>
                <w:sz w:val="16"/>
              </w:rPr>
              <w:t>&gt;=2243件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CA8F9">
            <w:pPr>
              <w:jc w:val="center"/>
            </w:pPr>
            <w:r>
              <w:rPr>
                <w:rFonts w:ascii="宋体" w:hAnsi="宋体" w:eastAsia="宋体"/>
                <w:sz w:val="16"/>
              </w:rPr>
              <w:t>莎车县人民检察院工作报告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353B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2ABBF">
            <w:pPr>
              <w:jc w:val="center"/>
            </w:pPr>
            <w:r>
              <w:rPr>
                <w:rFonts w:ascii="宋体" w:hAnsi="宋体" w:eastAsia="宋体"/>
                <w:sz w:val="16"/>
              </w:rPr>
              <w:t>2213件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C5988">
            <w:pPr>
              <w:jc w:val="center"/>
            </w:pPr>
            <w:r>
              <w:rPr>
                <w:rFonts w:ascii="宋体" w:hAnsi="宋体" w:eastAsia="宋体"/>
                <w:sz w:val="16"/>
              </w:rPr>
              <w:t>98.66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BDB99">
            <w:pPr>
              <w:jc w:val="center"/>
            </w:pPr>
            <w:r>
              <w:rPr>
                <w:rFonts w:ascii="宋体" w:hAnsi="宋体" w:eastAsia="宋体"/>
                <w:sz w:val="16"/>
              </w:rPr>
              <w:t>19.73</w:t>
            </w:r>
          </w:p>
        </w:tc>
      </w:tr>
      <w:tr w14:paraId="1503CE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488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1B9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27CA7">
            <w:pPr>
              <w:jc w:val="center"/>
            </w:pPr>
            <w:r>
              <w:rPr>
                <w:rFonts w:ascii="宋体" w:hAnsi="宋体" w:eastAsia="宋体"/>
                <w:sz w:val="16"/>
              </w:rPr>
              <w:t>审结案件数量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4FA53">
            <w:pPr>
              <w:jc w:val="center"/>
            </w:pPr>
            <w:r>
              <w:rPr>
                <w:rFonts w:ascii="宋体" w:hAnsi="宋体" w:eastAsia="宋体"/>
                <w:sz w:val="16"/>
              </w:rPr>
              <w:t>&gt;=2100件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582CD">
            <w:pPr>
              <w:jc w:val="center"/>
            </w:pPr>
            <w:r>
              <w:rPr>
                <w:rFonts w:ascii="宋体" w:hAnsi="宋体" w:eastAsia="宋体"/>
                <w:sz w:val="16"/>
              </w:rPr>
              <w:t>莎车县人民检察院工作报告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102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7041">
            <w:pPr>
              <w:jc w:val="center"/>
            </w:pPr>
            <w:r>
              <w:rPr>
                <w:rFonts w:ascii="宋体" w:hAnsi="宋体" w:eastAsia="宋体"/>
                <w:sz w:val="16"/>
              </w:rPr>
              <w:t>2107件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D651A">
            <w:pPr>
              <w:jc w:val="center"/>
            </w:pPr>
            <w:r>
              <w:rPr>
                <w:rFonts w:ascii="宋体" w:hAnsi="宋体" w:eastAsia="宋体"/>
                <w:sz w:val="16"/>
              </w:rPr>
              <w:t>100.33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79EFD">
            <w:pPr>
              <w:jc w:val="center"/>
            </w:pPr>
            <w:r>
              <w:rPr>
                <w:rFonts w:ascii="宋体" w:hAnsi="宋体" w:eastAsia="宋体"/>
                <w:sz w:val="16"/>
              </w:rPr>
              <w:t>20</w:t>
            </w:r>
          </w:p>
        </w:tc>
      </w:tr>
      <w:tr w14:paraId="28F3E0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0DB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E68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4A983">
            <w:pPr>
              <w:jc w:val="center"/>
            </w:pPr>
            <w:r>
              <w:rPr>
                <w:rFonts w:ascii="宋体" w:hAnsi="宋体" w:eastAsia="宋体"/>
                <w:sz w:val="16"/>
              </w:rPr>
              <w:t>法制进校园次数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7ECD9">
            <w:pPr>
              <w:jc w:val="center"/>
            </w:pPr>
            <w:r>
              <w:rPr>
                <w:rFonts w:ascii="宋体" w:hAnsi="宋体" w:eastAsia="宋体"/>
                <w:sz w:val="16"/>
              </w:rPr>
              <w:t>&gt;=598次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AB99">
            <w:pPr>
              <w:jc w:val="center"/>
            </w:pPr>
            <w:r>
              <w:rPr>
                <w:rFonts w:ascii="宋体" w:hAnsi="宋体" w:eastAsia="宋体"/>
                <w:sz w:val="16"/>
              </w:rPr>
              <w:t>莎车县人民检察院工作报告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10A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EFE88">
            <w:pPr>
              <w:jc w:val="center"/>
            </w:pPr>
            <w:r>
              <w:rPr>
                <w:rFonts w:ascii="宋体" w:hAnsi="宋体" w:eastAsia="宋体"/>
                <w:sz w:val="16"/>
              </w:rPr>
              <w:t>536次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52C1B">
            <w:pPr>
              <w:jc w:val="center"/>
            </w:pPr>
            <w:r>
              <w:rPr>
                <w:rFonts w:ascii="宋体" w:hAnsi="宋体" w:eastAsia="宋体"/>
                <w:sz w:val="16"/>
              </w:rPr>
              <w:t>89.63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A2D40">
            <w:pPr>
              <w:jc w:val="center"/>
            </w:pPr>
            <w:r>
              <w:rPr>
                <w:rFonts w:ascii="宋体" w:hAnsi="宋体" w:eastAsia="宋体"/>
                <w:sz w:val="16"/>
              </w:rPr>
              <w:t>17.93</w:t>
            </w:r>
          </w:p>
        </w:tc>
      </w:tr>
      <w:tr w14:paraId="3A7CDB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EB2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CDB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897A">
            <w:pPr>
              <w:jc w:val="center"/>
            </w:pPr>
            <w:r>
              <w:rPr>
                <w:rFonts w:ascii="宋体" w:hAnsi="宋体" w:eastAsia="宋体"/>
                <w:sz w:val="16"/>
              </w:rPr>
              <w:t>认罪认罚率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4EDDF">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5092D">
            <w:pPr>
              <w:jc w:val="center"/>
            </w:pPr>
            <w:r>
              <w:rPr>
                <w:rFonts w:ascii="宋体" w:hAnsi="宋体" w:eastAsia="宋体"/>
                <w:sz w:val="16"/>
              </w:rPr>
              <w:t>莎车县人民检察院工作报告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970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2B45A">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E1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F9118">
            <w:pPr>
              <w:jc w:val="center"/>
            </w:pPr>
            <w:r>
              <w:rPr>
                <w:rFonts w:ascii="宋体" w:hAnsi="宋体" w:eastAsia="宋体"/>
                <w:sz w:val="16"/>
              </w:rPr>
              <w:t>20</w:t>
            </w:r>
          </w:p>
        </w:tc>
      </w:tr>
      <w:tr w14:paraId="425A8D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206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B1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609D1">
            <w:pPr>
              <w:jc w:val="center"/>
            </w:pPr>
            <w:r>
              <w:rPr>
                <w:rFonts w:ascii="宋体" w:hAnsi="宋体" w:eastAsia="宋体"/>
                <w:sz w:val="16"/>
              </w:rPr>
              <w:t>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79E6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1F355">
            <w:pPr>
              <w:jc w:val="center"/>
            </w:pPr>
            <w:r>
              <w:rPr>
                <w:rFonts w:ascii="宋体" w:hAnsi="宋体" w:eastAsia="宋体"/>
                <w:sz w:val="16"/>
              </w:rPr>
              <w:t>莎车县人民检察院案件管理系统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244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07C7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0EB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BEC13">
            <w:pPr>
              <w:jc w:val="center"/>
            </w:pPr>
            <w:r>
              <w:rPr>
                <w:rFonts w:ascii="宋体" w:hAnsi="宋体" w:eastAsia="宋体"/>
                <w:sz w:val="16"/>
              </w:rPr>
              <w:t>10</w:t>
            </w:r>
          </w:p>
        </w:tc>
      </w:tr>
    </w:tbl>
    <w:p w14:paraId="555282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F8FFF75">
        <w:tblPrEx>
          <w:tblCellMar>
            <w:top w:w="0" w:type="dxa"/>
            <w:left w:w="108" w:type="dxa"/>
            <w:bottom w:w="0" w:type="dxa"/>
            <w:right w:w="108" w:type="dxa"/>
          </w:tblCellMar>
        </w:tblPrEx>
        <w:tc>
          <w:tcPr>
            <w:tcW w:w="8848" w:type="dxa"/>
            <w:gridSpan w:val="14"/>
            <w:vAlign w:val="center"/>
          </w:tcPr>
          <w:p w14:paraId="02C86071">
            <w:pPr>
              <w:jc w:val="center"/>
            </w:pPr>
            <w:r>
              <w:rPr>
                <w:rFonts w:ascii="宋体" w:hAnsi="宋体" w:eastAsia="宋体"/>
                <w:sz w:val="24"/>
              </w:rPr>
              <w:t>项目支出绩效自评表</w:t>
            </w:r>
          </w:p>
        </w:tc>
      </w:tr>
      <w:tr w14:paraId="55230AC3">
        <w:tblPrEx>
          <w:tblCellMar>
            <w:top w:w="0" w:type="dxa"/>
            <w:left w:w="108" w:type="dxa"/>
            <w:bottom w:w="0" w:type="dxa"/>
            <w:right w:w="108" w:type="dxa"/>
          </w:tblCellMar>
        </w:tblPrEx>
        <w:tc>
          <w:tcPr>
            <w:tcW w:w="8848" w:type="dxa"/>
            <w:gridSpan w:val="14"/>
            <w:vAlign w:val="center"/>
          </w:tcPr>
          <w:p w14:paraId="3FAEB58C">
            <w:pPr>
              <w:jc w:val="center"/>
            </w:pPr>
            <w:r>
              <w:rPr>
                <w:rFonts w:ascii="宋体" w:hAnsi="宋体" w:eastAsia="宋体"/>
                <w:sz w:val="24"/>
              </w:rPr>
              <w:t>(2024年度)</w:t>
            </w:r>
          </w:p>
        </w:tc>
      </w:tr>
      <w:tr w14:paraId="319D0D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AF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ECC6AD">
            <w:pPr>
              <w:jc w:val="center"/>
            </w:pPr>
            <w:r>
              <w:rPr>
                <w:rFonts w:ascii="宋体" w:hAnsi="宋体" w:eastAsia="宋体"/>
                <w:sz w:val="16"/>
              </w:rPr>
              <w:t>综合业务保障项目</w:t>
            </w:r>
          </w:p>
        </w:tc>
      </w:tr>
      <w:tr w14:paraId="5E1F6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D8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F3F27">
            <w:pPr>
              <w:jc w:val="center"/>
            </w:pPr>
            <w:r>
              <w:rPr>
                <w:rFonts w:ascii="宋体" w:hAnsi="宋体" w:eastAsia="宋体"/>
                <w:sz w:val="16"/>
              </w:rPr>
              <w:t>莎车县人民检察院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B5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1B8280">
            <w:pPr>
              <w:jc w:val="center"/>
            </w:pPr>
            <w:r>
              <w:rPr>
                <w:rFonts w:ascii="宋体" w:hAnsi="宋体" w:eastAsia="宋体"/>
                <w:sz w:val="16"/>
              </w:rPr>
              <w:t>莎车县人民检察院</w:t>
            </w:r>
          </w:p>
        </w:tc>
      </w:tr>
      <w:tr w14:paraId="3B954F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D51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642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D55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6E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277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727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91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BCAF">
            <w:pPr>
              <w:jc w:val="center"/>
            </w:pPr>
            <w:r>
              <w:rPr>
                <w:rFonts w:ascii="宋体" w:hAnsi="宋体" w:eastAsia="宋体"/>
                <w:sz w:val="16"/>
              </w:rPr>
              <w:t>得分</w:t>
            </w:r>
          </w:p>
        </w:tc>
      </w:tr>
      <w:tr w14:paraId="31808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29F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F52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F5BC5">
            <w:pPr>
              <w:jc w:val="center"/>
            </w:pPr>
            <w:r>
              <w:rPr>
                <w:rFonts w:ascii="宋体" w:hAnsi="宋体" w:eastAsia="宋体"/>
                <w:sz w:val="16"/>
              </w:rPr>
              <w:t>40.75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63E4D">
            <w:pPr>
              <w:jc w:val="center"/>
            </w:pPr>
            <w:r>
              <w:rPr>
                <w:rFonts w:ascii="宋体" w:hAnsi="宋体" w:eastAsia="宋体"/>
                <w:sz w:val="16"/>
              </w:rPr>
              <w:t>40.75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D5345">
            <w:pPr>
              <w:jc w:val="center"/>
            </w:pPr>
            <w:r>
              <w:rPr>
                <w:rFonts w:ascii="宋体" w:hAnsi="宋体" w:eastAsia="宋体"/>
                <w:sz w:val="16"/>
              </w:rPr>
              <w:t>19.24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4CF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449B5">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123C">
            <w:pPr>
              <w:jc w:val="center"/>
            </w:pPr>
            <w:r>
              <w:rPr>
                <w:rFonts w:ascii="宋体" w:hAnsi="宋体" w:eastAsia="宋体"/>
                <w:sz w:val="16"/>
              </w:rPr>
              <w:t>0.00分</w:t>
            </w:r>
          </w:p>
        </w:tc>
      </w:tr>
      <w:tr w14:paraId="2EA58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EC0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B0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1A470">
            <w:pPr>
              <w:jc w:val="center"/>
            </w:pPr>
            <w:r>
              <w:rPr>
                <w:rFonts w:ascii="宋体" w:hAnsi="宋体" w:eastAsia="宋体"/>
                <w:sz w:val="16"/>
              </w:rPr>
              <w:t>40.75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9C008">
            <w:pPr>
              <w:jc w:val="center"/>
            </w:pPr>
            <w:r>
              <w:rPr>
                <w:rFonts w:ascii="宋体" w:hAnsi="宋体" w:eastAsia="宋体"/>
                <w:sz w:val="16"/>
              </w:rPr>
              <w:t>40.75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8D984">
            <w:pPr>
              <w:jc w:val="center"/>
            </w:pPr>
            <w:r>
              <w:rPr>
                <w:rFonts w:ascii="宋体" w:hAnsi="宋体" w:eastAsia="宋体"/>
                <w:sz w:val="16"/>
              </w:rPr>
              <w:t>19.24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5CD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34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54E8">
            <w:pPr>
              <w:jc w:val="center"/>
            </w:pPr>
            <w:r>
              <w:rPr>
                <w:rFonts w:ascii="宋体" w:hAnsi="宋体" w:eastAsia="宋体"/>
                <w:sz w:val="16"/>
              </w:rPr>
              <w:t>—</w:t>
            </w:r>
          </w:p>
        </w:tc>
      </w:tr>
      <w:tr w14:paraId="5E2F5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EBF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6F1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112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42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E1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EC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FC3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9C28">
            <w:pPr>
              <w:jc w:val="center"/>
            </w:pPr>
            <w:r>
              <w:rPr>
                <w:rFonts w:ascii="宋体" w:hAnsi="宋体" w:eastAsia="宋体"/>
                <w:sz w:val="16"/>
              </w:rPr>
              <w:t>—</w:t>
            </w:r>
          </w:p>
        </w:tc>
      </w:tr>
      <w:tr w14:paraId="4CA797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1E6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091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67E302">
            <w:pPr>
              <w:jc w:val="center"/>
            </w:pPr>
            <w:r>
              <w:rPr>
                <w:rFonts w:ascii="宋体" w:hAnsi="宋体" w:eastAsia="宋体"/>
                <w:sz w:val="16"/>
              </w:rPr>
              <w:t>实际完成情况</w:t>
            </w:r>
          </w:p>
        </w:tc>
      </w:tr>
      <w:tr w14:paraId="3898E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91D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B5D30">
            <w:pPr>
              <w:jc w:val="both"/>
            </w:pPr>
            <w:r>
              <w:rPr>
                <w:rFonts w:ascii="宋体" w:hAnsi="宋体" w:eastAsia="宋体"/>
                <w:sz w:val="16"/>
              </w:rPr>
              <w:t>该项目依据年初预算批复下达本级项目资金40.75万元,该项目主要用于维修维护费8.75万元、委托业务费10万元、其他商品和服务支出22万元，通过该项目的实施提升了在职在编76名干警办案环境，加强了办案质量及经费使用效益，有效提高检察机关履职能力和机关建设，全面推进各项检察机关工作，努力打造人民满意的司法机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D27BF">
            <w:pPr>
              <w:jc w:val="both"/>
            </w:pPr>
            <w:r>
              <w:rPr>
                <w:rFonts w:ascii="宋体" w:hAnsi="宋体" w:eastAsia="宋体"/>
                <w:sz w:val="16"/>
              </w:rPr>
              <w:t>该项目主要用于我院办公大楼的维修维护、支付资产盘点及慰问支出，通过该项目的实施有效提升我院办案环境和固定资产的管理及对干部的关心关爱，全面推进干部对工作的积极性，激励全院干警爱岗敬业、扎实工作、开拓进取，不断提升干部对工作的积极性和主动性。</w:t>
            </w:r>
          </w:p>
        </w:tc>
      </w:tr>
      <w:tr w14:paraId="517A1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F29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61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64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A3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70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77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9BE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A1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B4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5E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89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A9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7692">
            <w:pPr>
              <w:jc w:val="center"/>
            </w:pPr>
            <w:r>
              <w:rPr>
                <w:rFonts w:ascii="宋体" w:hAnsi="宋体" w:eastAsia="宋体"/>
                <w:sz w:val="16"/>
              </w:rPr>
              <w:t>偏差原因分析及改进措施</w:t>
            </w:r>
          </w:p>
        </w:tc>
      </w:tr>
      <w:tr w14:paraId="4C891A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BA1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D38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23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7F04">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C8B1">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B6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F667">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C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4C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C1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A519">
            <w:pPr>
              <w:jc w:val="center"/>
            </w:pPr>
            <w:r>
              <w:rPr>
                <w:rFonts w:ascii="宋体" w:hAnsi="宋体" w:eastAsia="宋体"/>
                <w:sz w:val="16"/>
              </w:rPr>
              <w:t>=74人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BD51">
            <w:pPr>
              <w:jc w:val="center"/>
            </w:pPr>
            <w:r>
              <w:rPr>
                <w:rFonts w:ascii="宋体" w:hAnsi="宋体" w:eastAsia="宋体"/>
                <w:sz w:val="16"/>
              </w:rPr>
              <w:t>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0F9F">
            <w:pPr>
              <w:jc w:val="center"/>
            </w:pPr>
            <w:r>
              <w:rPr>
                <w:rFonts w:ascii="宋体" w:hAnsi="宋体" w:eastAsia="宋体"/>
                <w:sz w:val="16"/>
              </w:rPr>
              <w:t>偏差原因：年初人数为76人，年末减少2人，导致项目存在偏差；改进措施：健全完善制度办法，切实加强组织领导，预算项目绩效目标设定更加科学规范，减少偏差率</w:t>
            </w:r>
          </w:p>
        </w:tc>
      </w:tr>
      <w:tr w14:paraId="7AF63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C5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6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D9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BFC6">
            <w:pPr>
              <w:jc w:val="center"/>
            </w:pPr>
            <w:r>
              <w:rPr>
                <w:rFonts w:ascii="宋体" w:hAnsi="宋体" w:eastAsia="宋体"/>
                <w:sz w:val="16"/>
              </w:rPr>
              <w:t>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3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A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30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F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AB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D9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C22A">
            <w:pPr>
              <w:jc w:val="center"/>
            </w:pPr>
            <w:r>
              <w:rPr>
                <w:rFonts w:ascii="宋体" w:hAnsi="宋体" w:eastAsia="宋体"/>
                <w:sz w:val="16"/>
              </w:rPr>
              <w:t>=47.21%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2B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60F1F">
            <w:pPr>
              <w:jc w:val="center"/>
            </w:pPr>
            <w:r>
              <w:rPr>
                <w:rFonts w:ascii="宋体" w:hAnsi="宋体" w:eastAsia="宋体"/>
                <w:sz w:val="16"/>
              </w:rPr>
              <w:t>偏差原因：项目支付未达预期目标，导致项目未按时完成；改进措施：加快项目进度，及时跟进各个项目执行管理制度。</w:t>
            </w:r>
          </w:p>
        </w:tc>
      </w:tr>
      <w:tr w14:paraId="45F63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06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841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A33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2D2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F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C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B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9B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98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B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4110">
            <w:pPr>
              <w:jc w:val="center"/>
            </w:pPr>
            <w:r>
              <w:rPr>
                <w:rFonts w:ascii="宋体" w:hAnsi="宋体" w:eastAsia="宋体"/>
                <w:sz w:val="16"/>
              </w:rPr>
              <w:t>=47.21%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7C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72670">
            <w:pPr>
              <w:jc w:val="center"/>
            </w:pPr>
            <w:r>
              <w:rPr>
                <w:rFonts w:ascii="宋体" w:hAnsi="宋体" w:eastAsia="宋体"/>
                <w:sz w:val="16"/>
              </w:rPr>
              <w:t>偏差原因：该项目进度缓慢；改进措施：及时跟各个</w:t>
            </w:r>
            <w:r>
              <w:rPr>
                <w:rFonts w:hint="eastAsia" w:ascii="宋体" w:hAnsi="宋体"/>
                <w:sz w:val="16"/>
                <w:lang w:eastAsia="zh-CN"/>
              </w:rPr>
              <w:t>科室</w:t>
            </w:r>
            <w:r>
              <w:rPr>
                <w:rFonts w:ascii="宋体" w:hAnsi="宋体" w:eastAsia="宋体"/>
                <w:sz w:val="16"/>
              </w:rPr>
              <w:t>对接，切实加强组织领导，预算项目绩效目标设定更加科学规范，减少偏差率</w:t>
            </w:r>
          </w:p>
        </w:tc>
      </w:tr>
      <w:tr w14:paraId="56B89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657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04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AE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4F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704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3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D1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B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0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15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FF8A">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26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913E2">
            <w:pPr>
              <w:jc w:val="center"/>
            </w:pPr>
            <w:r>
              <w:rPr>
                <w:rFonts w:ascii="宋体" w:hAnsi="宋体" w:eastAsia="宋体"/>
                <w:sz w:val="16"/>
              </w:rPr>
              <w:t>偏差原因：项目进度未达预期目标，导致项目未按时完成；改进措施：加快项目进度，及时跟进各个项目执行管理制度。</w:t>
            </w:r>
          </w:p>
        </w:tc>
      </w:tr>
      <w:tr w14:paraId="26012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F81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4D0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C64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62D5">
            <w:pPr>
              <w:jc w:val="center"/>
            </w:pPr>
            <w:r>
              <w:rPr>
                <w:rFonts w:ascii="宋体" w:hAnsi="宋体" w:eastAsia="宋体"/>
                <w:sz w:val="16"/>
              </w:rPr>
              <w:t>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6378">
            <w:pPr>
              <w:jc w:val="center"/>
            </w:pPr>
            <w:r>
              <w:rPr>
                <w:rFonts w:ascii="宋体" w:hAnsi="宋体" w:eastAsia="宋体"/>
                <w:sz w:val="16"/>
              </w:rPr>
              <w:t>&lt;=8.75万元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2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F693">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07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B7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D1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3423">
            <w:pPr>
              <w:jc w:val="center"/>
            </w:pPr>
            <w:r>
              <w:rPr>
                <w:rFonts w:ascii="宋体" w:hAnsi="宋体" w:eastAsia="宋体"/>
                <w:sz w:val="16"/>
              </w:rPr>
              <w:t>=5.48万元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A748">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899E">
            <w:pPr>
              <w:jc w:val="center"/>
            </w:pPr>
            <w:r>
              <w:rPr>
                <w:rFonts w:ascii="宋体" w:hAnsi="宋体" w:eastAsia="宋体"/>
                <w:sz w:val="16"/>
              </w:rPr>
              <w:t>偏差原因：该项目未及时对单位进行排查，导致项目</w:t>
            </w:r>
            <w:r>
              <w:rPr>
                <w:rFonts w:hint="eastAsia" w:ascii="宋体" w:hAnsi="宋体"/>
                <w:sz w:val="16"/>
                <w:lang w:eastAsia="zh-CN"/>
              </w:rPr>
              <w:t>滞后</w:t>
            </w:r>
            <w:r>
              <w:rPr>
                <w:rFonts w:ascii="宋体" w:hAnsi="宋体" w:eastAsia="宋体"/>
                <w:sz w:val="16"/>
              </w:rPr>
              <w:t>；改进措施：明确职责分工，加强组织领导，减少偏差率</w:t>
            </w:r>
          </w:p>
        </w:tc>
      </w:tr>
      <w:tr w14:paraId="500EB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17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D3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0B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C455">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3CC0">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4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DE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9F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88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FD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B002">
            <w:pPr>
              <w:jc w:val="center"/>
            </w:pPr>
            <w:r>
              <w:rPr>
                <w:rFonts w:ascii="宋体" w:hAnsi="宋体" w:eastAsia="宋体"/>
                <w:sz w:val="16"/>
              </w:rPr>
              <w:t>=3.92万元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71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A379">
            <w:pPr>
              <w:jc w:val="center"/>
            </w:pPr>
            <w:r>
              <w:rPr>
                <w:rFonts w:ascii="宋体" w:hAnsi="宋体" w:eastAsia="宋体"/>
                <w:sz w:val="16"/>
              </w:rPr>
              <w:t>偏差原因：该项目未安排专人对各环节进行管理，导致项目进度缓慢；改进措施：及时跟各个</w:t>
            </w:r>
            <w:r>
              <w:rPr>
                <w:rFonts w:hint="eastAsia" w:ascii="宋体" w:hAnsi="宋体"/>
                <w:sz w:val="16"/>
                <w:lang w:eastAsia="zh-CN"/>
              </w:rPr>
              <w:t>科室</w:t>
            </w:r>
            <w:r>
              <w:rPr>
                <w:rFonts w:ascii="宋体" w:hAnsi="宋体" w:eastAsia="宋体"/>
                <w:sz w:val="16"/>
              </w:rPr>
              <w:t>对接，切实加强组织领导，预算项目绩效目标设定更加科学规范，减少偏差率</w:t>
            </w:r>
          </w:p>
        </w:tc>
      </w:tr>
      <w:tr w14:paraId="73782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BD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1A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0C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409A">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5179">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B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1207">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73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1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2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E0AD">
            <w:pPr>
              <w:jc w:val="center"/>
            </w:pPr>
            <w:r>
              <w:rPr>
                <w:rFonts w:ascii="宋体" w:hAnsi="宋体" w:eastAsia="宋体"/>
                <w:sz w:val="16"/>
              </w:rPr>
              <w: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32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81E9C">
            <w:pPr>
              <w:jc w:val="center"/>
            </w:pPr>
            <w:r>
              <w:rPr>
                <w:rFonts w:ascii="宋体" w:hAnsi="宋体" w:eastAsia="宋体"/>
                <w:sz w:val="16"/>
              </w:rPr>
              <w:t>偏差原因：该项目采购手续较晚，导致项目无法按时完工；改进措施：健全完善制度办法，切实加强组织领导，预算项目绩效目标设定更加科学规范，减少偏差率</w:t>
            </w:r>
          </w:p>
        </w:tc>
      </w:tr>
      <w:tr w14:paraId="2B316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C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7C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C2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3C4F">
            <w:pPr>
              <w:jc w:val="center"/>
            </w:pPr>
            <w:r>
              <w:rPr>
                <w:rFonts w:ascii="宋体" w:hAnsi="宋体" w:eastAsia="宋体"/>
                <w:sz w:val="16"/>
              </w:rPr>
              <w:t>法律援助案件办结率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737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4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A9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22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5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37B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BDB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9C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AA4C">
            <w:pPr>
              <w:jc w:val="center"/>
            </w:pPr>
          </w:p>
        </w:tc>
      </w:tr>
      <w:tr w14:paraId="37824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16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6D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B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970F">
            <w:pPr>
              <w:jc w:val="center"/>
            </w:pPr>
            <w:r>
              <w:rPr>
                <w:rFonts w:ascii="宋体" w:hAnsi="宋体" w:eastAsia="宋体"/>
                <w:sz w:val="16"/>
              </w:rPr>
              <w:t>案件当事人满意度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3F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145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45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B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AA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6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073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0F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ADB3">
            <w:pPr>
              <w:jc w:val="center"/>
            </w:pPr>
            <w:r>
              <w:rPr>
                <w:rFonts w:ascii="宋体" w:hAnsi="宋体" w:eastAsia="宋体"/>
                <w:sz w:val="16"/>
              </w:rPr>
              <w:t>偏差原因：因年初做项目目标不精准导致，改进措施：健全完善制度办法，切实加强组织领导，预算项目绩效目标设定更加科学规范，减少偏差率</w:t>
            </w:r>
          </w:p>
        </w:tc>
      </w:tr>
      <w:tr w14:paraId="3B27A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A78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B6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D37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2A0E60">
            <w:pPr>
              <w:jc w:val="center"/>
            </w:pPr>
            <w:r>
              <w:rPr>
                <w:rFonts w:ascii="宋体" w:hAnsi="宋体" w:eastAsia="宋体"/>
                <w:sz w:val="16"/>
              </w:rPr>
              <w:t>39.67分</w:t>
            </w:r>
          </w:p>
        </w:tc>
      </w:tr>
    </w:tbl>
    <w:p w14:paraId="4CB532B4">
      <w:r>
        <w:br w:type="page"/>
      </w:r>
    </w:p>
    <w:p w14:paraId="53594C70">
      <w:pPr>
        <w:spacing w:line="640" w:lineRule="exact"/>
        <w:ind w:firstLine="640"/>
        <w:jc w:val="both"/>
        <w:outlineLvl w:val="2"/>
      </w:pPr>
      <w:r>
        <w:rPr>
          <w:rFonts w:ascii="黑体" w:hAnsi="黑体" w:eastAsia="黑体"/>
          <w:sz w:val="32"/>
        </w:rPr>
        <w:t>十二、其他需说明的事项</w:t>
      </w:r>
    </w:p>
    <w:p w14:paraId="3000FA04">
      <w:pPr>
        <w:spacing w:line="580" w:lineRule="exact"/>
        <w:ind w:firstLine="640"/>
        <w:jc w:val="both"/>
      </w:pPr>
      <w:r>
        <w:rPr>
          <w:rFonts w:ascii="仿宋_GB2312" w:hAnsi="仿宋_GB2312" w:eastAsia="仿宋_GB2312"/>
          <w:b w:val="0"/>
          <w:sz w:val="32"/>
        </w:rPr>
        <w:t>本部门无其他需说明的事项。</w:t>
      </w:r>
    </w:p>
    <w:p w14:paraId="60A7D8AF">
      <w:r>
        <w:br w:type="page"/>
      </w:r>
    </w:p>
    <w:p w14:paraId="16671977">
      <w:pPr>
        <w:spacing w:line="240" w:lineRule="auto"/>
        <w:jc w:val="center"/>
        <w:outlineLvl w:val="1"/>
      </w:pPr>
      <w:r>
        <w:rPr>
          <w:rFonts w:ascii="黑体" w:hAnsi="黑体" w:eastAsia="黑体"/>
          <w:sz w:val="32"/>
        </w:rPr>
        <w:t>第三部分 专业名词解释</w:t>
      </w:r>
    </w:p>
    <w:p w14:paraId="086EF4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CC83E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B0098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471E7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AB6D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D2E0F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FB22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3EFA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8EE71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E0B1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0C5EB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40E29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0C0E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04F63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DBF996">
      <w:r>
        <w:br w:type="page"/>
      </w:r>
    </w:p>
    <w:p w14:paraId="43D10AC8">
      <w:pPr>
        <w:spacing w:line="240" w:lineRule="auto"/>
        <w:jc w:val="center"/>
        <w:outlineLvl w:val="1"/>
      </w:pPr>
      <w:r>
        <w:rPr>
          <w:rFonts w:ascii="黑体" w:hAnsi="黑体" w:eastAsia="黑体"/>
          <w:sz w:val="32"/>
        </w:rPr>
        <w:t>第四部分 部门决算报表（见附表）</w:t>
      </w:r>
    </w:p>
    <w:p w14:paraId="03956F93">
      <w:pPr>
        <w:spacing w:line="240" w:lineRule="auto"/>
        <w:ind w:firstLine="640"/>
        <w:jc w:val="both"/>
      </w:pPr>
      <w:r>
        <w:rPr>
          <w:rFonts w:ascii="仿宋_GB2312" w:hAnsi="仿宋_GB2312" w:eastAsia="仿宋_GB2312"/>
          <w:b w:val="0"/>
          <w:sz w:val="32"/>
        </w:rPr>
        <w:t>一、《收入支出决算总表》</w:t>
      </w:r>
    </w:p>
    <w:p w14:paraId="5AD581FB">
      <w:pPr>
        <w:spacing w:line="240" w:lineRule="auto"/>
        <w:ind w:firstLine="640"/>
        <w:jc w:val="both"/>
      </w:pPr>
      <w:r>
        <w:rPr>
          <w:rFonts w:ascii="仿宋_GB2312" w:hAnsi="仿宋_GB2312" w:eastAsia="仿宋_GB2312"/>
          <w:b w:val="0"/>
          <w:sz w:val="32"/>
        </w:rPr>
        <w:t>二、《收入决算表》</w:t>
      </w:r>
    </w:p>
    <w:p w14:paraId="0CEC1D59">
      <w:pPr>
        <w:spacing w:line="240" w:lineRule="auto"/>
        <w:ind w:firstLine="640"/>
        <w:jc w:val="both"/>
      </w:pPr>
      <w:r>
        <w:rPr>
          <w:rFonts w:ascii="仿宋_GB2312" w:hAnsi="仿宋_GB2312" w:eastAsia="仿宋_GB2312"/>
          <w:b w:val="0"/>
          <w:sz w:val="32"/>
        </w:rPr>
        <w:t>三、《支出决算表》</w:t>
      </w:r>
    </w:p>
    <w:p w14:paraId="57098C86">
      <w:pPr>
        <w:spacing w:line="240" w:lineRule="auto"/>
        <w:ind w:firstLine="640"/>
        <w:jc w:val="both"/>
      </w:pPr>
      <w:r>
        <w:rPr>
          <w:rFonts w:ascii="仿宋_GB2312" w:hAnsi="仿宋_GB2312" w:eastAsia="仿宋_GB2312"/>
          <w:b w:val="0"/>
          <w:sz w:val="32"/>
        </w:rPr>
        <w:t>四、《财政拨款收入支出决算总表》</w:t>
      </w:r>
    </w:p>
    <w:p w14:paraId="43F053F3">
      <w:pPr>
        <w:spacing w:line="240" w:lineRule="auto"/>
        <w:ind w:firstLine="640"/>
        <w:jc w:val="both"/>
      </w:pPr>
      <w:r>
        <w:rPr>
          <w:rFonts w:ascii="仿宋_GB2312" w:hAnsi="仿宋_GB2312" w:eastAsia="仿宋_GB2312"/>
          <w:b w:val="0"/>
          <w:sz w:val="32"/>
        </w:rPr>
        <w:t>五、《一般公共预算财政拨款支出决算表》</w:t>
      </w:r>
    </w:p>
    <w:p w14:paraId="3CAB9884">
      <w:pPr>
        <w:spacing w:line="240" w:lineRule="auto"/>
        <w:ind w:firstLine="640"/>
        <w:jc w:val="both"/>
      </w:pPr>
      <w:r>
        <w:rPr>
          <w:rFonts w:ascii="仿宋_GB2312" w:hAnsi="仿宋_GB2312" w:eastAsia="仿宋_GB2312"/>
          <w:b w:val="0"/>
          <w:sz w:val="32"/>
        </w:rPr>
        <w:t>六、《一般公共预算财政拨款基本支出决算表》</w:t>
      </w:r>
    </w:p>
    <w:p w14:paraId="27C7CD32">
      <w:pPr>
        <w:spacing w:line="240" w:lineRule="auto"/>
        <w:ind w:firstLine="640"/>
        <w:jc w:val="both"/>
      </w:pPr>
      <w:r>
        <w:rPr>
          <w:rFonts w:ascii="仿宋_GB2312" w:hAnsi="仿宋_GB2312" w:eastAsia="仿宋_GB2312"/>
          <w:b w:val="0"/>
          <w:sz w:val="32"/>
        </w:rPr>
        <w:t>七、《政府性基金预算财政拨款收入支出决算表》</w:t>
      </w:r>
    </w:p>
    <w:p w14:paraId="3C2EBA7F">
      <w:pPr>
        <w:spacing w:line="240" w:lineRule="auto"/>
        <w:ind w:firstLine="640"/>
        <w:jc w:val="both"/>
      </w:pPr>
      <w:r>
        <w:rPr>
          <w:rFonts w:ascii="仿宋_GB2312" w:hAnsi="仿宋_GB2312" w:eastAsia="仿宋_GB2312"/>
          <w:b w:val="0"/>
          <w:sz w:val="32"/>
        </w:rPr>
        <w:t>八、《国有资本经营预算财政拨款收入支出决算表》</w:t>
      </w:r>
    </w:p>
    <w:p w14:paraId="3298E7FE">
      <w:pPr>
        <w:spacing w:line="240" w:lineRule="auto"/>
        <w:ind w:firstLine="640"/>
        <w:jc w:val="both"/>
      </w:pPr>
      <w:r>
        <w:rPr>
          <w:rFonts w:ascii="仿宋_GB2312" w:hAnsi="仿宋_GB2312" w:eastAsia="仿宋_GB2312"/>
          <w:b w:val="0"/>
          <w:sz w:val="32"/>
        </w:rPr>
        <w:t>九、《财政拨款“三公”经费支出决算表》</w:t>
      </w:r>
    </w:p>
    <w:p w14:paraId="351163D5">
      <w:pPr>
        <w:spacing w:line="240" w:lineRule="auto"/>
        <w:ind w:firstLine="640"/>
        <w:jc w:val="both"/>
      </w:pPr>
    </w:p>
    <w:p w14:paraId="4FC83D8F">
      <w:pPr>
        <w:spacing w:line="240" w:lineRule="auto"/>
        <w:ind w:firstLine="640"/>
        <w:jc w:val="both"/>
      </w:pPr>
    </w:p>
    <w:p w14:paraId="1E3A836A">
      <w:pPr>
        <w:spacing w:line="240" w:lineRule="auto"/>
        <w:ind w:firstLine="640"/>
        <w:jc w:val="both"/>
      </w:pPr>
    </w:p>
    <w:p w14:paraId="616B1DC5">
      <w:pPr>
        <w:spacing w:line="240" w:lineRule="auto"/>
        <w:ind w:firstLine="640"/>
        <w:jc w:val="both"/>
      </w:pPr>
    </w:p>
    <w:p w14:paraId="717BEC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9BC052-AF59-4B01-83B8-E66D8517F8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D727A95-0272-4CD5-81C9-E17FBFD967E5}"/>
  </w:font>
  <w:font w:name="方正小标宋_GBK">
    <w:panose1 w:val="02000000000000000000"/>
    <w:charset w:val="86"/>
    <w:family w:val="script"/>
    <w:pitch w:val="default"/>
    <w:sig w:usb0="A00002BF" w:usb1="38CF7CFA" w:usb2="00082016" w:usb3="00000000" w:csb0="00040001" w:csb1="00000000"/>
    <w:embedRegular r:id="rId3" w:fontKey="{AE7ABDBF-DF4D-469B-9050-343127BD7B54}"/>
  </w:font>
  <w:font w:name="楷体_GB2312">
    <w:altName w:val="楷体"/>
    <w:panose1 w:val="00000000000000000000"/>
    <w:charset w:val="00"/>
    <w:family w:val="auto"/>
    <w:pitch w:val="default"/>
    <w:sig w:usb0="00000000" w:usb1="00000000" w:usb2="00000000" w:usb3="00000000" w:csb0="00000000" w:csb1="00000000"/>
    <w:embedRegular r:id="rId4" w:fontKey="{01776157-6123-44D3-B85A-E9BCC5CD995E}"/>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2D0000"/>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B6360"/>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5269</Words>
  <Characters>6130</Characters>
  <Lines>0</Lines>
  <Paragraphs>0</Paragraphs>
  <TotalTime>22</TotalTime>
  <ScaleCrop>false</ScaleCrop>
  <LinksUpToDate>false</LinksUpToDate>
  <CharactersWithSpaces>6138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2025-09-03T12:01:03Z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