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麦盖提县人民检察院2024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3D79DE9">
      <w:r>
        <w:br w:type="page"/>
      </w:r>
    </w:p>
    <w:p w14:paraId="451F06AA">
      <w:pPr>
        <w:spacing w:line="640" w:lineRule="exact"/>
        <w:jc w:val="center"/>
        <w:outlineLvl w:val="1"/>
      </w:pPr>
      <w:r>
        <w:rPr>
          <w:rFonts w:ascii="黑体" w:hAnsi="黑体" w:eastAsia="黑体"/>
          <w:sz w:val="32"/>
        </w:rPr>
        <w:t>第一部分 部门概况</w:t>
      </w:r>
    </w:p>
    <w:p w14:paraId="2BC50B08">
      <w:pPr>
        <w:spacing w:line="640" w:lineRule="exact"/>
        <w:ind w:firstLine="640"/>
        <w:jc w:val="both"/>
        <w:outlineLvl w:val="2"/>
      </w:pPr>
      <w:r>
        <w:rPr>
          <w:rFonts w:ascii="黑体" w:hAnsi="黑体" w:eastAsia="黑体"/>
          <w:sz w:val="32"/>
        </w:rPr>
        <w:t>一、主要职能</w:t>
      </w:r>
    </w:p>
    <w:p w14:paraId="02219E50">
      <w:pPr>
        <w:spacing w:line="580" w:lineRule="exact"/>
        <w:ind w:firstLine="640"/>
        <w:jc w:val="both"/>
      </w:pPr>
      <w:r>
        <w:rPr>
          <w:rFonts w:ascii="仿宋_GB2312" w:hAnsi="仿宋_GB2312" w:eastAsia="仿宋_GB2312"/>
          <w:sz w:val="32"/>
        </w:rPr>
        <w:t>麦盖提县人民检察院坚持以习近平新时代中国特色社会主义思想为指导，深入学习贯彻习近平法治思想、习近平总书记在新疆视察调研时的重要讲话精神，坚持依法治疆、团结稳疆、文化润疆、富民兴疆、长期建疆，高举社会主义法治旗帜，弘扬法治精神，深入贯彻《中共中央关于加强新时代检察机关法律监督工作的意见》和自治区党委《实施意见》，深入落实少捕慎诉慎押刑事司法政策，最大限度减少社会对立面；深化认罪认罚从宽制度适用，用心用情办好“小案”，厚植党执政的政治基础；积极开展司法救助、公开听证、刑事和解、以案释法等工作。</w:t>
      </w:r>
    </w:p>
    <w:p w14:paraId="66BDB2CA">
      <w:pPr>
        <w:spacing w:line="640" w:lineRule="exact"/>
        <w:ind w:firstLine="640"/>
        <w:jc w:val="both"/>
        <w:outlineLvl w:val="2"/>
      </w:pPr>
      <w:r>
        <w:rPr>
          <w:rFonts w:ascii="黑体" w:hAnsi="黑体" w:eastAsia="黑体"/>
          <w:sz w:val="32"/>
        </w:rPr>
        <w:t>二、机构设置及人员情况</w:t>
      </w:r>
    </w:p>
    <w:p w14:paraId="7F924F3D">
      <w:pPr>
        <w:spacing w:line="580" w:lineRule="exact"/>
        <w:ind w:firstLine="640"/>
        <w:jc w:val="both"/>
      </w:pPr>
      <w:r>
        <w:rPr>
          <w:rFonts w:ascii="仿宋_GB2312" w:hAnsi="仿宋_GB2312" w:eastAsia="仿宋_GB2312"/>
          <w:sz w:val="32"/>
        </w:rPr>
        <w:t>麦盖提县人民检察院2024年度，实有人数48人，其中：在职人员29人，减少3人；离休人员0人，增加0人；退休人员19人,增加2人。</w:t>
      </w:r>
    </w:p>
    <w:p w14:paraId="3CB7E447">
      <w:pPr>
        <w:spacing w:line="580" w:lineRule="exact"/>
        <w:ind w:firstLine="640"/>
        <w:jc w:val="both"/>
      </w:pPr>
      <w:r>
        <w:rPr>
          <w:rFonts w:ascii="仿宋_GB2312" w:hAnsi="仿宋_GB2312" w:eastAsia="仿宋_GB2312"/>
          <w:sz w:val="32"/>
        </w:rPr>
        <w:t>麦盖提县人民检察院无下属预算单位，下设5个科室，分别是：第一检察部、第二检察部、第三检察部、政治部、办公室。</w:t>
      </w:r>
    </w:p>
    <w:p w14:paraId="4AE68048">
      <w:r>
        <w:br w:type="page"/>
      </w:r>
    </w:p>
    <w:p w14:paraId="3A84BD9A">
      <w:pPr>
        <w:spacing w:line="240" w:lineRule="auto"/>
        <w:jc w:val="center"/>
        <w:outlineLvl w:val="1"/>
      </w:pPr>
      <w:r>
        <w:rPr>
          <w:rFonts w:ascii="黑体" w:hAnsi="黑体" w:eastAsia="黑体"/>
          <w:sz w:val="32"/>
        </w:rPr>
        <w:t>第二部分 部门决算情况说明</w:t>
      </w:r>
    </w:p>
    <w:p w14:paraId="5C1AFC02">
      <w:pPr>
        <w:spacing w:line="640" w:lineRule="exact"/>
        <w:ind w:firstLine="640"/>
        <w:jc w:val="both"/>
        <w:outlineLvl w:val="2"/>
      </w:pPr>
      <w:r>
        <w:rPr>
          <w:rFonts w:ascii="黑体" w:hAnsi="黑体" w:eastAsia="黑体"/>
          <w:sz w:val="32"/>
        </w:rPr>
        <w:t>一、收入支出决算总体情况说明</w:t>
      </w:r>
    </w:p>
    <w:p w14:paraId="18879AFC">
      <w:pPr>
        <w:spacing w:line="580" w:lineRule="exact"/>
        <w:ind w:firstLine="640"/>
        <w:jc w:val="both"/>
      </w:pPr>
      <w:r>
        <w:rPr>
          <w:rFonts w:ascii="仿宋_GB2312" w:hAnsi="仿宋_GB2312" w:eastAsia="仿宋_GB2312"/>
          <w:b/>
          <w:sz w:val="32"/>
        </w:rPr>
        <w:t>2024年度收入总计986.96万元，</w:t>
      </w:r>
      <w:r>
        <w:rPr>
          <w:rFonts w:ascii="仿宋_GB2312" w:hAnsi="仿宋_GB2312" w:eastAsia="仿宋_GB2312"/>
          <w:b w:val="0"/>
          <w:sz w:val="32"/>
        </w:rPr>
        <w:t>其中：本年收入合计986.96万元，使用非财政拨款结余（含专用结余）0.00万元，年初结转和结余0.00万元。</w:t>
      </w:r>
    </w:p>
    <w:p w14:paraId="559A6061">
      <w:pPr>
        <w:spacing w:line="580" w:lineRule="exact"/>
        <w:ind w:firstLine="640"/>
        <w:jc w:val="both"/>
      </w:pPr>
      <w:r>
        <w:rPr>
          <w:rFonts w:ascii="仿宋_GB2312" w:hAnsi="仿宋_GB2312" w:eastAsia="仿宋_GB2312"/>
          <w:b/>
          <w:sz w:val="32"/>
        </w:rPr>
        <w:t>2024年度支出总计986.96万元，</w:t>
      </w:r>
      <w:r>
        <w:rPr>
          <w:rFonts w:ascii="仿宋_GB2312" w:hAnsi="仿宋_GB2312" w:eastAsia="仿宋_GB2312"/>
          <w:b w:val="0"/>
          <w:sz w:val="32"/>
        </w:rPr>
        <w:t>其中：本年支出合计986.96万元，结余分配0.00万元，年末结转和结余0.00万元。</w:t>
      </w:r>
    </w:p>
    <w:p w14:paraId="27A8D3D8">
      <w:pPr>
        <w:spacing w:line="580" w:lineRule="exact"/>
        <w:ind w:firstLine="640"/>
        <w:jc w:val="both"/>
      </w:pPr>
      <w:r>
        <w:rPr>
          <w:rFonts w:ascii="仿宋_GB2312" w:hAnsi="仿宋_GB2312" w:eastAsia="仿宋_GB2312"/>
          <w:b w:val="0"/>
          <w:sz w:val="32"/>
        </w:rPr>
        <w:t>收入支出总体与上年相比，减少9.96万元，下降1.00%，主要原因是：本年在职人员减少，相关人员经费较上年减少。</w:t>
      </w:r>
    </w:p>
    <w:p w14:paraId="4447B2F8">
      <w:pPr>
        <w:spacing w:line="640" w:lineRule="exact"/>
        <w:ind w:firstLine="640"/>
        <w:jc w:val="both"/>
        <w:outlineLvl w:val="2"/>
      </w:pPr>
      <w:r>
        <w:rPr>
          <w:rFonts w:ascii="黑体" w:hAnsi="黑体" w:eastAsia="黑体"/>
          <w:sz w:val="32"/>
        </w:rPr>
        <w:t>二、收入决算情况说明</w:t>
      </w:r>
    </w:p>
    <w:p w14:paraId="075247B2">
      <w:pPr>
        <w:spacing w:line="580" w:lineRule="exact"/>
        <w:ind w:firstLine="640"/>
        <w:jc w:val="both"/>
      </w:pPr>
      <w:r>
        <w:rPr>
          <w:rFonts w:ascii="仿宋_GB2312" w:hAnsi="仿宋_GB2312" w:eastAsia="仿宋_GB2312"/>
          <w:b/>
          <w:sz w:val="32"/>
        </w:rPr>
        <w:t>本年收入986.96万元，</w:t>
      </w:r>
      <w:r>
        <w:rPr>
          <w:rFonts w:ascii="仿宋_GB2312" w:hAnsi="仿宋_GB2312" w:eastAsia="仿宋_GB2312"/>
          <w:b w:val="0"/>
          <w:sz w:val="32"/>
        </w:rPr>
        <w:t>其中：财政拨款收入986.96万元，占100.00%；上级补助收入0.00万元，占0.00%；事业收入0.00万元，占0.00%；经营收入0.00万元，占0.00%；附属单位上缴收入0.00万元，占0.00%；其他收入0.00万元，占0.00%。</w:t>
      </w:r>
    </w:p>
    <w:p w14:paraId="55AE7E7D">
      <w:pPr>
        <w:spacing w:line="640" w:lineRule="exact"/>
        <w:ind w:firstLine="640"/>
        <w:jc w:val="both"/>
        <w:outlineLvl w:val="2"/>
      </w:pPr>
      <w:r>
        <w:rPr>
          <w:rFonts w:ascii="黑体" w:hAnsi="黑体" w:eastAsia="黑体"/>
          <w:sz w:val="32"/>
        </w:rPr>
        <w:t>三、支出决算情况说明</w:t>
      </w:r>
    </w:p>
    <w:p w14:paraId="431B5CA9">
      <w:pPr>
        <w:spacing w:line="580" w:lineRule="exact"/>
        <w:ind w:firstLine="640"/>
        <w:jc w:val="both"/>
      </w:pPr>
      <w:r>
        <w:rPr>
          <w:rFonts w:ascii="仿宋_GB2312" w:hAnsi="仿宋_GB2312" w:eastAsia="仿宋_GB2312"/>
          <w:b/>
          <w:sz w:val="32"/>
        </w:rPr>
        <w:t>本年支出986.96万元，</w:t>
      </w:r>
      <w:r>
        <w:rPr>
          <w:rFonts w:ascii="仿宋_GB2312" w:hAnsi="仿宋_GB2312" w:eastAsia="仿宋_GB2312"/>
          <w:b w:val="0"/>
          <w:sz w:val="32"/>
        </w:rPr>
        <w:t>其中：基本支出800.28万元，占81.09%；项目支出186.69万元，占18.92%；上缴上级支出0.00万元，占0.00%；经营支出0.00万元，占0.00%；对附属单位补助支出0.00万元，占0.00%。</w:t>
      </w:r>
    </w:p>
    <w:p w14:paraId="40C73236">
      <w:pPr>
        <w:spacing w:line="640" w:lineRule="exact"/>
        <w:ind w:firstLine="640"/>
        <w:jc w:val="both"/>
        <w:outlineLvl w:val="2"/>
      </w:pPr>
      <w:r>
        <w:rPr>
          <w:rFonts w:ascii="黑体" w:hAnsi="黑体" w:eastAsia="黑体"/>
          <w:sz w:val="32"/>
        </w:rPr>
        <w:t>四、财政拨款收入支出决算总体情况说明</w:t>
      </w:r>
    </w:p>
    <w:p w14:paraId="22866C8D">
      <w:pPr>
        <w:spacing w:line="580" w:lineRule="exact"/>
        <w:ind w:firstLine="640"/>
        <w:jc w:val="both"/>
      </w:pPr>
      <w:r>
        <w:rPr>
          <w:rFonts w:ascii="仿宋_GB2312" w:hAnsi="仿宋_GB2312" w:eastAsia="仿宋_GB2312"/>
          <w:b/>
          <w:sz w:val="32"/>
        </w:rPr>
        <w:t>2024年度财政拨款收入总计986.96万元，</w:t>
      </w:r>
      <w:r>
        <w:rPr>
          <w:rFonts w:ascii="仿宋_GB2312" w:hAnsi="仿宋_GB2312" w:eastAsia="仿宋_GB2312"/>
          <w:b w:val="0"/>
          <w:sz w:val="32"/>
        </w:rPr>
        <w:t>其中：年初财政拨款结转和结余0.00万元，本年财政拨款收入986.96万元。</w:t>
      </w:r>
      <w:r>
        <w:rPr>
          <w:rFonts w:ascii="仿宋_GB2312" w:hAnsi="仿宋_GB2312" w:eastAsia="仿宋_GB2312"/>
          <w:b/>
          <w:sz w:val="32"/>
        </w:rPr>
        <w:t>财政拨款支出总计986.96万元，</w:t>
      </w:r>
      <w:r>
        <w:rPr>
          <w:rFonts w:ascii="仿宋_GB2312" w:hAnsi="仿宋_GB2312" w:eastAsia="仿宋_GB2312"/>
          <w:b w:val="0"/>
          <w:sz w:val="32"/>
        </w:rPr>
        <w:t>其中：年末财政拨款结转和结余0.00万元，本年财政拨款支出986.96万元。</w:t>
      </w:r>
    </w:p>
    <w:p w14:paraId="169F3BB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减少9.96万元，下降1.00%，主要原因是：本年在职人员减少，相关人员经费较上年减少。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年初预算数1,020.97万元，决算数986.96万元，预决算差异率-3.33%，主要原因是：本年在职人员减少，年中调减人员经费，导致预决算存在差异。</w:t>
      </w:r>
    </w:p>
    <w:p w14:paraId="23727FB4">
      <w:pPr>
        <w:spacing w:line="640" w:lineRule="exact"/>
        <w:ind w:firstLine="640"/>
        <w:jc w:val="both"/>
        <w:outlineLvl w:val="2"/>
      </w:pPr>
      <w:r>
        <w:rPr>
          <w:rFonts w:ascii="黑体" w:hAnsi="黑体" w:eastAsia="黑体"/>
          <w:sz w:val="32"/>
        </w:rPr>
        <w:t>五、一般公共预算财政拨款支出决算情况说明</w:t>
      </w:r>
    </w:p>
    <w:p w14:paraId="57AA3DE5">
      <w:pPr>
        <w:spacing w:line="640" w:lineRule="exact"/>
        <w:ind w:firstLine="640"/>
        <w:jc w:val="both"/>
        <w:outlineLvl w:val="3"/>
      </w:pPr>
      <w:r>
        <w:rPr>
          <w:rFonts w:ascii="楷体_GB2312" w:hAnsi="楷体_GB2312" w:eastAsia="楷体_GB2312"/>
          <w:b/>
          <w:sz w:val="32"/>
        </w:rPr>
        <w:t>（一）一般公共预算财政拨款支出决算总体情况</w:t>
      </w:r>
    </w:p>
    <w:p w14:paraId="63A889EA">
      <w:pPr>
        <w:spacing w:line="580" w:lineRule="exact"/>
        <w:ind w:firstLine="640"/>
        <w:jc w:val="both"/>
      </w:pPr>
      <w:r>
        <w:rPr>
          <w:rFonts w:ascii="仿宋_GB2312" w:hAnsi="仿宋_GB2312" w:eastAsia="仿宋_GB2312"/>
          <w:b/>
          <w:sz w:val="32"/>
        </w:rPr>
        <w:t>2024年度一般公共预算财政拨款支出986.96万元，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减少9.96万元，下降1.00%，主要原因是：本年在职人员减少，相关人员经费较上年减少。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年初预算数1,020.97万元，决算数986.96万元，预决算差异率-3.33%，主要原因是：本年在职人员减少，年中调减人员经费，导致预决算存在差异。</w:t>
      </w:r>
    </w:p>
    <w:p w14:paraId="47791038">
      <w:pPr>
        <w:spacing w:line="640" w:lineRule="exact"/>
        <w:ind w:firstLine="640"/>
        <w:jc w:val="both"/>
        <w:outlineLvl w:val="3"/>
      </w:pPr>
      <w:r>
        <w:rPr>
          <w:rFonts w:ascii="楷体_GB2312" w:hAnsi="楷体_GB2312" w:eastAsia="楷体_GB2312"/>
          <w:b/>
          <w:sz w:val="32"/>
        </w:rPr>
        <w:t>（二）一般公共预算财政拨款支出决算结构情况</w:t>
      </w:r>
    </w:p>
    <w:p w14:paraId="1D0A9D6D">
      <w:pPr>
        <w:spacing w:line="580" w:lineRule="exact"/>
        <w:ind w:firstLine="640"/>
        <w:jc w:val="both"/>
      </w:pPr>
      <w:r>
        <w:rPr>
          <w:rFonts w:ascii="仿宋_GB2312" w:hAnsi="仿宋_GB2312" w:eastAsia="仿宋_GB2312"/>
          <w:b w:val="0"/>
          <w:sz w:val="32"/>
        </w:rPr>
        <w:t>1.公共安全支出(类)793.76万元,占80.42%。</w:t>
      </w:r>
    </w:p>
    <w:p w14:paraId="6EC44F21">
      <w:pPr>
        <w:spacing w:line="580" w:lineRule="exact"/>
        <w:ind w:firstLine="640"/>
        <w:jc w:val="both"/>
      </w:pPr>
      <w:r>
        <w:rPr>
          <w:rFonts w:ascii="仿宋_GB2312" w:hAnsi="仿宋_GB2312" w:eastAsia="仿宋_GB2312"/>
          <w:b w:val="0"/>
          <w:sz w:val="32"/>
        </w:rPr>
        <w:t>2.社会保障和就业支出(类)113.33万元,占11.48%。</w:t>
      </w:r>
    </w:p>
    <w:p w14:paraId="1C2A9677">
      <w:pPr>
        <w:spacing w:line="580" w:lineRule="exact"/>
        <w:ind w:firstLine="640"/>
        <w:jc w:val="both"/>
      </w:pPr>
      <w:r>
        <w:rPr>
          <w:rFonts w:ascii="仿宋_GB2312" w:hAnsi="仿宋_GB2312" w:eastAsia="仿宋_GB2312"/>
          <w:b w:val="0"/>
          <w:sz w:val="32"/>
        </w:rPr>
        <w:t>3.卫生健康支出(类)31.74万元,占3.22%。</w:t>
      </w:r>
    </w:p>
    <w:p w14:paraId="57FDC14D">
      <w:pPr>
        <w:spacing w:line="580" w:lineRule="exact"/>
        <w:ind w:firstLine="640"/>
        <w:jc w:val="both"/>
      </w:pPr>
      <w:r>
        <w:rPr>
          <w:rFonts w:ascii="仿宋_GB2312" w:hAnsi="仿宋_GB2312" w:eastAsia="仿宋_GB2312"/>
          <w:b w:val="0"/>
          <w:sz w:val="32"/>
        </w:rPr>
        <w:t>4.住房保障支出(类)48.14万元,占4.88%。</w:t>
      </w:r>
    </w:p>
    <w:p w14:paraId="7686D560">
      <w:pPr>
        <w:spacing w:line="640" w:lineRule="exact"/>
        <w:ind w:firstLine="640"/>
        <w:jc w:val="both"/>
        <w:outlineLvl w:val="3"/>
      </w:pPr>
      <w:r>
        <w:rPr>
          <w:rFonts w:ascii="楷体_GB2312" w:hAnsi="楷体_GB2312" w:eastAsia="楷体_GB2312"/>
          <w:b/>
          <w:sz w:val="32"/>
        </w:rPr>
        <w:t>（三）一般公共预算财政拨款支出决算具体情况</w:t>
      </w:r>
    </w:p>
    <w:p w14:paraId="7AFCA40F">
      <w:pPr>
        <w:spacing w:line="580" w:lineRule="exact"/>
        <w:ind w:firstLine="640"/>
        <w:jc w:val="both"/>
      </w:pPr>
      <w:r>
        <w:rPr>
          <w:rFonts w:ascii="仿宋_GB2312" w:hAnsi="仿宋_GB2312" w:eastAsia="仿宋_GB2312"/>
          <w:b w:val="0"/>
          <w:sz w:val="32"/>
        </w:rPr>
        <w:t>1.公共安全支出(类)检察(款)行政运行(项):支出决算数为607.07万元，比上年决算减少1.65万元，下降0.27%,主要原因是：本年在职人员减少，相关人员经费较上年减少。</w:t>
      </w:r>
    </w:p>
    <w:p w14:paraId="30D836C0">
      <w:pPr>
        <w:spacing w:line="580" w:lineRule="exact"/>
        <w:ind w:firstLine="640"/>
        <w:jc w:val="both"/>
      </w:pPr>
      <w:r>
        <w:rPr>
          <w:rFonts w:ascii="仿宋_GB2312" w:hAnsi="仿宋_GB2312" w:eastAsia="仿宋_GB2312"/>
          <w:b w:val="0"/>
          <w:sz w:val="32"/>
        </w:rPr>
        <w:t>2.公共安全支出(类)检察(款)一般行政管理事务(项):支出决算数为51.03万元，比上年决算减少20.57万元，下降28.73%,主要原因是：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减少档案数字化项目。</w:t>
      </w:r>
    </w:p>
    <w:p w14:paraId="19BDE098">
      <w:pPr>
        <w:spacing w:line="580" w:lineRule="exact"/>
        <w:ind w:firstLine="640"/>
        <w:jc w:val="both"/>
      </w:pPr>
      <w:r>
        <w:rPr>
          <w:rFonts w:ascii="仿宋_GB2312" w:hAnsi="仿宋_GB2312" w:eastAsia="仿宋_GB2312"/>
          <w:b w:val="0"/>
          <w:sz w:val="32"/>
        </w:rPr>
        <w:t>3.公共安全支出(类)检察(款)其他检察支出(项):支出决算数为135.65万元，比上年决算减少31.35万元，下降18.77%,主要原因是：本年中央和自治区政法转移支付资金较上年减少。</w:t>
      </w:r>
    </w:p>
    <w:p w14:paraId="4A7420BC">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4.社会保障和就业支出(类)行政事业单位养老支出(款)行政单位离退休(项):支出决算数为23.60万元，比上年决算增加5.24万元，增长28.54%,主要原因是：本年退休人员增加，退休费支出增加。</w:t>
      </w:r>
    </w:p>
    <w:p w14:paraId="30ADD808">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57.99万元，比上年决算增加2.75万元，增长4.98%,主要原因是：本年在职人员工资基数调增，养老缴费基数上涨，相应支出增加。</w:t>
      </w:r>
    </w:p>
    <w:p w14:paraId="0750A9DF">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7.02万元，比上年决算增加6.01万元，增长595.05%,主要原因是：本年新增退休人员、辞职人员，职业年金缴费支出增加。</w:t>
      </w:r>
    </w:p>
    <w:p w14:paraId="680F9AB6">
      <w:pPr>
        <w:spacing w:line="580" w:lineRule="exact"/>
        <w:ind w:firstLine="640"/>
        <w:jc w:val="both"/>
      </w:pPr>
      <w:r>
        <w:rPr>
          <w:rFonts w:ascii="仿宋_GB2312" w:hAnsi="仿宋_GB2312" w:eastAsia="仿宋_GB2312"/>
          <w:b w:val="0"/>
          <w:sz w:val="32"/>
        </w:rPr>
        <w:t>7.社会保障和就业支出(类)抚恤(款)死亡抚恤(项):支出决算数为24.71万元，比上年决算增加24.71万元，增长100.00%,主要原因是：本年度退休人员中1人去世，死亡抚恤金增加。</w:t>
      </w:r>
    </w:p>
    <w:p w14:paraId="1CCD49F7">
      <w:pPr>
        <w:spacing w:line="580" w:lineRule="exact"/>
        <w:ind w:firstLine="640"/>
        <w:jc w:val="both"/>
      </w:pPr>
      <w:r>
        <w:rPr>
          <w:rFonts w:ascii="仿宋_GB2312" w:hAnsi="仿宋_GB2312" w:eastAsia="仿宋_GB2312"/>
          <w:b w:val="0"/>
          <w:sz w:val="32"/>
        </w:rPr>
        <w:t>8.卫生健康支出(类)行政事业单位医疗(款)行政单位医疗(项):支出决算数为24.64万元，比上年决算增加1.16万元，增长4.94%,主要原因是：本年在职人员工资基数调增，医疗缴费基数上涨，相应支出增加。</w:t>
      </w:r>
    </w:p>
    <w:p w14:paraId="1633AEDD">
      <w:pPr>
        <w:spacing w:line="580" w:lineRule="exact"/>
        <w:ind w:firstLine="640"/>
        <w:jc w:val="both"/>
      </w:pPr>
      <w:r>
        <w:rPr>
          <w:rFonts w:ascii="仿宋_GB2312" w:hAnsi="仿宋_GB2312" w:eastAsia="仿宋_GB2312"/>
          <w:b w:val="0"/>
          <w:sz w:val="32"/>
        </w:rPr>
        <w:t>9.卫生健康支出(类)行政事业单位医疗(款)公务员医疗补助(项):支出决算数为7.10万元，比上年决算增加0.33万元，增长4.87%,主要原因是：本年在职人员工资基数调增，医疗缴费基数上涨，相应支出增加。</w:t>
      </w:r>
    </w:p>
    <w:p w14:paraId="631EE709">
      <w:pPr>
        <w:spacing w:line="580" w:lineRule="exact"/>
        <w:ind w:firstLine="640"/>
        <w:jc w:val="both"/>
      </w:pPr>
      <w:r>
        <w:rPr>
          <w:rFonts w:ascii="仿宋_GB2312" w:hAnsi="仿宋_GB2312" w:eastAsia="仿宋_GB2312"/>
          <w:b w:val="0"/>
          <w:sz w:val="32"/>
        </w:rPr>
        <w:t>10.住房保障支出(类)住房改革支出(款)住房公积金(项):支出决算数为48.14万元，比上年决算增加3.39万元，增长7.58%,主要原因是：本年在职人员工资基数调增，公积金缴费基数上涨，相应支出增加。</w:t>
      </w:r>
    </w:p>
    <w:p w14:paraId="1872C60A">
      <w:pPr>
        <w:spacing w:line="640" w:lineRule="exact"/>
        <w:ind w:firstLine="640"/>
        <w:jc w:val="both"/>
        <w:outlineLvl w:val="2"/>
      </w:pPr>
      <w:r>
        <w:rPr>
          <w:rFonts w:ascii="黑体" w:hAnsi="黑体" w:eastAsia="黑体"/>
          <w:sz w:val="32"/>
        </w:rPr>
        <w:t>六、一般公共预算财政拨款基本支出决算情况说明</w:t>
      </w:r>
    </w:p>
    <w:p w14:paraId="06B544D8">
      <w:pPr>
        <w:spacing w:line="580" w:lineRule="exact"/>
        <w:ind w:firstLine="640"/>
        <w:jc w:val="both"/>
      </w:pPr>
      <w:r>
        <w:rPr>
          <w:rFonts w:ascii="仿宋_GB2312" w:hAnsi="仿宋_GB2312" w:eastAsia="仿宋_GB2312"/>
          <w:b w:val="0"/>
          <w:sz w:val="32"/>
        </w:rPr>
        <w:t>2024年度一般公共预算财政拨款基本支出800.28万元，其中：</w:t>
      </w:r>
      <w:r>
        <w:rPr>
          <w:rFonts w:ascii="仿宋_GB2312" w:hAnsi="仿宋_GB2312" w:eastAsia="仿宋_GB2312"/>
          <w:b/>
          <w:sz w:val="32"/>
        </w:rPr>
        <w:t>人员经费741.82万元，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抚恤金、生活补助。</w:t>
      </w:r>
    </w:p>
    <w:p w14:paraId="14A0FB87">
      <w:pPr>
        <w:spacing w:line="580" w:lineRule="exact"/>
        <w:ind w:firstLine="640"/>
        <w:jc w:val="both"/>
      </w:pPr>
      <w:r>
        <w:rPr>
          <w:rFonts w:ascii="仿宋_GB2312" w:hAnsi="仿宋_GB2312" w:eastAsia="仿宋_GB2312"/>
          <w:b/>
          <w:sz w:val="32"/>
        </w:rPr>
        <w:t>公用经费58.46万元，</w:t>
      </w:r>
      <w:r>
        <w:rPr>
          <w:rFonts w:ascii="仿宋_GB2312" w:hAnsi="仿宋_GB2312" w:eastAsia="仿宋_GB2312"/>
          <w:b w:val="0"/>
          <w:sz w:val="32"/>
        </w:rPr>
        <w:t>包括：办公费、水费、电费、取暖费、差旅费、工会经费、公务用车运行维护费、其他商品和服务支出。</w:t>
      </w:r>
    </w:p>
    <w:p w14:paraId="78B53FC4">
      <w:pPr>
        <w:spacing w:line="640" w:lineRule="exact"/>
        <w:ind w:firstLine="640"/>
        <w:jc w:val="both"/>
        <w:outlineLvl w:val="2"/>
      </w:pPr>
      <w:r>
        <w:rPr>
          <w:rFonts w:ascii="黑体" w:hAnsi="黑体" w:eastAsia="黑体"/>
          <w:sz w:val="32"/>
        </w:rPr>
        <w:t>七、政府性基金预算财政拨款收入支出决算情况说明</w:t>
      </w:r>
    </w:p>
    <w:p w14:paraId="5A61A88A">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338C0531">
      <w:pPr>
        <w:spacing w:line="640" w:lineRule="exact"/>
        <w:ind w:firstLine="640"/>
        <w:jc w:val="both"/>
        <w:outlineLvl w:val="2"/>
      </w:pPr>
      <w:r>
        <w:rPr>
          <w:rFonts w:ascii="黑体" w:hAnsi="黑体" w:eastAsia="黑体"/>
          <w:sz w:val="32"/>
        </w:rPr>
        <w:t>八、国有资本经营预算财政拨款收入支出决算情况说明</w:t>
      </w:r>
    </w:p>
    <w:p w14:paraId="0D9284E1">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5BA415F6">
      <w:pPr>
        <w:spacing w:line="640" w:lineRule="exact"/>
        <w:ind w:firstLine="640"/>
        <w:jc w:val="both"/>
        <w:outlineLvl w:val="2"/>
      </w:pPr>
      <w:r>
        <w:rPr>
          <w:rFonts w:ascii="黑体" w:hAnsi="黑体" w:eastAsia="黑体"/>
          <w:sz w:val="32"/>
        </w:rPr>
        <w:t>九、财政拨款“三公”经费支出决算情况说明</w:t>
      </w:r>
    </w:p>
    <w:p w14:paraId="343899F2">
      <w:pPr>
        <w:spacing w:line="580" w:lineRule="exact"/>
        <w:ind w:firstLine="640"/>
        <w:jc w:val="both"/>
      </w:pPr>
      <w:r>
        <w:rPr>
          <w:rFonts w:ascii="仿宋_GB2312" w:hAnsi="仿宋_GB2312" w:eastAsia="仿宋_GB2312"/>
          <w:b/>
          <w:sz w:val="32"/>
        </w:rPr>
        <w:t>2024年度财政拨款“三公”经费支出18.61万元，</w:t>
      </w:r>
      <w:r>
        <w:rPr>
          <w:rFonts w:ascii="仿宋_GB2312" w:hAnsi="仿宋_GB2312" w:eastAsia="仿宋_GB2312"/>
          <w:b w:val="0"/>
          <w:sz w:val="32"/>
        </w:rPr>
        <w:t>比上年增加0.55万元，增长3.05%，主要原因是：本部门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18.61万元，占100.00%，比上年增加0.55万元，增长3.05%，主要原因是：本部门公务用车日渐老化，维修维护成本增加，导致公务用车运行维护费较上年增加。公务接待费支出0.00万元，占0.00%，比上年增加0.00万元，增长0.00%，主要原因是：2023年与2024年均未安排公务接待费支出。</w:t>
      </w:r>
    </w:p>
    <w:p w14:paraId="2C719395">
      <w:pPr>
        <w:spacing w:line="580" w:lineRule="exact"/>
        <w:ind w:firstLine="640"/>
        <w:jc w:val="both"/>
      </w:pPr>
      <w:r>
        <w:rPr>
          <w:rFonts w:ascii="仿宋_GB2312" w:hAnsi="仿宋_GB2312" w:eastAsia="仿宋_GB2312"/>
          <w:b/>
          <w:sz w:val="32"/>
        </w:rPr>
        <w:t>具体情况如下：</w:t>
      </w:r>
    </w:p>
    <w:p w14:paraId="4A43F6F7">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1AFFF0C2">
      <w:pPr>
        <w:spacing w:line="580" w:lineRule="exact"/>
        <w:ind w:firstLine="640"/>
        <w:jc w:val="both"/>
      </w:pPr>
      <w:r>
        <w:rPr>
          <w:rFonts w:ascii="仿宋_GB2312" w:hAnsi="仿宋_GB2312" w:eastAsia="仿宋_GB2312"/>
          <w:b w:val="0"/>
          <w:sz w:val="32"/>
        </w:rPr>
        <w:t>公务用车购置及运行维护费18.61万元，其中：公务用车购置费0.00万元，公务用车运行维护费18.61万元。公务用车运行维护费开支内容包括车辆维修维护费、车辆保险费、车辆燃油费。公务用车购置数0辆，公务用车保有量9辆。国有资产占用情况中固定资产车辆9辆，与公务用车保有量差异原因是：本部门固定资产车辆与公务用车保有量一致无差异。</w:t>
      </w:r>
    </w:p>
    <w:p w14:paraId="5F38E285">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6A49E06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18.61万元，决算数18.61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18.61万元，决算数18.61万元，预决算差异率0.00%，主要原因是：严格按照预算执行，预决算无差异。公务接待费全年预算数0.00万元，决算数0.00万元，预决算差异率0.00%，主要原因是：本部门无公务接待费。</w:t>
      </w:r>
    </w:p>
    <w:p w14:paraId="07679296">
      <w:pPr>
        <w:spacing w:line="640" w:lineRule="exact"/>
        <w:ind w:firstLine="640"/>
        <w:jc w:val="both"/>
        <w:outlineLvl w:val="2"/>
      </w:pPr>
      <w:r>
        <w:rPr>
          <w:rFonts w:ascii="黑体" w:hAnsi="黑体" w:eastAsia="黑体"/>
          <w:sz w:val="32"/>
        </w:rPr>
        <w:t>十、其他重要事项的情况说明</w:t>
      </w:r>
    </w:p>
    <w:p w14:paraId="3965F17B">
      <w:pPr>
        <w:spacing w:line="640" w:lineRule="exact"/>
        <w:ind w:firstLine="640"/>
        <w:jc w:val="both"/>
        <w:outlineLvl w:val="3"/>
      </w:pPr>
      <w:r>
        <w:rPr>
          <w:rFonts w:ascii="楷体_GB2312" w:hAnsi="楷体_GB2312" w:eastAsia="楷体_GB2312"/>
          <w:b/>
          <w:sz w:val="32"/>
        </w:rPr>
        <w:t>（一）机关运行经费及公用经费支出情况</w:t>
      </w:r>
    </w:p>
    <w:p w14:paraId="6FBA70C0">
      <w:pPr>
        <w:spacing w:line="580" w:lineRule="exact"/>
        <w:ind w:firstLine="640"/>
        <w:jc w:val="both"/>
      </w:pPr>
      <w:r>
        <w:rPr>
          <w:rFonts w:ascii="仿宋_GB2312" w:hAnsi="仿宋_GB2312" w:eastAsia="仿宋_GB2312"/>
          <w:b w:val="0"/>
          <w:sz w:val="32"/>
        </w:rPr>
        <w:t>2024年度麦盖提县人民检察院（行政单位和参照公务员法管理事业单位）机关运行经费支出58.46万元，比上年增加4.92万元，增长9.19%，主要原因是：本年度办公经费、暖气费较上年增加，导致机关运行经费增加。</w:t>
      </w:r>
    </w:p>
    <w:p w14:paraId="5C2395AD">
      <w:pPr>
        <w:spacing w:line="640" w:lineRule="exact"/>
        <w:ind w:firstLine="640"/>
        <w:jc w:val="both"/>
        <w:outlineLvl w:val="3"/>
      </w:pPr>
      <w:r>
        <w:rPr>
          <w:rFonts w:ascii="楷体_GB2312" w:hAnsi="楷体_GB2312" w:eastAsia="楷体_GB2312"/>
          <w:b/>
          <w:sz w:val="32"/>
        </w:rPr>
        <w:t>（二）政府采购情况</w:t>
      </w:r>
    </w:p>
    <w:p w14:paraId="3E706CC7">
      <w:pPr>
        <w:spacing w:line="580" w:lineRule="exact"/>
        <w:ind w:firstLine="640"/>
        <w:jc w:val="both"/>
      </w:pPr>
      <w:r>
        <w:rPr>
          <w:rFonts w:ascii="仿宋_GB2312" w:hAnsi="仿宋_GB2312" w:eastAsia="仿宋_GB2312"/>
          <w:b w:val="0"/>
          <w:sz w:val="32"/>
        </w:rPr>
        <w:t>2024年度政府采购支出总额18.27万元，其中：政府采购货物支出6.46万元、政府采购工程支出0.00万元、政府采购服务支出11.82万元。</w:t>
      </w:r>
    </w:p>
    <w:p w14:paraId="05A8989E">
      <w:pPr>
        <w:spacing w:line="580" w:lineRule="exact"/>
        <w:ind w:firstLine="640"/>
        <w:jc w:val="both"/>
      </w:pPr>
      <w:r>
        <w:rPr>
          <w:rFonts w:ascii="仿宋_GB2312" w:hAnsi="仿宋_GB2312" w:eastAsia="仿宋_GB2312"/>
          <w:b w:val="0"/>
          <w:sz w:val="32"/>
        </w:rPr>
        <w:t>授予中小企业合同金额15.59万元，占政府采购支出总额的85.33%，其中：授予小微企业合同金额15.59万元，占政府采购支出总额的85.33%。</w:t>
      </w:r>
    </w:p>
    <w:p w14:paraId="4600C447">
      <w:pPr>
        <w:spacing w:line="640" w:lineRule="exact"/>
        <w:ind w:firstLine="640"/>
        <w:jc w:val="both"/>
        <w:outlineLvl w:val="3"/>
      </w:pPr>
      <w:r>
        <w:rPr>
          <w:rFonts w:ascii="楷体_GB2312" w:hAnsi="楷体_GB2312" w:eastAsia="楷体_GB2312"/>
          <w:b/>
          <w:sz w:val="32"/>
        </w:rPr>
        <w:t>（三）国有资产占用情况说明</w:t>
      </w:r>
    </w:p>
    <w:p w14:paraId="116CF7D5">
      <w:pPr>
        <w:spacing w:line="580" w:lineRule="exact"/>
        <w:ind w:firstLine="640"/>
        <w:jc w:val="both"/>
      </w:pPr>
      <w:r>
        <w:rPr>
          <w:rFonts w:ascii="仿宋_GB2312" w:hAnsi="仿宋_GB2312" w:eastAsia="仿宋_GB2312"/>
          <w:b w:val="0"/>
          <w:sz w:val="32"/>
        </w:rPr>
        <w:t>截至2024年12月31日，房屋4,907.23平方米，价值731.68万元。车辆9辆，价值157.49万元，其中：副部（省）级及以上领导用车0辆、主要负责人用车0辆、机要通信用车0辆、应急保障用车0辆、执法执勤用车6辆、特种专业技术用车3辆、离退休干部服务用车0辆、其他用车0辆，其他用车主要是：本部门无其他用车。单价100万元（含）以上设备（不含车辆）0台（套）。</w:t>
      </w:r>
    </w:p>
    <w:p w14:paraId="344CA026">
      <w:pPr>
        <w:spacing w:line="640" w:lineRule="exact"/>
        <w:ind w:firstLine="640"/>
        <w:jc w:val="both"/>
        <w:outlineLvl w:val="2"/>
      </w:pPr>
      <w:r>
        <w:rPr>
          <w:rFonts w:ascii="黑体" w:hAnsi="黑体" w:eastAsia="黑体"/>
          <w:sz w:val="32"/>
        </w:rPr>
        <w:t>十一、预算绩效的情况说明</w:t>
      </w:r>
    </w:p>
    <w:p w14:paraId="166C25E5">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根据预算绩效管理要求，本部门2024年度预算绩效管理形成整体支出绩效自评表1个，全年预算总额994.31万元，实际执行总额986.96万元；预算绩效评价项目</w:t>
      </w:r>
      <w:r>
        <w:rPr>
          <w:rFonts w:hint="eastAsia" w:ascii="仿宋_GB2312" w:hAnsi="仿宋_GB2312" w:eastAsia="仿宋_GB2312"/>
          <w:b w:val="0"/>
          <w:sz w:val="32"/>
          <w:lang w:val="en-US" w:eastAsia="zh-CN"/>
        </w:rPr>
        <w:t>5</w:t>
      </w:r>
      <w:bookmarkStart w:id="0" w:name="_GoBack"/>
      <w:bookmarkEnd w:id="0"/>
      <w:r>
        <w:rPr>
          <w:rFonts w:ascii="仿宋_GB2312" w:hAnsi="仿宋_GB2312" w:eastAsia="仿宋_GB2312"/>
          <w:b w:val="0"/>
          <w:sz w:val="32"/>
        </w:rPr>
        <w:t>个，全年预算数</w:t>
      </w:r>
      <w:r>
        <w:rPr>
          <w:rFonts w:hint="eastAsia" w:ascii="仿宋_GB2312" w:hAnsi="仿宋_GB2312" w:eastAsia="仿宋_GB2312"/>
          <w:b w:val="0"/>
          <w:sz w:val="32"/>
        </w:rPr>
        <w:t>194.03</w:t>
      </w:r>
      <w:r>
        <w:rPr>
          <w:rFonts w:ascii="仿宋_GB2312" w:hAnsi="仿宋_GB2312" w:eastAsia="仿宋_GB2312"/>
          <w:b w:val="0"/>
          <w:sz w:val="32"/>
        </w:rPr>
        <w:t>万元，全年执行数</w:t>
      </w:r>
      <w:r>
        <w:rPr>
          <w:rFonts w:hint="eastAsia" w:ascii="仿宋_GB2312" w:hAnsi="仿宋_GB2312" w:eastAsia="仿宋_GB2312"/>
          <w:b w:val="0"/>
          <w:sz w:val="32"/>
        </w:rPr>
        <w:t>186.68</w:t>
      </w:r>
      <w:r>
        <w:rPr>
          <w:rFonts w:ascii="仿宋_GB2312" w:hAnsi="仿宋_GB2312" w:eastAsia="仿宋_GB2312"/>
          <w:b w:val="0"/>
          <w:sz w:val="32"/>
        </w:rPr>
        <w:t>万元。预算绩效管理取得的成效：</w:t>
      </w:r>
      <w:r>
        <w:rPr>
          <w:rFonts w:hint="eastAsia" w:ascii="仿宋_GB2312" w:hAnsi="仿宋_GB2312" w:eastAsia="仿宋_GB2312"/>
          <w:b w:val="0"/>
          <w:sz w:val="32"/>
          <w:lang w:eastAsia="zh-CN"/>
        </w:rPr>
        <w:t>本部门</w:t>
      </w:r>
      <w:r>
        <w:rPr>
          <w:rFonts w:ascii="仿宋_GB2312" w:hAnsi="仿宋_GB2312" w:eastAsia="仿宋_GB2312"/>
          <w:b w:val="0"/>
          <w:sz w:val="32"/>
        </w:rPr>
        <w:t>预算绩效项目</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不予公开。发现的问题及原因：</w:t>
      </w:r>
      <w:r>
        <w:rPr>
          <w:rFonts w:hint="eastAsia" w:ascii="仿宋_GB2312" w:hAnsi="仿宋_GB2312" w:eastAsia="仿宋_GB2312"/>
          <w:b w:val="0"/>
          <w:sz w:val="32"/>
          <w:lang w:eastAsia="zh-CN"/>
        </w:rPr>
        <w:t>本部门</w:t>
      </w:r>
      <w:r>
        <w:rPr>
          <w:rFonts w:ascii="仿宋_GB2312" w:hAnsi="仿宋_GB2312" w:eastAsia="仿宋_GB2312"/>
          <w:b w:val="0"/>
          <w:sz w:val="32"/>
        </w:rPr>
        <w:t>预算绩效项目</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不予公开。下一步改进措施：</w:t>
      </w:r>
      <w:r>
        <w:rPr>
          <w:rFonts w:hint="eastAsia" w:ascii="仿宋_GB2312" w:hAnsi="仿宋_GB2312" w:eastAsia="仿宋_GB2312"/>
          <w:b w:val="0"/>
          <w:sz w:val="32"/>
          <w:lang w:eastAsia="zh-CN"/>
        </w:rPr>
        <w:t>本部门</w:t>
      </w:r>
      <w:r>
        <w:rPr>
          <w:rFonts w:ascii="仿宋_GB2312" w:hAnsi="仿宋_GB2312" w:eastAsia="仿宋_GB2312"/>
          <w:b w:val="0"/>
          <w:sz w:val="32"/>
        </w:rPr>
        <w:t>预算绩效项目</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不予公开。具体附部门整体支出绩效自评表。</w:t>
      </w:r>
    </w:p>
    <w:p w14:paraId="741B843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B94DACA">
        <w:tblPrEx>
          <w:tblCellMar>
            <w:top w:w="0" w:type="dxa"/>
            <w:left w:w="108" w:type="dxa"/>
            <w:bottom w:w="0" w:type="dxa"/>
            <w:right w:w="108" w:type="dxa"/>
          </w:tblCellMar>
        </w:tblPrEx>
        <w:tc>
          <w:tcPr>
            <w:tcW w:w="8847" w:type="dxa"/>
            <w:gridSpan w:val="9"/>
            <w:vAlign w:val="center"/>
          </w:tcPr>
          <w:p w14:paraId="07C03B7A">
            <w:pPr>
              <w:jc w:val="center"/>
            </w:pPr>
            <w:r>
              <w:rPr>
                <w:rFonts w:ascii="宋体" w:hAnsi="宋体" w:eastAsia="宋体"/>
                <w:sz w:val="24"/>
              </w:rPr>
              <w:t>部门整体支出绩效自评表</w:t>
            </w:r>
          </w:p>
        </w:tc>
      </w:tr>
      <w:tr w14:paraId="3311CF5D">
        <w:tblPrEx>
          <w:tblCellMar>
            <w:top w:w="0" w:type="dxa"/>
            <w:left w:w="108" w:type="dxa"/>
            <w:bottom w:w="0" w:type="dxa"/>
            <w:right w:w="108" w:type="dxa"/>
          </w:tblCellMar>
        </w:tblPrEx>
        <w:tc>
          <w:tcPr>
            <w:tcW w:w="8847" w:type="dxa"/>
            <w:gridSpan w:val="9"/>
            <w:vAlign w:val="center"/>
          </w:tcPr>
          <w:p w14:paraId="64B13262">
            <w:pPr>
              <w:jc w:val="center"/>
            </w:pPr>
            <w:r>
              <w:rPr>
                <w:rFonts w:ascii="宋体" w:hAnsi="宋体" w:eastAsia="宋体"/>
                <w:sz w:val="24"/>
              </w:rPr>
              <w:t>（2024年度）</w:t>
            </w:r>
          </w:p>
        </w:tc>
      </w:tr>
      <w:tr w14:paraId="076DB41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0340E">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A930B57">
            <w:pPr>
              <w:jc w:val="center"/>
            </w:pPr>
            <w:r>
              <w:rPr>
                <w:rFonts w:ascii="宋体" w:hAnsi="宋体" w:eastAsia="宋体"/>
                <w:sz w:val="16"/>
              </w:rPr>
              <w:t>麦盖提县人民检察院</w:t>
            </w:r>
          </w:p>
        </w:tc>
      </w:tr>
      <w:tr w14:paraId="4C77ADD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CB27C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52C3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1F86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8EDDF">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26814">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10A5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C7967">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6FD0F">
            <w:pPr>
              <w:jc w:val="center"/>
            </w:pPr>
            <w:r>
              <w:rPr>
                <w:rFonts w:ascii="宋体" w:hAnsi="宋体" w:eastAsia="宋体"/>
                <w:sz w:val="16"/>
              </w:rPr>
              <w:t>得分</w:t>
            </w:r>
          </w:p>
        </w:tc>
      </w:tr>
      <w:tr w14:paraId="0DE870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389E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C4738">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61F7A">
            <w:pPr>
              <w:jc w:val="center"/>
            </w:pPr>
            <w:r>
              <w:rPr>
                <w:rFonts w:ascii="宋体" w:hAnsi="宋体" w:eastAsia="宋体"/>
                <w:sz w:val="16"/>
              </w:rPr>
              <w:t>1,020.97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F18CB">
            <w:pPr>
              <w:jc w:val="center"/>
            </w:pPr>
            <w:r>
              <w:rPr>
                <w:rFonts w:ascii="宋体" w:hAnsi="宋体" w:eastAsia="宋体"/>
                <w:sz w:val="16"/>
              </w:rPr>
              <w:t>994.31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1DA4A">
            <w:pPr>
              <w:jc w:val="center"/>
            </w:pPr>
            <w:r>
              <w:rPr>
                <w:rFonts w:ascii="宋体" w:hAnsi="宋体" w:eastAsia="宋体"/>
                <w:sz w:val="16"/>
              </w:rPr>
              <w:t>986.96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CAA8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23F11">
            <w:pPr>
              <w:jc w:val="center"/>
            </w:pPr>
            <w:r>
              <w:rPr>
                <w:rFonts w:ascii="宋体" w:hAnsi="宋体" w:eastAsia="宋体"/>
                <w:sz w:val="16"/>
              </w:rPr>
              <w:t>99.26%</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3687F">
            <w:pPr>
              <w:jc w:val="center"/>
            </w:pPr>
            <w:r>
              <w:rPr>
                <w:rFonts w:ascii="宋体" w:hAnsi="宋体" w:eastAsia="宋体"/>
                <w:sz w:val="16"/>
              </w:rPr>
              <w:t>9.93</w:t>
            </w:r>
          </w:p>
        </w:tc>
      </w:tr>
      <w:tr w14:paraId="005DDE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57DE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9839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DC67D">
            <w:pPr>
              <w:jc w:val="center"/>
            </w:pPr>
            <w:r>
              <w:rPr>
                <w:rFonts w:ascii="宋体" w:hAnsi="宋体" w:eastAsia="宋体"/>
                <w:sz w:val="16"/>
              </w:rPr>
              <w:t>191.86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74B15">
            <w:pPr>
              <w:jc w:val="center"/>
            </w:pPr>
            <w:r>
              <w:rPr>
                <w:rFonts w:ascii="宋体" w:hAnsi="宋体" w:eastAsia="宋体"/>
                <w:sz w:val="16"/>
              </w:rPr>
              <w:t>190.14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6537D">
            <w:pPr>
              <w:jc w:val="center"/>
            </w:pPr>
            <w:r>
              <w:rPr>
                <w:rFonts w:ascii="宋体" w:hAnsi="宋体" w:eastAsia="宋体"/>
                <w:sz w:val="16"/>
              </w:rPr>
              <w:t>182.79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DE42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5524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A6801">
            <w:pPr>
              <w:jc w:val="center"/>
            </w:pPr>
            <w:r>
              <w:rPr>
                <w:rFonts w:ascii="宋体" w:hAnsi="宋体" w:eastAsia="宋体"/>
                <w:sz w:val="16"/>
              </w:rPr>
              <w:t>—</w:t>
            </w:r>
          </w:p>
        </w:tc>
      </w:tr>
      <w:tr w14:paraId="583886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BC19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E6EEE">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47650">
            <w:pPr>
              <w:jc w:val="center"/>
            </w:pPr>
            <w:r>
              <w:rPr>
                <w:rFonts w:ascii="宋体" w:hAnsi="宋体" w:eastAsia="宋体"/>
                <w:sz w:val="16"/>
              </w:rPr>
              <w:t>829.11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61F1E">
            <w:pPr>
              <w:jc w:val="center"/>
            </w:pPr>
            <w:r>
              <w:rPr>
                <w:rFonts w:ascii="宋体" w:hAnsi="宋体" w:eastAsia="宋体"/>
                <w:sz w:val="16"/>
              </w:rPr>
              <w:t>804.17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2710D">
            <w:pPr>
              <w:jc w:val="center"/>
            </w:pPr>
            <w:r>
              <w:rPr>
                <w:rFonts w:ascii="宋体" w:hAnsi="宋体" w:eastAsia="宋体"/>
                <w:sz w:val="16"/>
              </w:rPr>
              <w:t>804.17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99EA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15E9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94BB1">
            <w:pPr>
              <w:jc w:val="center"/>
            </w:pPr>
            <w:r>
              <w:rPr>
                <w:rFonts w:ascii="宋体" w:hAnsi="宋体" w:eastAsia="宋体"/>
                <w:sz w:val="16"/>
              </w:rPr>
              <w:t>—</w:t>
            </w:r>
          </w:p>
        </w:tc>
      </w:tr>
      <w:tr w14:paraId="1B735D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B589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47E05">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F3F6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491C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18D2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33CE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EAE0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7E027">
            <w:pPr>
              <w:jc w:val="center"/>
            </w:pPr>
            <w:r>
              <w:rPr>
                <w:rFonts w:ascii="宋体" w:hAnsi="宋体" w:eastAsia="宋体"/>
                <w:sz w:val="16"/>
              </w:rPr>
              <w:t>—</w:t>
            </w:r>
          </w:p>
        </w:tc>
      </w:tr>
      <w:tr w14:paraId="1FDD401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0378A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0ED64A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F3B656">
            <w:pPr>
              <w:jc w:val="center"/>
            </w:pPr>
            <w:r>
              <w:rPr>
                <w:rFonts w:ascii="宋体" w:hAnsi="宋体" w:eastAsia="宋体"/>
                <w:sz w:val="16"/>
              </w:rPr>
              <w:t>实际完成情况</w:t>
            </w:r>
          </w:p>
        </w:tc>
      </w:tr>
      <w:tr w14:paraId="6BFC50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FDCC5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373E8E">
            <w:pPr>
              <w:jc w:val="both"/>
            </w:pPr>
            <w:r>
              <w:rPr>
                <w:rFonts w:ascii="宋体" w:hAnsi="宋体" w:eastAsia="宋体"/>
                <w:sz w:val="16"/>
              </w:rPr>
              <w:t>麦盖提县人民检察院全年受理刑事案件计划数为398件，受理公益诉讼案件计划数为77件，检察建议采纳率为100%，认罪认罚从宽制度适用率为96.23%，群众信访案件满意度为95%。在县委和上级检察机关的正确领导下，在人大及其常委会的有力监督下，坚持以习近平新时代中国特色社会主义思想和党的二十大精神为指导，全面深入落实《中共中央关于加强新时代检察机关法律监督工作的意见》、第十六次全疆检察工作会议精神，以“务本、求实、提质、增效”为工作目标，全面优化刑事检察监督,保障被监管人的合法权益；持续加强刑事、民事检察监督；大力推进公 益诉讼检察 ，不断深化信访工作；提升依法履职能力，打造忠诚干净担当的过硬检察队伍，保 障检察业务工作正常运行。</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9A5FBB">
            <w:pPr>
              <w:jc w:val="both"/>
            </w:pPr>
            <w:r>
              <w:rPr>
                <w:rFonts w:ascii="宋体" w:hAnsi="宋体" w:eastAsia="宋体"/>
                <w:sz w:val="16"/>
              </w:rPr>
              <w:t>始终坚持党对检察工作的绝对领导，紧紧围绕党的治疆方略，坚持按照“务本、求实、提质、增效”的工作目标，以高度的政治自觉、法治自觉、检察自觉依法全面履行法律监督职责和“一个统领、五个始终、八个坚持不懈”工作思路，忠诚履行各项检察职能，强化法律监督实效，全力服务发展大局。麦盖提县人民检察院办理刑事案件数为428件，受理公益诉讼案件数为59件，检察建议采纳率为100%，认罪认罚从宽制度适用率为98%，群众信访案件满意度为98%。</w:t>
            </w:r>
          </w:p>
        </w:tc>
      </w:tr>
      <w:tr w14:paraId="5E53108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C48E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3CFC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5216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7C98C">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E52B1">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858D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310E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CC48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7C5DD">
            <w:pPr>
              <w:jc w:val="center"/>
            </w:pPr>
            <w:r>
              <w:rPr>
                <w:rFonts w:ascii="宋体" w:hAnsi="宋体" w:eastAsia="宋体"/>
                <w:sz w:val="16"/>
              </w:rPr>
              <w:t>得分</w:t>
            </w:r>
          </w:p>
        </w:tc>
      </w:tr>
      <w:tr w14:paraId="260A92C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4507BA">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23AB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A42E7">
            <w:pPr>
              <w:jc w:val="center"/>
            </w:pPr>
            <w:r>
              <w:rPr>
                <w:rFonts w:ascii="宋体" w:hAnsi="宋体" w:eastAsia="宋体"/>
                <w:sz w:val="16"/>
              </w:rPr>
              <w:t>办理刑事案件数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580BA">
            <w:pPr>
              <w:jc w:val="center"/>
            </w:pPr>
            <w:r>
              <w:rPr>
                <w:rFonts w:ascii="宋体" w:hAnsi="宋体" w:eastAsia="宋体"/>
                <w:sz w:val="16"/>
              </w:rPr>
              <w:t>&gt;=398件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BC808">
            <w:pPr>
              <w:jc w:val="center"/>
            </w:pPr>
            <w:r>
              <w:rPr>
                <w:rFonts w:ascii="宋体" w:hAnsi="宋体" w:eastAsia="宋体"/>
                <w:sz w:val="16"/>
              </w:rPr>
              <w:t>麦盖提县人民检察院2023年工作报告（2024年重点工作）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0D7D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9CB6A">
            <w:pPr>
              <w:jc w:val="center"/>
            </w:pPr>
            <w:r>
              <w:rPr>
                <w:rFonts w:ascii="宋体" w:hAnsi="宋体" w:eastAsia="宋体"/>
                <w:sz w:val="16"/>
              </w:rPr>
              <w:t>428件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74A04">
            <w:pPr>
              <w:jc w:val="center"/>
            </w:pPr>
            <w:r>
              <w:rPr>
                <w:rFonts w:ascii="宋体" w:hAnsi="宋体" w:eastAsia="宋体"/>
                <w:sz w:val="16"/>
              </w:rPr>
              <w:t>107.53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B08F0">
            <w:pPr>
              <w:jc w:val="center"/>
            </w:pPr>
            <w:r>
              <w:rPr>
                <w:rFonts w:ascii="宋体" w:hAnsi="宋体" w:eastAsia="宋体"/>
                <w:sz w:val="16"/>
              </w:rPr>
              <w:t>15</w:t>
            </w:r>
          </w:p>
        </w:tc>
      </w:tr>
      <w:tr w14:paraId="24CB66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1BA1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66FE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13EED">
            <w:pPr>
              <w:jc w:val="center"/>
            </w:pPr>
            <w:r>
              <w:rPr>
                <w:rFonts w:ascii="宋体" w:hAnsi="宋体" w:eastAsia="宋体"/>
                <w:sz w:val="16"/>
              </w:rPr>
              <w:t>受理公益诉讼案件数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E9293">
            <w:pPr>
              <w:jc w:val="center"/>
            </w:pPr>
            <w:r>
              <w:rPr>
                <w:rFonts w:ascii="宋体" w:hAnsi="宋体" w:eastAsia="宋体"/>
                <w:sz w:val="16"/>
              </w:rPr>
              <w:t>&gt;=77件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F4D27">
            <w:pPr>
              <w:jc w:val="center"/>
            </w:pPr>
            <w:r>
              <w:rPr>
                <w:rFonts w:ascii="宋体" w:hAnsi="宋体" w:eastAsia="宋体"/>
                <w:sz w:val="16"/>
              </w:rPr>
              <w:t>麦盖提县人民检察院2023年麦盖提县人民检察院工作报告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7F2E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26365">
            <w:pPr>
              <w:jc w:val="center"/>
            </w:pPr>
            <w:r>
              <w:rPr>
                <w:rFonts w:ascii="宋体" w:hAnsi="宋体" w:eastAsia="宋体"/>
                <w:sz w:val="16"/>
              </w:rPr>
              <w:t>59件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33F7A">
            <w:pPr>
              <w:jc w:val="center"/>
            </w:pPr>
            <w:r>
              <w:rPr>
                <w:rFonts w:ascii="宋体" w:hAnsi="宋体" w:eastAsia="宋体"/>
                <w:sz w:val="16"/>
              </w:rPr>
              <w:t>76.62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8ABF6">
            <w:pPr>
              <w:jc w:val="center"/>
            </w:pPr>
            <w:r>
              <w:rPr>
                <w:rFonts w:ascii="宋体" w:hAnsi="宋体" w:eastAsia="宋体"/>
                <w:sz w:val="16"/>
              </w:rPr>
              <w:t>11.49</w:t>
            </w:r>
          </w:p>
        </w:tc>
      </w:tr>
      <w:tr w14:paraId="1285F1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B20B0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F529A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CFB0E">
            <w:pPr>
              <w:jc w:val="center"/>
            </w:pPr>
            <w:r>
              <w:rPr>
                <w:rFonts w:ascii="宋体" w:hAnsi="宋体" w:eastAsia="宋体"/>
                <w:sz w:val="16"/>
              </w:rPr>
              <w:t>检察建议采纳率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ED7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F66F0">
            <w:pPr>
              <w:jc w:val="center"/>
            </w:pPr>
            <w:r>
              <w:rPr>
                <w:rFonts w:ascii="宋体" w:hAnsi="宋体" w:eastAsia="宋体"/>
                <w:sz w:val="16"/>
              </w:rPr>
              <w:t>麦盖提县人民检察院2023年麦盖提县人民检察院工作报告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3280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4D99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EF0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CD94E">
            <w:pPr>
              <w:jc w:val="center"/>
            </w:pPr>
            <w:r>
              <w:rPr>
                <w:rFonts w:ascii="宋体" w:hAnsi="宋体" w:eastAsia="宋体"/>
                <w:sz w:val="16"/>
              </w:rPr>
              <w:t>20</w:t>
            </w:r>
          </w:p>
        </w:tc>
      </w:tr>
      <w:tr w14:paraId="026CF3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D8613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BBD8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591A3">
            <w:pPr>
              <w:jc w:val="center"/>
            </w:pPr>
            <w:r>
              <w:rPr>
                <w:rFonts w:ascii="宋体" w:hAnsi="宋体" w:eastAsia="宋体"/>
                <w:sz w:val="16"/>
              </w:rPr>
              <w:t>认罪认罚从宽制度适用率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DF816">
            <w:pPr>
              <w:jc w:val="center"/>
            </w:pPr>
            <w:r>
              <w:rPr>
                <w:rFonts w:ascii="宋体" w:hAnsi="宋体" w:eastAsia="宋体"/>
                <w:sz w:val="16"/>
              </w:rPr>
              <w:t>&gt;=96.23%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05BF9">
            <w:pPr>
              <w:jc w:val="center"/>
            </w:pPr>
            <w:r>
              <w:rPr>
                <w:rFonts w:ascii="宋体" w:hAnsi="宋体" w:eastAsia="宋体"/>
                <w:sz w:val="16"/>
              </w:rPr>
              <w:t>麦盖提县人民检察院2023年麦盖提县人民检察院工作报告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6BB5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1B916">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33528">
            <w:pPr>
              <w:jc w:val="center"/>
            </w:pPr>
            <w:r>
              <w:rPr>
                <w:rFonts w:ascii="宋体" w:hAnsi="宋体" w:eastAsia="宋体"/>
                <w:sz w:val="16"/>
              </w:rPr>
              <w:t>101.84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A8C2D">
            <w:pPr>
              <w:jc w:val="center"/>
            </w:pPr>
            <w:r>
              <w:rPr>
                <w:rFonts w:ascii="宋体" w:hAnsi="宋体" w:eastAsia="宋体"/>
                <w:sz w:val="16"/>
              </w:rPr>
              <w:t>20</w:t>
            </w:r>
          </w:p>
        </w:tc>
      </w:tr>
      <w:tr w14:paraId="7C92D9F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05A22">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B22F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EDF93">
            <w:pPr>
              <w:jc w:val="center"/>
            </w:pPr>
            <w:r>
              <w:rPr>
                <w:rFonts w:ascii="宋体" w:hAnsi="宋体" w:eastAsia="宋体"/>
                <w:sz w:val="16"/>
              </w:rPr>
              <w:t>群众信访案件满意度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B021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06A71">
            <w:pPr>
              <w:jc w:val="center"/>
            </w:pPr>
            <w:r>
              <w:rPr>
                <w:rFonts w:ascii="宋体" w:hAnsi="宋体" w:eastAsia="宋体"/>
                <w:sz w:val="16"/>
              </w:rPr>
              <w:t>关于开展2023年事前绩效评估和绩效目标编制工作的通知（喀地财绩〔2023〕3号）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B01C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45618">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BAD6A">
            <w:pPr>
              <w:jc w:val="center"/>
            </w:pPr>
            <w:r>
              <w:rPr>
                <w:rFonts w:ascii="宋体" w:hAnsi="宋体" w:eastAsia="宋体"/>
                <w:sz w:val="16"/>
              </w:rPr>
              <w:t>103.16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C8355">
            <w:pPr>
              <w:jc w:val="center"/>
            </w:pPr>
            <w:r>
              <w:rPr>
                <w:rFonts w:ascii="宋体" w:hAnsi="宋体" w:eastAsia="宋体"/>
                <w:sz w:val="16"/>
              </w:rPr>
              <w:t>20</w:t>
            </w:r>
          </w:p>
        </w:tc>
      </w:tr>
    </w:tbl>
    <w:p w14:paraId="28EC12F3">
      <w:r>
        <w:br w:type="page"/>
      </w:r>
    </w:p>
    <w:p w14:paraId="58AEA5F8">
      <w:pPr>
        <w:spacing w:line="640" w:lineRule="exact"/>
        <w:ind w:firstLine="640"/>
        <w:jc w:val="both"/>
        <w:outlineLvl w:val="2"/>
      </w:pPr>
      <w:r>
        <w:rPr>
          <w:rFonts w:ascii="黑体" w:hAnsi="黑体" w:eastAsia="黑体"/>
          <w:sz w:val="32"/>
        </w:rPr>
        <w:t>十二、其他需说明的事项</w:t>
      </w:r>
    </w:p>
    <w:p w14:paraId="2808B179">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项目5个，全年预算数194.03万元，全年执行数186.68万元。</w:t>
      </w:r>
    </w:p>
    <w:p w14:paraId="6B3399EC">
      <w:r>
        <w:br w:type="page"/>
      </w:r>
    </w:p>
    <w:p w14:paraId="0F771ACC">
      <w:pPr>
        <w:spacing w:line="240" w:lineRule="auto"/>
        <w:jc w:val="center"/>
        <w:outlineLvl w:val="1"/>
      </w:pPr>
      <w:r>
        <w:rPr>
          <w:rFonts w:ascii="黑体" w:hAnsi="黑体" w:eastAsia="黑体"/>
          <w:sz w:val="32"/>
        </w:rPr>
        <w:t>第三部分 专业名词解释</w:t>
      </w:r>
    </w:p>
    <w:p w14:paraId="4FC28D5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6DDCCD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D2A0E3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66EB20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CBAFD6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0C7BD1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F5BD9A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041143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60FA0A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74338C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663B26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198E6F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5B1E86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9E6296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F164C6A">
      <w:r>
        <w:br w:type="page"/>
      </w:r>
    </w:p>
    <w:p w14:paraId="452C47E0">
      <w:pPr>
        <w:spacing w:line="240" w:lineRule="auto"/>
        <w:jc w:val="center"/>
        <w:outlineLvl w:val="1"/>
      </w:pPr>
      <w:r>
        <w:rPr>
          <w:rFonts w:ascii="黑体" w:hAnsi="黑体" w:eastAsia="黑体"/>
          <w:sz w:val="32"/>
        </w:rPr>
        <w:t>第四部分 部门决算报表（见附表）</w:t>
      </w:r>
    </w:p>
    <w:p w14:paraId="7BB6100A">
      <w:pPr>
        <w:spacing w:line="240" w:lineRule="auto"/>
        <w:ind w:firstLine="640"/>
        <w:jc w:val="both"/>
      </w:pPr>
      <w:r>
        <w:rPr>
          <w:rFonts w:ascii="仿宋_GB2312" w:hAnsi="仿宋_GB2312" w:eastAsia="仿宋_GB2312"/>
          <w:b w:val="0"/>
          <w:sz w:val="32"/>
        </w:rPr>
        <w:t>一、《收入支出决算总表》</w:t>
      </w:r>
    </w:p>
    <w:p w14:paraId="18BF2BAF">
      <w:pPr>
        <w:spacing w:line="240" w:lineRule="auto"/>
        <w:ind w:firstLine="640"/>
        <w:jc w:val="both"/>
      </w:pPr>
      <w:r>
        <w:rPr>
          <w:rFonts w:ascii="仿宋_GB2312" w:hAnsi="仿宋_GB2312" w:eastAsia="仿宋_GB2312"/>
          <w:b w:val="0"/>
          <w:sz w:val="32"/>
        </w:rPr>
        <w:t>二、《收入决算表》</w:t>
      </w:r>
    </w:p>
    <w:p w14:paraId="3EC8D1DF">
      <w:pPr>
        <w:spacing w:line="240" w:lineRule="auto"/>
        <w:ind w:firstLine="640"/>
        <w:jc w:val="both"/>
      </w:pPr>
      <w:r>
        <w:rPr>
          <w:rFonts w:ascii="仿宋_GB2312" w:hAnsi="仿宋_GB2312" w:eastAsia="仿宋_GB2312"/>
          <w:b w:val="0"/>
          <w:sz w:val="32"/>
        </w:rPr>
        <w:t>三、《支出决算表》</w:t>
      </w:r>
    </w:p>
    <w:p w14:paraId="02306C7E">
      <w:pPr>
        <w:spacing w:line="240" w:lineRule="auto"/>
        <w:ind w:firstLine="640"/>
        <w:jc w:val="both"/>
      </w:pPr>
      <w:r>
        <w:rPr>
          <w:rFonts w:ascii="仿宋_GB2312" w:hAnsi="仿宋_GB2312" w:eastAsia="仿宋_GB2312"/>
          <w:b w:val="0"/>
          <w:sz w:val="32"/>
        </w:rPr>
        <w:t>四、《财政拨款收入支出决算总表》</w:t>
      </w:r>
    </w:p>
    <w:p w14:paraId="559EB0D2">
      <w:pPr>
        <w:spacing w:line="240" w:lineRule="auto"/>
        <w:ind w:firstLine="640"/>
        <w:jc w:val="both"/>
      </w:pPr>
      <w:r>
        <w:rPr>
          <w:rFonts w:ascii="仿宋_GB2312" w:hAnsi="仿宋_GB2312" w:eastAsia="仿宋_GB2312"/>
          <w:b w:val="0"/>
          <w:sz w:val="32"/>
        </w:rPr>
        <w:t>五、《一般公共预算财政拨款支出决算表》</w:t>
      </w:r>
    </w:p>
    <w:p w14:paraId="3E109D60">
      <w:pPr>
        <w:spacing w:line="240" w:lineRule="auto"/>
        <w:ind w:firstLine="640"/>
        <w:jc w:val="both"/>
      </w:pPr>
      <w:r>
        <w:rPr>
          <w:rFonts w:ascii="仿宋_GB2312" w:hAnsi="仿宋_GB2312" w:eastAsia="仿宋_GB2312"/>
          <w:b w:val="0"/>
          <w:sz w:val="32"/>
        </w:rPr>
        <w:t>六、《一般公共预算财政拨款基本支出决算表》</w:t>
      </w:r>
    </w:p>
    <w:p w14:paraId="70312E59">
      <w:pPr>
        <w:spacing w:line="240" w:lineRule="auto"/>
        <w:ind w:firstLine="640"/>
        <w:jc w:val="both"/>
      </w:pPr>
      <w:r>
        <w:rPr>
          <w:rFonts w:ascii="仿宋_GB2312" w:hAnsi="仿宋_GB2312" w:eastAsia="仿宋_GB2312"/>
          <w:b w:val="0"/>
          <w:sz w:val="32"/>
        </w:rPr>
        <w:t>七、《政府性基金预算财政拨款收入支出决算表》</w:t>
      </w:r>
    </w:p>
    <w:p w14:paraId="79319266">
      <w:pPr>
        <w:spacing w:line="240" w:lineRule="auto"/>
        <w:ind w:firstLine="640"/>
        <w:jc w:val="both"/>
      </w:pPr>
      <w:r>
        <w:rPr>
          <w:rFonts w:ascii="仿宋_GB2312" w:hAnsi="仿宋_GB2312" w:eastAsia="仿宋_GB2312"/>
          <w:b w:val="0"/>
          <w:sz w:val="32"/>
        </w:rPr>
        <w:t>八、《国有资本经营预算财政拨款收入支出决算表》</w:t>
      </w:r>
    </w:p>
    <w:p w14:paraId="10320DAE">
      <w:pPr>
        <w:spacing w:line="240" w:lineRule="auto"/>
        <w:ind w:firstLine="640"/>
        <w:jc w:val="both"/>
      </w:pPr>
      <w:r>
        <w:rPr>
          <w:rFonts w:ascii="仿宋_GB2312" w:hAnsi="仿宋_GB2312" w:eastAsia="仿宋_GB2312"/>
          <w:b w:val="0"/>
          <w:sz w:val="32"/>
        </w:rPr>
        <w:t>九、《财政拨款“三公”经费支出决算表》</w:t>
      </w:r>
    </w:p>
    <w:p w14:paraId="7529DE14">
      <w:pPr>
        <w:spacing w:line="240" w:lineRule="auto"/>
        <w:ind w:firstLine="640"/>
        <w:jc w:val="both"/>
      </w:pPr>
    </w:p>
    <w:p w14:paraId="52E73088">
      <w:pPr>
        <w:spacing w:line="240" w:lineRule="auto"/>
        <w:ind w:firstLine="640"/>
        <w:jc w:val="both"/>
      </w:pPr>
    </w:p>
    <w:p w14:paraId="576D6906">
      <w:pPr>
        <w:spacing w:line="240" w:lineRule="auto"/>
        <w:ind w:firstLine="640"/>
        <w:jc w:val="both"/>
      </w:pPr>
    </w:p>
    <w:p w14:paraId="45484929">
      <w:pPr>
        <w:spacing w:line="240" w:lineRule="auto"/>
        <w:ind w:firstLine="640"/>
        <w:jc w:val="both"/>
      </w:pPr>
    </w:p>
    <w:p w14:paraId="3A4E9AA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ECC9652-60C8-4AED-8DDD-7D497977840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3081EDB8-24C2-4A61-9C03-3032082ECB50}"/>
  </w:font>
  <w:font w:name="方正小标宋_GBK">
    <w:panose1 w:val="02000000000000000000"/>
    <w:charset w:val="86"/>
    <w:family w:val="script"/>
    <w:pitch w:val="default"/>
    <w:sig w:usb0="A00002BF" w:usb1="38CF7CFA" w:usb2="00082016" w:usb3="00000000" w:csb0="00040001" w:csb1="00000000"/>
    <w:embedRegular r:id="rId3" w:fontKey="{25F6D187-19E3-4DF7-BC33-184ABB39E1B8}"/>
  </w:font>
  <w:font w:name="楷体_GB2312">
    <w:panose1 w:val="02010609030101010101"/>
    <w:charset w:val="86"/>
    <w:family w:val="auto"/>
    <w:pitch w:val="default"/>
    <w:sig w:usb0="00000001" w:usb1="080E0000" w:usb2="00000000" w:usb3="00000000" w:csb0="00040000" w:csb1="00000000"/>
    <w:embedRegular r:id="rId4" w:fontKey="{C1BD2CCB-E3B0-4EA7-8606-7CE04019502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4D6D27"/>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53E517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4703FE"/>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CD1814"/>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B5471C"/>
    <w:rsid w:val="795A0A34"/>
    <w:rsid w:val="7A0D3BC7"/>
    <w:rsid w:val="7A3A3CDB"/>
    <w:rsid w:val="7F1E75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6342</Words>
  <Characters>7226</Characters>
  <Lines>0</Lines>
  <Paragraphs>0</Paragraphs>
  <TotalTime>0</TotalTime>
  <ScaleCrop>false</ScaleCrop>
  <LinksUpToDate>false</LinksUpToDate>
  <CharactersWithSpaces>7239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2025-09-29T03:37:03Z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